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9734B">
      <w:pPr>
        <w:pStyle w:val="25"/>
        <w:widowControl/>
        <w:adjustRightInd w:val="0"/>
        <w:snapToGrid w:val="0"/>
        <w:spacing w:line="360" w:lineRule="auto"/>
        <w:jc w:val="left"/>
        <w:rPr>
          <w:rFonts w:hAnsi="宋体"/>
          <w:bCs/>
          <w:color w:val="000000" w:themeColor="text1"/>
          <w:sz w:val="32"/>
          <w14:textFill>
            <w14:solidFill>
              <w14:schemeClr w14:val="tx1"/>
            </w14:solidFill>
          </w14:textFill>
        </w:rPr>
      </w:pPr>
      <w:bookmarkStart w:id="0" w:name="_Toc491658631"/>
      <w:r>
        <w:rPr>
          <w:rFonts w:hint="eastAsia" w:hAnsi="宋体"/>
          <w:bCs/>
          <w:color w:val="000000" w:themeColor="text1"/>
          <w:sz w:val="32"/>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14:paraId="7E8C454C">
      <w:pPr>
        <w:pStyle w:val="25"/>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14:paraId="02B607BE">
      <w:pPr>
        <w:pStyle w:val="25"/>
        <w:widowControl/>
        <w:adjustRightInd w:val="0"/>
        <w:snapToGrid w:val="0"/>
        <w:spacing w:line="360" w:lineRule="auto"/>
        <w:jc w:val="center"/>
        <w:rPr>
          <w:rFonts w:hAnsi="宋体" w:cs="宋体"/>
          <w:b/>
          <w:color w:val="000000" w:themeColor="text1"/>
          <w:kern w:val="0"/>
          <w:sz w:val="84"/>
          <w:szCs w:val="84"/>
          <w14:textFill>
            <w14:solidFill>
              <w14:schemeClr w14:val="tx1"/>
            </w14:solidFill>
          </w14:textFill>
        </w:rPr>
      </w:pPr>
      <w:r>
        <w:rPr>
          <w:rFonts w:hint="eastAsia" w:hAnsi="宋体" w:cs="宋体"/>
          <w:b/>
          <w:color w:val="000000" w:themeColor="text1"/>
          <w:kern w:val="0"/>
          <w:sz w:val="84"/>
          <w:szCs w:val="84"/>
          <w14:textFill>
            <w14:solidFill>
              <w14:schemeClr w14:val="tx1"/>
            </w14:solidFill>
          </w14:textFill>
        </w:rPr>
        <w:t>竞争性磋商</w:t>
      </w:r>
    </w:p>
    <w:p w14:paraId="6E5F2D74">
      <w:pPr>
        <w:pStyle w:val="25"/>
        <w:widowControl/>
        <w:adjustRightInd w:val="0"/>
        <w:snapToGrid w:val="0"/>
        <w:spacing w:line="360" w:lineRule="auto"/>
        <w:jc w:val="center"/>
        <w:rPr>
          <w:rFonts w:hAnsi="宋体"/>
          <w:b/>
          <w:bCs/>
          <w:color w:val="000000" w:themeColor="text1"/>
          <w:sz w:val="84"/>
          <w:szCs w:val="84"/>
          <w14:textFill>
            <w14:solidFill>
              <w14:schemeClr w14:val="tx1"/>
            </w14:solidFill>
          </w14:textFill>
        </w:rPr>
      </w:pPr>
    </w:p>
    <w:p w14:paraId="6B6A7102">
      <w:pPr>
        <w:pStyle w:val="25"/>
        <w:widowControl/>
        <w:adjustRightInd w:val="0"/>
        <w:snapToGrid w:val="0"/>
        <w:spacing w:line="360" w:lineRule="auto"/>
        <w:jc w:val="center"/>
        <w:rPr>
          <w:rFonts w:hAnsi="宋体"/>
          <w:b/>
          <w:bCs/>
          <w:color w:val="000000" w:themeColor="text1"/>
          <w:sz w:val="84"/>
          <w:szCs w:val="84"/>
          <w14:textFill>
            <w14:solidFill>
              <w14:schemeClr w14:val="tx1"/>
            </w14:solidFill>
          </w14:textFill>
        </w:rPr>
      </w:pPr>
      <w:r>
        <w:rPr>
          <w:rFonts w:hint="eastAsia" w:hAnsi="宋体" w:cs="宋体"/>
          <w:b/>
          <w:color w:val="000000" w:themeColor="text1"/>
          <w:kern w:val="0"/>
          <w:sz w:val="84"/>
          <w:szCs w:val="84"/>
          <w14:textFill>
            <w14:solidFill>
              <w14:schemeClr w14:val="tx1"/>
            </w14:solidFill>
          </w14:textFill>
        </w:rPr>
        <w:t>磋  商</w:t>
      </w:r>
      <w:r>
        <w:rPr>
          <w:rFonts w:hint="eastAsia" w:hAnsi="宋体"/>
          <w:b/>
          <w:bCs/>
          <w:color w:val="000000" w:themeColor="text1"/>
          <w:sz w:val="84"/>
          <w:szCs w:val="84"/>
          <w14:textFill>
            <w14:solidFill>
              <w14:schemeClr w14:val="tx1"/>
            </w14:solidFill>
          </w14:textFill>
        </w:rPr>
        <w:t xml:space="preserve">  文  件</w:t>
      </w:r>
    </w:p>
    <w:p w14:paraId="3A1CCDC6">
      <w:pPr>
        <w:pStyle w:val="25"/>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14:paraId="0CEDA4BF">
      <w:pPr>
        <w:pStyle w:val="25"/>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14:paraId="5B378F09">
      <w:pPr>
        <w:pStyle w:val="25"/>
        <w:widowControl/>
        <w:adjustRightInd w:val="0"/>
        <w:snapToGrid w:val="0"/>
        <w:spacing w:line="360" w:lineRule="auto"/>
        <w:rPr>
          <w:rFonts w:hAnsi="宋体"/>
          <w:bCs/>
          <w:color w:val="000000" w:themeColor="text1"/>
          <w:sz w:val="52"/>
          <w:szCs w:val="52"/>
          <w14:textFill>
            <w14:solidFill>
              <w14:schemeClr w14:val="tx1"/>
            </w14:solidFill>
          </w14:textFill>
        </w:rPr>
      </w:pPr>
    </w:p>
    <w:tbl>
      <w:tblPr>
        <w:tblStyle w:val="51"/>
        <w:tblW w:w="8096" w:type="dxa"/>
        <w:jc w:val="center"/>
        <w:tblLayout w:type="fixed"/>
        <w:tblCellMar>
          <w:top w:w="0" w:type="dxa"/>
          <w:left w:w="108" w:type="dxa"/>
          <w:bottom w:w="0" w:type="dxa"/>
          <w:right w:w="108" w:type="dxa"/>
        </w:tblCellMar>
      </w:tblPr>
      <w:tblGrid>
        <w:gridCol w:w="2419"/>
        <w:gridCol w:w="375"/>
        <w:gridCol w:w="5302"/>
      </w:tblGrid>
      <w:tr w14:paraId="3E4E90EE">
        <w:tblPrEx>
          <w:tblCellMar>
            <w:top w:w="0" w:type="dxa"/>
            <w:left w:w="108" w:type="dxa"/>
            <w:bottom w:w="0" w:type="dxa"/>
            <w:right w:w="108" w:type="dxa"/>
          </w:tblCellMar>
        </w:tblPrEx>
        <w:trPr>
          <w:trHeight w:val="77" w:hRule="atLeast"/>
          <w:jc w:val="center"/>
        </w:trPr>
        <w:tc>
          <w:tcPr>
            <w:tcW w:w="2419" w:type="dxa"/>
            <w:vAlign w:val="center"/>
          </w:tcPr>
          <w:p w14:paraId="641703EF">
            <w:pPr>
              <w:pStyle w:val="25"/>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项目编号</w:t>
            </w:r>
          </w:p>
        </w:tc>
        <w:tc>
          <w:tcPr>
            <w:tcW w:w="375" w:type="dxa"/>
          </w:tcPr>
          <w:p w14:paraId="100CA2BB">
            <w:pPr>
              <w:pStyle w:val="25"/>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302" w:type="dxa"/>
            <w:vAlign w:val="center"/>
          </w:tcPr>
          <w:p w14:paraId="58D290A6">
            <w:pPr>
              <w:pStyle w:val="25"/>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YXCG-20260521</w:t>
            </w:r>
          </w:p>
        </w:tc>
      </w:tr>
      <w:tr w14:paraId="029578E8">
        <w:tblPrEx>
          <w:tblCellMar>
            <w:top w:w="0" w:type="dxa"/>
            <w:left w:w="108" w:type="dxa"/>
            <w:bottom w:w="0" w:type="dxa"/>
            <w:right w:w="108" w:type="dxa"/>
          </w:tblCellMar>
        </w:tblPrEx>
        <w:trPr>
          <w:trHeight w:val="77" w:hRule="atLeast"/>
          <w:jc w:val="center"/>
        </w:trPr>
        <w:tc>
          <w:tcPr>
            <w:tcW w:w="2419" w:type="dxa"/>
          </w:tcPr>
          <w:p w14:paraId="6BE2FA92">
            <w:pPr>
              <w:pStyle w:val="25"/>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项目名称</w:t>
            </w:r>
          </w:p>
        </w:tc>
        <w:tc>
          <w:tcPr>
            <w:tcW w:w="375" w:type="dxa"/>
          </w:tcPr>
          <w:p w14:paraId="3D025FF2">
            <w:pPr>
              <w:pStyle w:val="25"/>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302" w:type="dxa"/>
            <w:vAlign w:val="center"/>
          </w:tcPr>
          <w:p w14:paraId="58B89019">
            <w:pPr>
              <w:pStyle w:val="25"/>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菩堤海风场2026年防雷检测交通船租赁采购项目</w:t>
            </w:r>
          </w:p>
        </w:tc>
      </w:tr>
      <w:tr w14:paraId="4C233D20">
        <w:tblPrEx>
          <w:tblCellMar>
            <w:top w:w="0" w:type="dxa"/>
            <w:left w:w="108" w:type="dxa"/>
            <w:bottom w:w="0" w:type="dxa"/>
            <w:right w:w="108" w:type="dxa"/>
          </w:tblCellMar>
        </w:tblPrEx>
        <w:trPr>
          <w:trHeight w:val="77" w:hRule="atLeast"/>
          <w:jc w:val="center"/>
        </w:trPr>
        <w:tc>
          <w:tcPr>
            <w:tcW w:w="2419" w:type="dxa"/>
            <w:vAlign w:val="center"/>
          </w:tcPr>
          <w:p w14:paraId="151ADB32">
            <w:pPr>
              <w:pStyle w:val="25"/>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采购人</w:t>
            </w:r>
          </w:p>
        </w:tc>
        <w:tc>
          <w:tcPr>
            <w:tcW w:w="375" w:type="dxa"/>
          </w:tcPr>
          <w:p w14:paraId="14E28ADB">
            <w:pPr>
              <w:pStyle w:val="25"/>
              <w:widowControl/>
              <w:adjustRightInd w:val="0"/>
              <w:snapToGrid w:val="0"/>
              <w:spacing w:line="360" w:lineRule="auto"/>
              <w:jc w:val="left"/>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w:t>
            </w:r>
          </w:p>
        </w:tc>
        <w:tc>
          <w:tcPr>
            <w:tcW w:w="5302" w:type="dxa"/>
            <w:vAlign w:val="center"/>
          </w:tcPr>
          <w:p w14:paraId="5C138503">
            <w:pPr>
              <w:pStyle w:val="25"/>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阳江市生态与农业气象中心</w:t>
            </w:r>
          </w:p>
        </w:tc>
      </w:tr>
      <w:tr w14:paraId="0B88682E">
        <w:tblPrEx>
          <w:tblCellMar>
            <w:top w:w="0" w:type="dxa"/>
            <w:left w:w="108" w:type="dxa"/>
            <w:bottom w:w="0" w:type="dxa"/>
            <w:right w:w="108" w:type="dxa"/>
          </w:tblCellMar>
        </w:tblPrEx>
        <w:trPr>
          <w:trHeight w:val="77" w:hRule="atLeast"/>
          <w:jc w:val="center"/>
        </w:trPr>
        <w:tc>
          <w:tcPr>
            <w:tcW w:w="2419" w:type="dxa"/>
            <w:vAlign w:val="center"/>
          </w:tcPr>
          <w:p w14:paraId="69C33683">
            <w:pPr>
              <w:pStyle w:val="25"/>
              <w:widowControl/>
              <w:adjustRightInd w:val="0"/>
              <w:snapToGrid w:val="0"/>
              <w:spacing w:line="360" w:lineRule="auto"/>
              <w:jc w:val="distribute"/>
              <w:rPr>
                <w:rFonts w:hAnsi="宋体"/>
                <w:b/>
                <w:bCs/>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采购代理机构</w:t>
            </w:r>
          </w:p>
        </w:tc>
        <w:tc>
          <w:tcPr>
            <w:tcW w:w="375" w:type="dxa"/>
          </w:tcPr>
          <w:p w14:paraId="000606F4">
            <w:pPr>
              <w:pStyle w:val="25"/>
              <w:widowControl/>
              <w:adjustRightInd w:val="0"/>
              <w:snapToGrid w:val="0"/>
              <w:spacing w:line="360" w:lineRule="auto"/>
              <w:jc w:val="left"/>
              <w:rPr>
                <w:rFonts w:hAnsi="宋体"/>
                <w:b/>
                <w:color w:val="000000" w:themeColor="text1"/>
                <w:sz w:val="28"/>
                <w:szCs w:val="28"/>
                <w14:textFill>
                  <w14:solidFill>
                    <w14:schemeClr w14:val="tx1"/>
                  </w14:solidFill>
                </w14:textFill>
              </w:rPr>
            </w:pPr>
            <w:r>
              <w:rPr>
                <w:rFonts w:hint="eastAsia" w:hAnsi="宋体"/>
                <w:b/>
                <w:color w:val="000000" w:themeColor="text1"/>
                <w:sz w:val="28"/>
                <w:szCs w:val="28"/>
                <w14:textFill>
                  <w14:solidFill>
                    <w14:schemeClr w14:val="tx1"/>
                  </w14:solidFill>
                </w14:textFill>
              </w:rPr>
              <w:t>：</w:t>
            </w:r>
          </w:p>
        </w:tc>
        <w:tc>
          <w:tcPr>
            <w:tcW w:w="5302" w:type="dxa"/>
            <w:vAlign w:val="center"/>
          </w:tcPr>
          <w:p w14:paraId="5C204504">
            <w:pPr>
              <w:pStyle w:val="25"/>
              <w:widowControl/>
              <w:adjustRightInd w:val="0"/>
              <w:snapToGrid w:val="0"/>
              <w:spacing w:line="360" w:lineRule="auto"/>
              <w:rPr>
                <w:rFonts w:hAnsi="宋体"/>
                <w:b/>
                <w:bCs/>
                <w:color w:val="000000" w:themeColor="text1"/>
                <w:sz w:val="28"/>
                <w:szCs w:val="28"/>
                <w14:textFill>
                  <w14:solidFill>
                    <w14:schemeClr w14:val="tx1"/>
                  </w14:solidFill>
                </w14:textFill>
              </w:rPr>
            </w:pPr>
            <w:r>
              <w:rPr>
                <w:rFonts w:hint="eastAsia" w:hAnsi="宋体"/>
                <w:b/>
                <w:bCs/>
                <w:color w:val="000000" w:themeColor="text1"/>
                <w:sz w:val="28"/>
                <w:szCs w:val="28"/>
                <w14:textFill>
                  <w14:solidFill>
                    <w14:schemeClr w14:val="tx1"/>
                  </w14:solidFill>
                </w14:textFill>
              </w:rPr>
              <w:t>广东业信采购招标有限公司</w:t>
            </w:r>
          </w:p>
        </w:tc>
      </w:tr>
    </w:tbl>
    <w:p w14:paraId="73E00E1B">
      <w:pPr>
        <w:pStyle w:val="25"/>
        <w:widowControl/>
        <w:adjustRightInd w:val="0"/>
        <w:snapToGrid w:val="0"/>
        <w:spacing w:line="360" w:lineRule="auto"/>
        <w:jc w:val="center"/>
        <w:rPr>
          <w:rFonts w:hAnsi="宋体"/>
          <w:b/>
          <w:bCs/>
          <w:color w:val="000000" w:themeColor="text1"/>
          <w:sz w:val="24"/>
          <w14:textFill>
            <w14:solidFill>
              <w14:schemeClr w14:val="tx1"/>
            </w14:solidFill>
          </w14:textFill>
        </w:rPr>
      </w:pPr>
    </w:p>
    <w:p w14:paraId="2CF4F0B6">
      <w:pP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br w:type="page"/>
      </w:r>
    </w:p>
    <w:p w14:paraId="0C19104C">
      <w:pPr>
        <w:spacing w:before="120" w:beforeLines="50" w:after="12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14:paraId="3568A259">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请供应商特别留意磋商文件上注明的</w:t>
      </w:r>
      <w:r>
        <w:rPr>
          <w:rFonts w:hint="eastAsia" w:ascii="宋体" w:hAnsi="宋体" w:cs="Tahoma"/>
          <w:color w:val="000000" w:themeColor="text1"/>
          <w14:textFill>
            <w14:solidFill>
              <w14:schemeClr w14:val="tx1"/>
            </w14:solidFill>
          </w14:textFill>
        </w:rPr>
        <w:t>递交磋商响应文件时间和响应截止时间</w:t>
      </w:r>
      <w:r>
        <w:rPr>
          <w:rFonts w:ascii="宋体" w:hAnsi="宋体"/>
          <w:color w:val="000000" w:themeColor="text1"/>
          <w:szCs w:val="21"/>
          <w14:textFill>
            <w14:solidFill>
              <w14:schemeClr w14:val="tx1"/>
            </w14:solidFill>
          </w14:textFill>
        </w:rPr>
        <w:t>，逾期送达或邮寄送达的磋商</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指定地点</w:t>
      </w:r>
      <w:r>
        <w:rPr>
          <w:rFonts w:ascii="宋体" w:hAnsi="宋体"/>
          <w:color w:val="000000" w:themeColor="text1"/>
          <w:szCs w:val="21"/>
          <w14:textFill>
            <w14:solidFill>
              <w14:schemeClr w14:val="tx1"/>
            </w14:solidFill>
          </w14:textFill>
        </w:rPr>
        <w:t>。</w:t>
      </w:r>
    </w:p>
    <w:p w14:paraId="651DADD1">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磋商文件中标有“★”的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其响应</w:t>
      </w:r>
      <w:r>
        <w:rPr>
          <w:rFonts w:ascii="宋体" w:hAnsi="宋体"/>
          <w:b/>
          <w:color w:val="000000" w:themeColor="text1"/>
          <w:szCs w:val="21"/>
          <w:u w:val="single"/>
          <w14:textFill>
            <w14:solidFill>
              <w14:schemeClr w14:val="tx1"/>
            </w14:solidFill>
          </w14:textFill>
        </w:rPr>
        <w:t>将按无效</w:t>
      </w:r>
      <w:r>
        <w:rPr>
          <w:rFonts w:hint="eastAsia" w:ascii="宋体" w:hAnsi="宋体"/>
          <w:b/>
          <w:color w:val="000000" w:themeColor="text1"/>
          <w:szCs w:val="21"/>
          <w:u w:val="single"/>
          <w14:textFill>
            <w14:solidFill>
              <w14:schemeClr w14:val="tx1"/>
            </w14:solidFill>
          </w14:textFill>
        </w:rPr>
        <w:t>响应</w:t>
      </w:r>
      <w:r>
        <w:rPr>
          <w:rFonts w:ascii="宋体" w:hAnsi="宋体"/>
          <w:b/>
          <w:color w:val="000000" w:themeColor="text1"/>
          <w:szCs w:val="21"/>
          <w:u w:val="single"/>
          <w14:textFill>
            <w14:solidFill>
              <w14:schemeClr w14:val="tx1"/>
            </w14:solidFill>
          </w14:textFill>
        </w:rPr>
        <w:t>处理。</w:t>
      </w:r>
    </w:p>
    <w:p w14:paraId="51EA415C">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请仔细检查《磋商邀请函》、</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Cs/>
          <w:color w:val="000000" w:themeColor="text1"/>
          <w:szCs w:val="21"/>
          <w14:textFill>
            <w14:solidFill>
              <w14:schemeClr w14:val="tx1"/>
            </w14:solidFill>
          </w14:textFill>
        </w:rPr>
        <w:t>。</w:t>
      </w:r>
    </w:p>
    <w:p w14:paraId="51892E1A">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供应商为中型、小型、微型企业的，请提交《中小微企业声明函》（详情见《政府采购促进中小企业发展管理方法》）。</w:t>
      </w:r>
    </w:p>
    <w:p w14:paraId="4E0C74C0">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建议将磋商文件按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14:paraId="07376DC7">
      <w:pPr>
        <w:numPr>
          <w:ilvl w:val="0"/>
          <w:numId w:val="21"/>
        </w:numPr>
        <w:spacing w:line="440" w:lineRule="exact"/>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分公司作为供应商的，需提供具有法人资格的总公司的营业执照副本复印件及授权书。</w:t>
      </w:r>
    </w:p>
    <w:p w14:paraId="7EC0F401">
      <w:pPr>
        <w:numPr>
          <w:ilvl w:val="0"/>
          <w:numId w:val="21"/>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供应商请注意区分磋商保证金及招标代理服务费收款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，务必将保证金按蹉商文件的要求缴纳，招标代理服务费存入蹉商文件指定的服务费账户。切勿将款项转错账户，以免影响采购活动。</w:t>
      </w:r>
    </w:p>
    <w:p w14:paraId="42CED071">
      <w:pPr>
        <w:numPr>
          <w:ilvl w:val="0"/>
          <w:numId w:val="21"/>
        </w:numPr>
        <w:spacing w:line="440" w:lineRule="exact"/>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不同响应方案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磋商小组</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对其响应</w:t>
      </w:r>
      <w:r>
        <w:rPr>
          <w:rFonts w:ascii="宋体" w:hAnsi="宋体"/>
          <w:color w:val="000000" w:themeColor="text1"/>
          <w:szCs w:val="21"/>
          <w14:textFill>
            <w14:solidFill>
              <w14:schemeClr w14:val="tx1"/>
            </w14:solidFill>
          </w14:textFill>
        </w:rPr>
        <w:t>按无效</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处理</w:t>
      </w:r>
      <w:r>
        <w:rPr>
          <w:rFonts w:hint="eastAsia" w:ascii="宋体" w:hAnsi="宋体"/>
          <w:color w:val="000000" w:themeColor="text1"/>
          <w:szCs w:val="21"/>
          <w14:textFill>
            <w14:solidFill>
              <w14:schemeClr w14:val="tx1"/>
            </w14:solidFill>
          </w14:textFill>
        </w:rPr>
        <w:t>（如有特殊要求的除外）。</w:t>
      </w:r>
    </w:p>
    <w:p w14:paraId="354B0A7D">
      <w:pPr>
        <w:pStyle w:val="25"/>
        <w:widowControl/>
        <w:adjustRightInd w:val="0"/>
        <w:snapToGrid w:val="0"/>
        <w:spacing w:line="440" w:lineRule="exact"/>
        <w:ind w:firstLine="413" w:firstLineChars="196"/>
        <w:rPr>
          <w:rFonts w:hAnsi="宋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（本提示内容非磋商文件的组成部分，仅为善意提醒。如有不一致，以磋商文件为准。）</w:t>
      </w:r>
    </w:p>
    <w:p w14:paraId="08223E33">
      <w:pPr>
        <w:pStyle w:val="25"/>
        <w:widowControl/>
        <w:adjustRightInd w:val="0"/>
        <w:snapToGrid w:val="0"/>
        <w:spacing w:line="360" w:lineRule="auto"/>
        <w:jc w:val="center"/>
        <w:rPr>
          <w:rFonts w:hAnsi="宋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051681EC">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14:paraId="7B2A00A7">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52081624">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7987F4CD">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1FD06970">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61673344">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70158101">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05509960">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177F1284">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4C273C80">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61E98587">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30E3F882">
      <w:pPr>
        <w:tabs>
          <w:tab w:val="left" w:pos="2400"/>
          <w:tab w:val="center" w:pos="4479"/>
        </w:tabs>
        <w:jc w:val="center"/>
        <w:rPr>
          <w:rFonts w:ascii="宋体" w:hAnsi="宋体"/>
          <w:b/>
          <w:bCs/>
          <w:color w:val="000000" w:themeColor="text1"/>
          <w:sz w:val="32"/>
          <w:szCs w:val="32"/>
          <w14:textFill>
            <w14:solidFill>
              <w14:schemeClr w14:val="tx1"/>
            </w14:solidFill>
          </w14:textFill>
        </w:rPr>
      </w:pPr>
    </w:p>
    <w:p w14:paraId="72D92298">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14:paraId="48A95B7A">
      <w:pPr>
        <w:pStyle w:val="33"/>
        <w:tabs>
          <w:tab w:val="right" w:leader="dot" w:pos="8959"/>
          <w:tab w:val="clear" w:pos="8949"/>
        </w:tabs>
      </w:pPr>
      <w:r>
        <w:rPr>
          <w:rFonts w:ascii="宋体" w:hAnsi="宋体"/>
          <w:b w:val="0"/>
          <w:bCs w:val="0"/>
          <w:caps w:val="0"/>
          <w:color w:val="000000" w:themeColor="text1"/>
          <w14:textFill>
            <w14:solidFill>
              <w14:schemeClr w14:val="tx1"/>
            </w14:solidFill>
          </w14:textFill>
        </w:rPr>
        <w:fldChar w:fldCharType="begin"/>
      </w:r>
      <w:r>
        <w:rPr>
          <w:rFonts w:ascii="宋体" w:hAnsi="宋体"/>
          <w:b w:val="0"/>
          <w:bCs w:val="0"/>
          <w:caps w:val="0"/>
          <w:color w:val="000000" w:themeColor="text1"/>
          <w14:textFill>
            <w14:solidFill>
              <w14:schemeClr w14:val="tx1"/>
            </w14:solidFill>
          </w14:textFill>
        </w:rPr>
        <w:instrText xml:space="preserve"> TOC \o "1-3" \h \z \u </w:instrText>
      </w:r>
      <w:r>
        <w:rPr>
          <w:rFonts w:ascii="宋体" w:hAnsi="宋体"/>
          <w:b w:val="0"/>
          <w:bCs w:val="0"/>
          <w:caps w:val="0"/>
          <w:color w:val="000000" w:themeColor="text1"/>
          <w14:textFill>
            <w14:solidFill>
              <w14:schemeClr w14:val="tx1"/>
            </w14:solidFill>
          </w14:textFill>
        </w:rPr>
        <w:fldChar w:fldCharType="separate"/>
      </w:r>
      <w:r>
        <w:fldChar w:fldCharType="begin"/>
      </w:r>
      <w:r>
        <w:instrText xml:space="preserve"> HYPERLINK \l "_Toc15169" </w:instrText>
      </w:r>
      <w:r>
        <w:fldChar w:fldCharType="separate"/>
      </w:r>
      <w:r>
        <w:rPr>
          <w:rFonts w:hint="eastAsia" w:ascii="宋体" w:hAnsi="宋体"/>
        </w:rPr>
        <w:t>第一部分 竞争性磋商邀请书</w:t>
      </w:r>
      <w:r>
        <w:tab/>
      </w:r>
      <w:r>
        <w:fldChar w:fldCharType="begin"/>
      </w:r>
      <w:r>
        <w:instrText xml:space="preserve"> PAGEREF _Toc15169 \h </w:instrText>
      </w:r>
      <w:r>
        <w:fldChar w:fldCharType="separate"/>
      </w:r>
      <w:r>
        <w:t>4</w:t>
      </w:r>
      <w:r>
        <w:fldChar w:fldCharType="end"/>
      </w:r>
      <w:r>
        <w:fldChar w:fldCharType="end"/>
      </w:r>
    </w:p>
    <w:p w14:paraId="5B9C49E5">
      <w:pPr>
        <w:pStyle w:val="33"/>
        <w:tabs>
          <w:tab w:val="right" w:leader="dot" w:pos="8959"/>
          <w:tab w:val="clear" w:pos="8949"/>
        </w:tabs>
      </w:pPr>
      <w:r>
        <w:fldChar w:fldCharType="begin"/>
      </w:r>
      <w:r>
        <w:instrText xml:space="preserve"> HYPERLINK \l "_Toc21012" </w:instrText>
      </w:r>
      <w:r>
        <w:fldChar w:fldCharType="separate"/>
      </w:r>
      <w:r>
        <w:rPr>
          <w:rFonts w:hint="eastAsia" w:ascii="宋体" w:hAnsi="宋体"/>
        </w:rPr>
        <w:t>第二部分 采购项目内容</w:t>
      </w:r>
      <w:r>
        <w:tab/>
      </w:r>
      <w:r>
        <w:fldChar w:fldCharType="begin"/>
      </w:r>
      <w:r>
        <w:instrText xml:space="preserve"> PAGEREF _Toc21012 \h </w:instrText>
      </w:r>
      <w:r>
        <w:fldChar w:fldCharType="separate"/>
      </w:r>
      <w:r>
        <w:t>7</w:t>
      </w:r>
      <w:r>
        <w:fldChar w:fldCharType="end"/>
      </w:r>
      <w:r>
        <w:fldChar w:fldCharType="end"/>
      </w:r>
    </w:p>
    <w:p w14:paraId="214A32E7">
      <w:pPr>
        <w:pStyle w:val="41"/>
        <w:tabs>
          <w:tab w:val="right" w:leader="dot" w:pos="8959"/>
          <w:tab w:val="clear" w:pos="8948"/>
        </w:tabs>
      </w:pPr>
      <w:r>
        <w:fldChar w:fldCharType="begin"/>
      </w:r>
      <w:r>
        <w:instrText xml:space="preserve"> HYPERLINK \l "_Toc15924" </w:instrText>
      </w:r>
      <w:r>
        <w:fldChar w:fldCharType="separate"/>
      </w:r>
      <w:r>
        <w:rPr>
          <w:kern w:val="0"/>
        </w:rPr>
        <w:t xml:space="preserve">A  </w:t>
      </w:r>
      <w:r>
        <w:rPr>
          <w:rFonts w:hint="eastAsia"/>
          <w:kern w:val="0"/>
        </w:rPr>
        <w:t>商务要求</w:t>
      </w:r>
      <w:r>
        <w:tab/>
      </w:r>
      <w:r>
        <w:fldChar w:fldCharType="begin"/>
      </w:r>
      <w:r>
        <w:instrText xml:space="preserve"> PAGEREF _Toc15924 \h </w:instrText>
      </w:r>
      <w:r>
        <w:fldChar w:fldCharType="separate"/>
      </w:r>
      <w:r>
        <w:t>7</w:t>
      </w:r>
      <w:r>
        <w:fldChar w:fldCharType="end"/>
      </w:r>
      <w:r>
        <w:fldChar w:fldCharType="end"/>
      </w:r>
    </w:p>
    <w:p w14:paraId="319EEE60">
      <w:pPr>
        <w:pStyle w:val="41"/>
        <w:tabs>
          <w:tab w:val="right" w:leader="dot" w:pos="8959"/>
          <w:tab w:val="clear" w:pos="8948"/>
        </w:tabs>
      </w:pPr>
      <w:r>
        <w:fldChar w:fldCharType="begin"/>
      </w:r>
      <w:r>
        <w:instrText xml:space="preserve"> HYPERLINK \l "_Toc3710" </w:instrText>
      </w:r>
      <w:r>
        <w:fldChar w:fldCharType="separate"/>
      </w:r>
      <w:r>
        <w:rPr>
          <w:rFonts w:hint="eastAsia"/>
          <w:kern w:val="0"/>
        </w:rPr>
        <w:t>B  技术要求</w:t>
      </w:r>
      <w:r>
        <w:tab/>
      </w:r>
      <w:r>
        <w:fldChar w:fldCharType="begin"/>
      </w:r>
      <w:r>
        <w:instrText xml:space="preserve"> PAGEREF _Toc3710 \h </w:instrText>
      </w:r>
      <w:r>
        <w:fldChar w:fldCharType="separate"/>
      </w:r>
      <w:r>
        <w:t>8</w:t>
      </w:r>
      <w:r>
        <w:fldChar w:fldCharType="end"/>
      </w:r>
      <w:r>
        <w:fldChar w:fldCharType="end"/>
      </w:r>
    </w:p>
    <w:p w14:paraId="49C8E034">
      <w:pPr>
        <w:pStyle w:val="33"/>
        <w:tabs>
          <w:tab w:val="right" w:leader="dot" w:pos="8959"/>
          <w:tab w:val="clear" w:pos="8949"/>
        </w:tabs>
      </w:pPr>
      <w:r>
        <w:fldChar w:fldCharType="begin"/>
      </w:r>
      <w:r>
        <w:instrText xml:space="preserve"> HYPERLINK \l "_Toc11342" </w:instrText>
      </w:r>
      <w:r>
        <w:fldChar w:fldCharType="separate"/>
      </w:r>
      <w:r>
        <w:rPr>
          <w:rFonts w:hint="eastAsia" w:ascii="宋体" w:hAnsi="宋体"/>
        </w:rPr>
        <w:t>第三部分 磋商须知</w:t>
      </w:r>
      <w:r>
        <w:tab/>
      </w:r>
      <w:r>
        <w:fldChar w:fldCharType="begin"/>
      </w:r>
      <w:r>
        <w:instrText xml:space="preserve"> PAGEREF _Toc11342 \h </w:instrText>
      </w:r>
      <w:r>
        <w:fldChar w:fldCharType="separate"/>
      </w:r>
      <w:r>
        <w:t>9</w:t>
      </w:r>
      <w:r>
        <w:fldChar w:fldCharType="end"/>
      </w:r>
      <w:r>
        <w:fldChar w:fldCharType="end"/>
      </w:r>
    </w:p>
    <w:p w14:paraId="6453BF52">
      <w:pPr>
        <w:pStyle w:val="41"/>
        <w:tabs>
          <w:tab w:val="right" w:leader="dot" w:pos="8959"/>
          <w:tab w:val="clear" w:pos="8948"/>
        </w:tabs>
      </w:pPr>
      <w:r>
        <w:fldChar w:fldCharType="begin"/>
      </w:r>
      <w:r>
        <w:instrText xml:space="preserve"> HYPERLINK \l "_Toc197" </w:instrText>
      </w:r>
      <w:r>
        <w:fldChar w:fldCharType="separate"/>
      </w:r>
      <w:r>
        <w:rPr>
          <w:rFonts w:hint="eastAsia"/>
        </w:rPr>
        <w:t>供应商须知前附表</w:t>
      </w:r>
      <w:r>
        <w:tab/>
      </w:r>
      <w:r>
        <w:fldChar w:fldCharType="begin"/>
      </w:r>
      <w:r>
        <w:instrText xml:space="preserve"> PAGEREF _Toc197 \h </w:instrText>
      </w:r>
      <w:r>
        <w:fldChar w:fldCharType="separate"/>
      </w:r>
      <w:r>
        <w:t>9</w:t>
      </w:r>
      <w:r>
        <w:fldChar w:fldCharType="end"/>
      </w:r>
      <w:r>
        <w:fldChar w:fldCharType="end"/>
      </w:r>
    </w:p>
    <w:p w14:paraId="5D2A4214">
      <w:pPr>
        <w:pStyle w:val="41"/>
        <w:tabs>
          <w:tab w:val="right" w:leader="dot" w:pos="8959"/>
          <w:tab w:val="clear" w:pos="8948"/>
        </w:tabs>
      </w:pPr>
      <w:r>
        <w:fldChar w:fldCharType="begin"/>
      </w:r>
      <w:r>
        <w:instrText xml:space="preserve"> HYPERLINK \l "_Toc11227" </w:instrText>
      </w:r>
      <w:r>
        <w:fldChar w:fldCharType="separate"/>
      </w:r>
      <w:r>
        <w:rPr>
          <w:rFonts w:hint="eastAsia"/>
        </w:rPr>
        <w:t>一、说  明</w:t>
      </w:r>
      <w:r>
        <w:tab/>
      </w:r>
      <w:r>
        <w:fldChar w:fldCharType="begin"/>
      </w:r>
      <w:r>
        <w:instrText xml:space="preserve"> PAGEREF _Toc11227 \h </w:instrText>
      </w:r>
      <w:r>
        <w:fldChar w:fldCharType="separate"/>
      </w:r>
      <w:r>
        <w:t>10</w:t>
      </w:r>
      <w:r>
        <w:fldChar w:fldCharType="end"/>
      </w:r>
      <w:r>
        <w:fldChar w:fldCharType="end"/>
      </w:r>
    </w:p>
    <w:p w14:paraId="525E516D">
      <w:pPr>
        <w:pStyle w:val="41"/>
        <w:tabs>
          <w:tab w:val="right" w:leader="dot" w:pos="8959"/>
          <w:tab w:val="clear" w:pos="8948"/>
        </w:tabs>
      </w:pPr>
      <w:r>
        <w:fldChar w:fldCharType="begin"/>
      </w:r>
      <w:r>
        <w:instrText xml:space="preserve"> HYPERLINK \l "_Toc23191" </w:instrText>
      </w:r>
      <w:r>
        <w:fldChar w:fldCharType="separate"/>
      </w:r>
      <w:r>
        <w:rPr>
          <w:rFonts w:hint="eastAsia"/>
        </w:rPr>
        <w:t>二、磋商文件</w:t>
      </w:r>
      <w:r>
        <w:tab/>
      </w:r>
      <w:r>
        <w:fldChar w:fldCharType="begin"/>
      </w:r>
      <w:r>
        <w:instrText xml:space="preserve"> PAGEREF _Toc23191 \h </w:instrText>
      </w:r>
      <w:r>
        <w:fldChar w:fldCharType="separate"/>
      </w:r>
      <w:r>
        <w:t>10</w:t>
      </w:r>
      <w:r>
        <w:fldChar w:fldCharType="end"/>
      </w:r>
      <w:r>
        <w:fldChar w:fldCharType="end"/>
      </w:r>
    </w:p>
    <w:p w14:paraId="5A45FFEC">
      <w:pPr>
        <w:pStyle w:val="41"/>
        <w:tabs>
          <w:tab w:val="right" w:leader="dot" w:pos="8959"/>
          <w:tab w:val="clear" w:pos="8948"/>
        </w:tabs>
      </w:pPr>
      <w:r>
        <w:fldChar w:fldCharType="begin"/>
      </w:r>
      <w:r>
        <w:instrText xml:space="preserve"> HYPERLINK \l "_Toc539" </w:instrText>
      </w:r>
      <w:r>
        <w:fldChar w:fldCharType="separate"/>
      </w:r>
      <w:r>
        <w:rPr>
          <w:rFonts w:hint="eastAsia"/>
        </w:rPr>
        <w:t>三、响应文件的编制</w:t>
      </w:r>
      <w:r>
        <w:tab/>
      </w:r>
      <w:r>
        <w:fldChar w:fldCharType="begin"/>
      </w:r>
      <w:r>
        <w:instrText xml:space="preserve"> PAGEREF _Toc539 \h </w:instrText>
      </w:r>
      <w:r>
        <w:fldChar w:fldCharType="separate"/>
      </w:r>
      <w:r>
        <w:t>11</w:t>
      </w:r>
      <w:r>
        <w:fldChar w:fldCharType="end"/>
      </w:r>
      <w:r>
        <w:fldChar w:fldCharType="end"/>
      </w:r>
    </w:p>
    <w:p w14:paraId="5EF249CC">
      <w:pPr>
        <w:pStyle w:val="41"/>
        <w:tabs>
          <w:tab w:val="right" w:leader="dot" w:pos="8959"/>
          <w:tab w:val="clear" w:pos="8948"/>
        </w:tabs>
      </w:pPr>
      <w:r>
        <w:fldChar w:fldCharType="begin"/>
      </w:r>
      <w:r>
        <w:instrText xml:space="preserve"> HYPERLINK \l "_Toc25942" </w:instrText>
      </w:r>
      <w:r>
        <w:fldChar w:fldCharType="separate"/>
      </w:r>
      <w:r>
        <w:rPr>
          <w:rFonts w:hint="eastAsia"/>
        </w:rPr>
        <w:t>四、磋商报价要求和供应商资格证明文件的要求</w:t>
      </w:r>
      <w:r>
        <w:tab/>
      </w:r>
      <w:r>
        <w:fldChar w:fldCharType="begin"/>
      </w:r>
      <w:r>
        <w:instrText xml:space="preserve"> PAGEREF _Toc25942 \h </w:instrText>
      </w:r>
      <w:r>
        <w:fldChar w:fldCharType="separate"/>
      </w:r>
      <w:r>
        <w:t>11</w:t>
      </w:r>
      <w:r>
        <w:fldChar w:fldCharType="end"/>
      </w:r>
      <w:r>
        <w:fldChar w:fldCharType="end"/>
      </w:r>
    </w:p>
    <w:p w14:paraId="24AF5B00">
      <w:pPr>
        <w:pStyle w:val="41"/>
        <w:tabs>
          <w:tab w:val="right" w:leader="dot" w:pos="8959"/>
          <w:tab w:val="clear" w:pos="8948"/>
        </w:tabs>
      </w:pPr>
      <w:r>
        <w:fldChar w:fldCharType="begin"/>
      </w:r>
      <w:r>
        <w:instrText xml:space="preserve"> HYPERLINK \l "_Toc3969" </w:instrText>
      </w:r>
      <w:r>
        <w:fldChar w:fldCharType="separate"/>
      </w:r>
      <w:r>
        <w:rPr>
          <w:rFonts w:hint="eastAsia"/>
        </w:rPr>
        <w:t>五、保证金</w:t>
      </w:r>
      <w:r>
        <w:tab/>
      </w:r>
      <w:r>
        <w:fldChar w:fldCharType="begin"/>
      </w:r>
      <w:r>
        <w:instrText xml:space="preserve"> PAGEREF _Toc3969 \h </w:instrText>
      </w:r>
      <w:r>
        <w:fldChar w:fldCharType="separate"/>
      </w:r>
      <w:r>
        <w:t>12</w:t>
      </w:r>
      <w:r>
        <w:fldChar w:fldCharType="end"/>
      </w:r>
      <w:r>
        <w:fldChar w:fldCharType="end"/>
      </w:r>
    </w:p>
    <w:p w14:paraId="5AC3FE73">
      <w:pPr>
        <w:pStyle w:val="41"/>
        <w:tabs>
          <w:tab w:val="right" w:leader="dot" w:pos="8959"/>
          <w:tab w:val="clear" w:pos="8948"/>
        </w:tabs>
      </w:pPr>
      <w:r>
        <w:fldChar w:fldCharType="begin"/>
      </w:r>
      <w:r>
        <w:instrText xml:space="preserve"> HYPERLINK \l "_Toc12763" </w:instrText>
      </w:r>
      <w:r>
        <w:fldChar w:fldCharType="separate"/>
      </w:r>
      <w:r>
        <w:rPr>
          <w:rFonts w:hint="eastAsia"/>
        </w:rPr>
        <w:t>六、响应文件的份数、封装和递交</w:t>
      </w:r>
      <w:r>
        <w:tab/>
      </w:r>
      <w:r>
        <w:fldChar w:fldCharType="begin"/>
      </w:r>
      <w:r>
        <w:instrText xml:space="preserve"> PAGEREF _Toc12763 \h </w:instrText>
      </w:r>
      <w:r>
        <w:fldChar w:fldCharType="separate"/>
      </w:r>
      <w:r>
        <w:t>12</w:t>
      </w:r>
      <w:r>
        <w:fldChar w:fldCharType="end"/>
      </w:r>
      <w:r>
        <w:fldChar w:fldCharType="end"/>
      </w:r>
    </w:p>
    <w:p w14:paraId="34C9ACDC">
      <w:pPr>
        <w:pStyle w:val="41"/>
        <w:tabs>
          <w:tab w:val="right" w:leader="dot" w:pos="8959"/>
          <w:tab w:val="clear" w:pos="8948"/>
        </w:tabs>
      </w:pPr>
      <w:r>
        <w:fldChar w:fldCharType="begin"/>
      </w:r>
      <w:r>
        <w:instrText xml:space="preserve"> HYPERLINK \l "_Toc21227" </w:instrText>
      </w:r>
      <w:r>
        <w:fldChar w:fldCharType="separate"/>
      </w:r>
      <w:r>
        <w:rPr>
          <w:rFonts w:hint="eastAsia"/>
        </w:rPr>
        <w:t>七、磋商的步骤</w:t>
      </w:r>
      <w:r>
        <w:tab/>
      </w:r>
      <w:r>
        <w:fldChar w:fldCharType="begin"/>
      </w:r>
      <w:r>
        <w:instrText xml:space="preserve"> PAGEREF _Toc21227 \h </w:instrText>
      </w:r>
      <w:r>
        <w:fldChar w:fldCharType="separate"/>
      </w:r>
      <w:r>
        <w:t>12</w:t>
      </w:r>
      <w:r>
        <w:fldChar w:fldCharType="end"/>
      </w:r>
      <w:r>
        <w:fldChar w:fldCharType="end"/>
      </w:r>
    </w:p>
    <w:p w14:paraId="7449E6D8">
      <w:pPr>
        <w:pStyle w:val="41"/>
        <w:tabs>
          <w:tab w:val="right" w:leader="dot" w:pos="8959"/>
          <w:tab w:val="clear" w:pos="8948"/>
        </w:tabs>
      </w:pPr>
      <w:r>
        <w:fldChar w:fldCharType="begin"/>
      </w:r>
      <w:r>
        <w:instrText xml:space="preserve"> HYPERLINK \l "_Toc22351" </w:instrText>
      </w:r>
      <w:r>
        <w:fldChar w:fldCharType="separate"/>
      </w:r>
      <w:r>
        <w:rPr>
          <w:rFonts w:hint="eastAsia"/>
        </w:rPr>
        <w:t>八、确定成交供应商办法</w:t>
      </w:r>
      <w:r>
        <w:tab/>
      </w:r>
      <w:r>
        <w:fldChar w:fldCharType="begin"/>
      </w:r>
      <w:r>
        <w:instrText xml:space="preserve"> PAGEREF _Toc22351 \h </w:instrText>
      </w:r>
      <w:r>
        <w:fldChar w:fldCharType="separate"/>
      </w:r>
      <w:r>
        <w:t>14</w:t>
      </w:r>
      <w:r>
        <w:fldChar w:fldCharType="end"/>
      </w:r>
      <w:r>
        <w:fldChar w:fldCharType="end"/>
      </w:r>
    </w:p>
    <w:p w14:paraId="6CF692B5">
      <w:pPr>
        <w:pStyle w:val="41"/>
        <w:tabs>
          <w:tab w:val="right" w:leader="dot" w:pos="8959"/>
          <w:tab w:val="clear" w:pos="8948"/>
        </w:tabs>
      </w:pPr>
      <w:r>
        <w:fldChar w:fldCharType="begin"/>
      </w:r>
      <w:r>
        <w:instrText xml:space="preserve"> HYPERLINK \l "_Toc21403" </w:instrText>
      </w:r>
      <w:r>
        <w:fldChar w:fldCharType="separate"/>
      </w:r>
      <w:r>
        <w:rPr>
          <w:rFonts w:hint="eastAsia"/>
        </w:rPr>
        <w:t>九、质疑</w:t>
      </w:r>
      <w:r>
        <w:tab/>
      </w:r>
      <w:r>
        <w:fldChar w:fldCharType="begin"/>
      </w:r>
      <w:r>
        <w:instrText xml:space="preserve"> PAGEREF _Toc21403 \h </w:instrText>
      </w:r>
      <w:r>
        <w:fldChar w:fldCharType="separate"/>
      </w:r>
      <w:r>
        <w:t>15</w:t>
      </w:r>
      <w:r>
        <w:fldChar w:fldCharType="end"/>
      </w:r>
      <w:r>
        <w:fldChar w:fldCharType="end"/>
      </w:r>
    </w:p>
    <w:p w14:paraId="14C83502">
      <w:pPr>
        <w:pStyle w:val="41"/>
        <w:tabs>
          <w:tab w:val="right" w:leader="dot" w:pos="8959"/>
          <w:tab w:val="clear" w:pos="8948"/>
        </w:tabs>
      </w:pPr>
      <w:r>
        <w:fldChar w:fldCharType="begin"/>
      </w:r>
      <w:r>
        <w:instrText xml:space="preserve"> HYPERLINK \l "_Toc16828" </w:instrText>
      </w:r>
      <w:r>
        <w:fldChar w:fldCharType="separate"/>
      </w:r>
      <w:r>
        <w:rPr>
          <w:rFonts w:hint="eastAsia"/>
        </w:rPr>
        <w:t>十、成交服务费</w:t>
      </w:r>
      <w:r>
        <w:tab/>
      </w:r>
      <w:r>
        <w:fldChar w:fldCharType="begin"/>
      </w:r>
      <w:r>
        <w:instrText xml:space="preserve"> PAGEREF _Toc16828 \h </w:instrText>
      </w:r>
      <w:r>
        <w:fldChar w:fldCharType="separate"/>
      </w:r>
      <w:r>
        <w:t>15</w:t>
      </w:r>
      <w:r>
        <w:fldChar w:fldCharType="end"/>
      </w:r>
      <w:r>
        <w:fldChar w:fldCharType="end"/>
      </w:r>
    </w:p>
    <w:p w14:paraId="6ED4F1A0">
      <w:pPr>
        <w:pStyle w:val="41"/>
        <w:tabs>
          <w:tab w:val="right" w:leader="dot" w:pos="8959"/>
          <w:tab w:val="clear" w:pos="8948"/>
        </w:tabs>
      </w:pPr>
      <w:r>
        <w:fldChar w:fldCharType="begin"/>
      </w:r>
      <w:r>
        <w:instrText xml:space="preserve"> HYPERLINK \l "_Toc4090" </w:instrText>
      </w:r>
      <w:r>
        <w:fldChar w:fldCharType="separate"/>
      </w:r>
      <w:r>
        <w:rPr>
          <w:rFonts w:hint="eastAsia"/>
        </w:rPr>
        <w:t>十一、合同的订立和履行</w:t>
      </w:r>
      <w:r>
        <w:tab/>
      </w:r>
      <w:r>
        <w:fldChar w:fldCharType="begin"/>
      </w:r>
      <w:r>
        <w:instrText xml:space="preserve"> PAGEREF _Toc4090 \h </w:instrText>
      </w:r>
      <w:r>
        <w:fldChar w:fldCharType="separate"/>
      </w:r>
      <w:r>
        <w:t>15</w:t>
      </w:r>
      <w:r>
        <w:fldChar w:fldCharType="end"/>
      </w:r>
      <w:r>
        <w:fldChar w:fldCharType="end"/>
      </w:r>
    </w:p>
    <w:p w14:paraId="01DFC389">
      <w:pPr>
        <w:pStyle w:val="41"/>
        <w:tabs>
          <w:tab w:val="right" w:leader="dot" w:pos="8959"/>
          <w:tab w:val="clear" w:pos="8948"/>
        </w:tabs>
      </w:pPr>
      <w:r>
        <w:fldChar w:fldCharType="begin"/>
      </w:r>
      <w:r>
        <w:instrText xml:space="preserve"> HYPERLINK \l "_Toc22091" </w:instrText>
      </w:r>
      <w:r>
        <w:fldChar w:fldCharType="separate"/>
      </w:r>
      <w:r>
        <w:rPr>
          <w:rFonts w:hint="eastAsia"/>
        </w:rPr>
        <w:t>十二、适用法律</w:t>
      </w:r>
      <w:r>
        <w:tab/>
      </w:r>
      <w:r>
        <w:fldChar w:fldCharType="begin"/>
      </w:r>
      <w:r>
        <w:instrText xml:space="preserve"> PAGEREF _Toc22091 \h </w:instrText>
      </w:r>
      <w:r>
        <w:fldChar w:fldCharType="separate"/>
      </w:r>
      <w:r>
        <w:t>15</w:t>
      </w:r>
      <w:r>
        <w:fldChar w:fldCharType="end"/>
      </w:r>
      <w:r>
        <w:fldChar w:fldCharType="end"/>
      </w:r>
    </w:p>
    <w:p w14:paraId="11E16D7D">
      <w:pPr>
        <w:pStyle w:val="41"/>
        <w:tabs>
          <w:tab w:val="right" w:leader="dot" w:pos="8959"/>
          <w:tab w:val="clear" w:pos="8948"/>
        </w:tabs>
      </w:pPr>
      <w:r>
        <w:fldChar w:fldCharType="begin"/>
      </w:r>
      <w:r>
        <w:instrText xml:space="preserve"> HYPERLINK \l "_Toc16234" </w:instrText>
      </w:r>
      <w:r>
        <w:fldChar w:fldCharType="separate"/>
      </w:r>
      <w:r>
        <w:rPr>
          <w:rFonts w:hint="eastAsia"/>
        </w:rPr>
        <w:t>十三、供应商应遵守的其他规定</w:t>
      </w:r>
      <w:r>
        <w:tab/>
      </w:r>
      <w:r>
        <w:fldChar w:fldCharType="begin"/>
      </w:r>
      <w:r>
        <w:instrText xml:space="preserve"> PAGEREF _Toc16234 \h </w:instrText>
      </w:r>
      <w:r>
        <w:fldChar w:fldCharType="separate"/>
      </w:r>
      <w:r>
        <w:t>15</w:t>
      </w:r>
      <w:r>
        <w:fldChar w:fldCharType="end"/>
      </w:r>
      <w:r>
        <w:fldChar w:fldCharType="end"/>
      </w:r>
    </w:p>
    <w:p w14:paraId="4A6CFFF9">
      <w:pPr>
        <w:pStyle w:val="33"/>
        <w:tabs>
          <w:tab w:val="right" w:leader="dot" w:pos="8959"/>
          <w:tab w:val="clear" w:pos="8949"/>
        </w:tabs>
      </w:pPr>
      <w:r>
        <w:fldChar w:fldCharType="begin"/>
      </w:r>
      <w:r>
        <w:instrText xml:space="preserve"> HYPERLINK \l "_Toc8774" </w:instrText>
      </w:r>
      <w:r>
        <w:fldChar w:fldCharType="separate"/>
      </w:r>
      <w:r>
        <w:t>第四部分</w:t>
      </w:r>
      <w:r>
        <w:rPr>
          <w:rFonts w:hint="eastAsia"/>
        </w:rPr>
        <w:t xml:space="preserve">  </w:t>
      </w:r>
      <w:r>
        <w:t>磋商、评审、成交</w:t>
      </w:r>
      <w:r>
        <w:tab/>
      </w:r>
      <w:r>
        <w:fldChar w:fldCharType="begin"/>
      </w:r>
      <w:r>
        <w:instrText xml:space="preserve"> PAGEREF _Toc8774 \h </w:instrText>
      </w:r>
      <w:r>
        <w:fldChar w:fldCharType="separate"/>
      </w:r>
      <w:r>
        <w:t>16</w:t>
      </w:r>
      <w:r>
        <w:fldChar w:fldCharType="end"/>
      </w:r>
      <w:r>
        <w:fldChar w:fldCharType="end"/>
      </w:r>
    </w:p>
    <w:p w14:paraId="3C7BC602">
      <w:pPr>
        <w:pStyle w:val="41"/>
        <w:tabs>
          <w:tab w:val="right" w:leader="dot" w:pos="8959"/>
          <w:tab w:val="clear" w:pos="8948"/>
        </w:tabs>
      </w:pPr>
      <w:r>
        <w:fldChar w:fldCharType="begin"/>
      </w:r>
      <w:r>
        <w:instrText xml:space="preserve"> HYPERLINK \l "_Toc26548" </w:instrText>
      </w:r>
      <w:r>
        <w:fldChar w:fldCharType="separate"/>
      </w:r>
      <w:r>
        <w:rPr>
          <w:rFonts w:hint="eastAsia"/>
        </w:rPr>
        <w:t>政府采购政策</w:t>
      </w:r>
      <w:r>
        <w:tab/>
      </w:r>
      <w:r>
        <w:fldChar w:fldCharType="begin"/>
      </w:r>
      <w:r>
        <w:instrText xml:space="preserve"> PAGEREF _Toc26548 \h </w:instrText>
      </w:r>
      <w:r>
        <w:fldChar w:fldCharType="separate"/>
      </w:r>
      <w:r>
        <w:t>18</w:t>
      </w:r>
      <w:r>
        <w:fldChar w:fldCharType="end"/>
      </w:r>
      <w:r>
        <w:fldChar w:fldCharType="end"/>
      </w:r>
    </w:p>
    <w:p w14:paraId="7B3AB151">
      <w:pPr>
        <w:pStyle w:val="33"/>
        <w:tabs>
          <w:tab w:val="right" w:leader="dot" w:pos="8959"/>
          <w:tab w:val="clear" w:pos="8949"/>
        </w:tabs>
      </w:pPr>
      <w:r>
        <w:fldChar w:fldCharType="begin"/>
      </w:r>
      <w:r>
        <w:instrText xml:space="preserve"> HYPERLINK \l "_Toc13145" </w:instrText>
      </w:r>
      <w:r>
        <w:fldChar w:fldCharType="separate"/>
      </w:r>
      <w:r>
        <w:rPr>
          <w:rFonts w:hint="eastAsia" w:ascii="宋体" w:hAnsi="宋体"/>
        </w:rPr>
        <w:t>第五部分  合同书格式（参考范本）</w:t>
      </w:r>
      <w:r>
        <w:tab/>
      </w:r>
      <w:r>
        <w:fldChar w:fldCharType="begin"/>
      </w:r>
      <w:r>
        <w:instrText xml:space="preserve"> PAGEREF _Toc13145 \h </w:instrText>
      </w:r>
      <w:r>
        <w:fldChar w:fldCharType="separate"/>
      </w:r>
      <w:r>
        <w:t>20</w:t>
      </w:r>
      <w:r>
        <w:fldChar w:fldCharType="end"/>
      </w:r>
      <w:r>
        <w:fldChar w:fldCharType="end"/>
      </w:r>
    </w:p>
    <w:p w14:paraId="332E27C9">
      <w:pPr>
        <w:pStyle w:val="33"/>
        <w:tabs>
          <w:tab w:val="right" w:leader="dot" w:pos="8959"/>
          <w:tab w:val="clear" w:pos="8949"/>
        </w:tabs>
      </w:pPr>
      <w:r>
        <w:fldChar w:fldCharType="begin"/>
      </w:r>
      <w:r>
        <w:instrText xml:space="preserve"> HYPERLINK \l "_Toc2769" </w:instrText>
      </w:r>
      <w:r>
        <w:fldChar w:fldCharType="separate"/>
      </w:r>
      <w:r>
        <w:rPr>
          <w:rFonts w:hint="eastAsia" w:ascii="宋体" w:hAnsi="宋体"/>
        </w:rPr>
        <w:t xml:space="preserve">第六部分 </w:t>
      </w:r>
      <w:r>
        <w:rPr>
          <w:rFonts w:ascii="宋体" w:hAnsi="宋体"/>
        </w:rPr>
        <w:t xml:space="preserve"> </w:t>
      </w:r>
      <w:r>
        <w:rPr>
          <w:rFonts w:hint="eastAsia" w:ascii="宋体" w:hAnsi="宋体"/>
        </w:rPr>
        <w:t>磋商响应文件格式</w:t>
      </w:r>
      <w:r>
        <w:tab/>
      </w:r>
      <w:r>
        <w:fldChar w:fldCharType="begin"/>
      </w:r>
      <w:r>
        <w:instrText xml:space="preserve"> PAGEREF _Toc2769 \h </w:instrText>
      </w:r>
      <w:r>
        <w:fldChar w:fldCharType="separate"/>
      </w:r>
      <w:r>
        <w:t>23</w:t>
      </w:r>
      <w:r>
        <w:fldChar w:fldCharType="end"/>
      </w:r>
      <w:r>
        <w:fldChar w:fldCharType="end"/>
      </w:r>
    </w:p>
    <w:p w14:paraId="2909A898">
      <w:pPr>
        <w:pStyle w:val="41"/>
        <w:tabs>
          <w:tab w:val="right" w:leader="dot" w:pos="8959"/>
          <w:tab w:val="clear" w:pos="8948"/>
        </w:tabs>
      </w:pPr>
      <w:r>
        <w:fldChar w:fldCharType="begin"/>
      </w:r>
      <w:r>
        <w:instrText xml:space="preserve"> HYPERLINK \l "_Toc27301" </w:instrText>
      </w:r>
      <w:r>
        <w:fldChar w:fldCharType="separate"/>
      </w:r>
      <w:r>
        <w:rPr>
          <w:rFonts w:hint="eastAsia"/>
        </w:rPr>
        <w:t>封面格式</w:t>
      </w:r>
      <w:r>
        <w:tab/>
      </w:r>
      <w:r>
        <w:fldChar w:fldCharType="begin"/>
      </w:r>
      <w:r>
        <w:instrText xml:space="preserve"> PAGEREF _Toc27301 \h </w:instrText>
      </w:r>
      <w:r>
        <w:fldChar w:fldCharType="separate"/>
      </w:r>
      <w:r>
        <w:t>23</w:t>
      </w:r>
      <w:r>
        <w:fldChar w:fldCharType="end"/>
      </w:r>
      <w:r>
        <w:fldChar w:fldCharType="end"/>
      </w:r>
    </w:p>
    <w:p w14:paraId="4534525E">
      <w:pPr>
        <w:pStyle w:val="41"/>
        <w:tabs>
          <w:tab w:val="right" w:leader="dot" w:pos="8959"/>
          <w:tab w:val="clear" w:pos="8948"/>
        </w:tabs>
      </w:pPr>
      <w:r>
        <w:fldChar w:fldCharType="begin"/>
      </w:r>
      <w:r>
        <w:instrText xml:space="preserve"> HYPERLINK \l "_Toc6181" </w:instrText>
      </w:r>
      <w:r>
        <w:fldChar w:fldCharType="separate"/>
      </w:r>
      <w:r>
        <w:t xml:space="preserve">第一章 </w:t>
      </w:r>
      <w:r>
        <w:rPr>
          <w:rFonts w:hint="eastAsia"/>
        </w:rPr>
        <w:t>自查表</w:t>
      </w:r>
      <w:r>
        <w:tab/>
      </w:r>
      <w:r>
        <w:fldChar w:fldCharType="begin"/>
      </w:r>
      <w:r>
        <w:instrText xml:space="preserve"> PAGEREF _Toc6181 \h </w:instrText>
      </w:r>
      <w:r>
        <w:fldChar w:fldCharType="separate"/>
      </w:r>
      <w:r>
        <w:t>24</w:t>
      </w:r>
      <w:r>
        <w:fldChar w:fldCharType="end"/>
      </w:r>
      <w:r>
        <w:fldChar w:fldCharType="end"/>
      </w:r>
    </w:p>
    <w:p w14:paraId="520718CA">
      <w:pPr>
        <w:pStyle w:val="41"/>
        <w:tabs>
          <w:tab w:val="right" w:leader="dot" w:pos="8959"/>
          <w:tab w:val="clear" w:pos="8948"/>
        </w:tabs>
      </w:pPr>
      <w:r>
        <w:fldChar w:fldCharType="begin"/>
      </w:r>
      <w:r>
        <w:instrText xml:space="preserve"> HYPERLINK \l "_Toc27041" </w:instrText>
      </w:r>
      <w:r>
        <w:fldChar w:fldCharType="separate"/>
      </w:r>
      <w:r>
        <w:rPr>
          <w:rFonts w:hint="eastAsia"/>
        </w:rPr>
        <w:t>1.1  资格性/符合性自查表</w:t>
      </w:r>
      <w:r>
        <w:tab/>
      </w:r>
      <w:r>
        <w:fldChar w:fldCharType="begin"/>
      </w:r>
      <w:r>
        <w:instrText xml:space="preserve"> PAGEREF _Toc27041 \h </w:instrText>
      </w:r>
      <w:r>
        <w:fldChar w:fldCharType="separate"/>
      </w:r>
      <w:r>
        <w:t>24</w:t>
      </w:r>
      <w:r>
        <w:fldChar w:fldCharType="end"/>
      </w:r>
      <w:r>
        <w:fldChar w:fldCharType="end"/>
      </w:r>
    </w:p>
    <w:p w14:paraId="641A1D67">
      <w:pPr>
        <w:pStyle w:val="41"/>
        <w:tabs>
          <w:tab w:val="right" w:leader="dot" w:pos="8959"/>
          <w:tab w:val="clear" w:pos="8948"/>
        </w:tabs>
      </w:pPr>
      <w:r>
        <w:fldChar w:fldCharType="begin"/>
      </w:r>
      <w:r>
        <w:instrText xml:space="preserve"> HYPERLINK \l "_Toc25700" </w:instrText>
      </w:r>
      <w:r>
        <w:fldChar w:fldCharType="separate"/>
      </w:r>
      <w:r>
        <w:rPr>
          <w:rFonts w:hint="eastAsia"/>
          <w:szCs w:val="28"/>
        </w:rPr>
        <w:t>（一）无重大违法记录声明函</w:t>
      </w:r>
      <w:r>
        <w:tab/>
      </w:r>
      <w:r>
        <w:fldChar w:fldCharType="begin"/>
      </w:r>
      <w:r>
        <w:instrText xml:space="preserve"> PAGEREF _Toc25700 \h </w:instrText>
      </w:r>
      <w:r>
        <w:fldChar w:fldCharType="separate"/>
      </w:r>
      <w:r>
        <w:t>26</w:t>
      </w:r>
      <w:r>
        <w:fldChar w:fldCharType="end"/>
      </w:r>
      <w:r>
        <w:fldChar w:fldCharType="end"/>
      </w:r>
    </w:p>
    <w:p w14:paraId="0BD18C8F">
      <w:pPr>
        <w:pStyle w:val="41"/>
        <w:tabs>
          <w:tab w:val="right" w:leader="dot" w:pos="8959"/>
          <w:tab w:val="clear" w:pos="8948"/>
        </w:tabs>
      </w:pPr>
      <w:r>
        <w:fldChar w:fldCharType="begin"/>
      </w:r>
      <w:r>
        <w:instrText xml:space="preserve"> HYPERLINK \l "_Toc28390" </w:instrText>
      </w:r>
      <w:r>
        <w:fldChar w:fldCharType="separate"/>
      </w:r>
      <w:r>
        <w:rPr>
          <w:rFonts w:hint="eastAsia"/>
          <w:kern w:val="0"/>
          <w:szCs w:val="28"/>
        </w:rPr>
        <w:t>（二）法定代表人（负责人）证明书</w:t>
      </w:r>
      <w:r>
        <w:tab/>
      </w:r>
      <w:r>
        <w:fldChar w:fldCharType="begin"/>
      </w:r>
      <w:r>
        <w:instrText xml:space="preserve"> PAGEREF _Toc28390 \h </w:instrText>
      </w:r>
      <w:r>
        <w:fldChar w:fldCharType="separate"/>
      </w:r>
      <w:r>
        <w:t>27</w:t>
      </w:r>
      <w:r>
        <w:fldChar w:fldCharType="end"/>
      </w:r>
      <w:r>
        <w:fldChar w:fldCharType="end"/>
      </w:r>
    </w:p>
    <w:p w14:paraId="22012F02">
      <w:pPr>
        <w:pStyle w:val="41"/>
        <w:tabs>
          <w:tab w:val="right" w:leader="dot" w:pos="8959"/>
          <w:tab w:val="clear" w:pos="8948"/>
        </w:tabs>
      </w:pPr>
      <w:r>
        <w:fldChar w:fldCharType="begin"/>
      </w:r>
      <w:r>
        <w:instrText xml:space="preserve"> HYPERLINK \l "_Toc17841" </w:instrText>
      </w:r>
      <w:r>
        <w:fldChar w:fldCharType="separate"/>
      </w:r>
      <w:r>
        <w:rPr>
          <w:rFonts w:hint="eastAsia"/>
          <w:szCs w:val="28"/>
        </w:rPr>
        <w:t>（三）法定代表人（负责人）授权书</w:t>
      </w:r>
      <w:r>
        <w:tab/>
      </w:r>
      <w:r>
        <w:fldChar w:fldCharType="begin"/>
      </w:r>
      <w:r>
        <w:instrText xml:space="preserve"> PAGEREF _Toc17841 \h </w:instrText>
      </w:r>
      <w:r>
        <w:fldChar w:fldCharType="separate"/>
      </w:r>
      <w:r>
        <w:t>28</w:t>
      </w:r>
      <w:r>
        <w:fldChar w:fldCharType="end"/>
      </w:r>
      <w:r>
        <w:fldChar w:fldCharType="end"/>
      </w:r>
    </w:p>
    <w:p w14:paraId="79802513">
      <w:pPr>
        <w:pStyle w:val="41"/>
        <w:tabs>
          <w:tab w:val="right" w:leader="dot" w:pos="8959"/>
          <w:tab w:val="clear" w:pos="8948"/>
        </w:tabs>
      </w:pPr>
      <w:r>
        <w:fldChar w:fldCharType="begin"/>
      </w:r>
      <w:r>
        <w:instrText xml:space="preserve"> HYPERLINK \l "_Toc27211" </w:instrText>
      </w:r>
      <w:r>
        <w:fldChar w:fldCharType="separate"/>
      </w:r>
      <w:r>
        <w:rPr>
          <w:rFonts w:hint="eastAsia"/>
          <w:szCs w:val="28"/>
        </w:rPr>
        <w:t>（四） 资格审查文件要求提交的其它有效证明文件</w:t>
      </w:r>
      <w:r>
        <w:tab/>
      </w:r>
      <w:r>
        <w:fldChar w:fldCharType="begin"/>
      </w:r>
      <w:r>
        <w:instrText xml:space="preserve"> PAGEREF _Toc27211 \h </w:instrText>
      </w:r>
      <w:r>
        <w:fldChar w:fldCharType="separate"/>
      </w:r>
      <w:r>
        <w:t>29</w:t>
      </w:r>
      <w:r>
        <w:fldChar w:fldCharType="end"/>
      </w:r>
      <w:r>
        <w:fldChar w:fldCharType="end"/>
      </w:r>
    </w:p>
    <w:p w14:paraId="1B937E27">
      <w:pPr>
        <w:pStyle w:val="41"/>
        <w:tabs>
          <w:tab w:val="right" w:leader="dot" w:pos="8959"/>
          <w:tab w:val="clear" w:pos="8948"/>
        </w:tabs>
      </w:pPr>
      <w:r>
        <w:fldChar w:fldCharType="begin"/>
      </w:r>
      <w:r>
        <w:instrText xml:space="preserve"> HYPERLINK \l "_Toc7617" </w:instrText>
      </w:r>
      <w:r>
        <w:fldChar w:fldCharType="separate"/>
      </w:r>
      <w:r>
        <w:rPr>
          <w:rFonts w:hint="eastAsia"/>
          <w:szCs w:val="28"/>
        </w:rPr>
        <w:t>第二章  磋商响应文件商务及技术部分</w:t>
      </w:r>
      <w:r>
        <w:tab/>
      </w:r>
      <w:r>
        <w:fldChar w:fldCharType="begin"/>
      </w:r>
      <w:r>
        <w:instrText xml:space="preserve"> PAGEREF _Toc7617 \h </w:instrText>
      </w:r>
      <w:r>
        <w:fldChar w:fldCharType="separate"/>
      </w:r>
      <w:r>
        <w:t>30</w:t>
      </w:r>
      <w:r>
        <w:fldChar w:fldCharType="end"/>
      </w:r>
      <w:r>
        <w:fldChar w:fldCharType="end"/>
      </w:r>
    </w:p>
    <w:p w14:paraId="6151C368">
      <w:pPr>
        <w:pStyle w:val="41"/>
        <w:tabs>
          <w:tab w:val="right" w:leader="dot" w:pos="8959"/>
          <w:tab w:val="clear" w:pos="8948"/>
        </w:tabs>
      </w:pPr>
      <w:r>
        <w:fldChar w:fldCharType="begin"/>
      </w:r>
      <w:r>
        <w:instrText xml:space="preserve"> HYPERLINK \l "_Toc2818" </w:instrText>
      </w:r>
      <w:r>
        <w:fldChar w:fldCharType="separate"/>
      </w:r>
      <w:r>
        <w:rPr>
          <w:rFonts w:hint="eastAsia"/>
          <w:szCs w:val="28"/>
        </w:rPr>
        <w:t>附件一：磋商邀请函</w:t>
      </w:r>
      <w:r>
        <w:tab/>
      </w:r>
      <w:r>
        <w:fldChar w:fldCharType="begin"/>
      </w:r>
      <w:r>
        <w:instrText xml:space="preserve"> PAGEREF _Toc2818 \h </w:instrText>
      </w:r>
      <w:r>
        <w:fldChar w:fldCharType="separate"/>
      </w:r>
      <w:r>
        <w:t>30</w:t>
      </w:r>
      <w:r>
        <w:fldChar w:fldCharType="end"/>
      </w:r>
      <w:r>
        <w:fldChar w:fldCharType="end"/>
      </w:r>
    </w:p>
    <w:p w14:paraId="4911031D">
      <w:pPr>
        <w:pStyle w:val="41"/>
        <w:tabs>
          <w:tab w:val="right" w:leader="dot" w:pos="8959"/>
          <w:tab w:val="clear" w:pos="8948"/>
        </w:tabs>
      </w:pPr>
      <w:r>
        <w:fldChar w:fldCharType="begin"/>
      </w:r>
      <w:r>
        <w:instrText xml:space="preserve"> HYPERLINK \l "_Toc10757" </w:instrText>
      </w:r>
      <w:r>
        <w:fldChar w:fldCharType="separate"/>
      </w:r>
      <w:r>
        <w:rPr>
          <w:rFonts w:hint="eastAsia"/>
          <w:szCs w:val="28"/>
        </w:rPr>
        <w:t>附件二：第一次报价一览表</w:t>
      </w:r>
      <w:r>
        <w:tab/>
      </w:r>
      <w:r>
        <w:fldChar w:fldCharType="begin"/>
      </w:r>
      <w:r>
        <w:instrText xml:space="preserve"> PAGEREF _Toc10757 \h </w:instrText>
      </w:r>
      <w:r>
        <w:fldChar w:fldCharType="separate"/>
      </w:r>
      <w:r>
        <w:t>31</w:t>
      </w:r>
      <w:r>
        <w:fldChar w:fldCharType="end"/>
      </w:r>
      <w:r>
        <w:fldChar w:fldCharType="end"/>
      </w:r>
    </w:p>
    <w:p w14:paraId="0F27CE88">
      <w:pPr>
        <w:pStyle w:val="41"/>
        <w:tabs>
          <w:tab w:val="right" w:leader="dot" w:pos="8959"/>
          <w:tab w:val="clear" w:pos="8948"/>
        </w:tabs>
      </w:pPr>
      <w:r>
        <w:fldChar w:fldCharType="begin"/>
      </w:r>
      <w:r>
        <w:instrText xml:space="preserve"> HYPERLINK \l "_Toc24476" </w:instrText>
      </w:r>
      <w:r>
        <w:fldChar w:fldCharType="separate"/>
      </w:r>
      <w:r>
        <w:rPr>
          <w:rFonts w:hint="eastAsia"/>
          <w:szCs w:val="28"/>
        </w:rPr>
        <w:t>附件三：磋商分项报价</w:t>
      </w:r>
      <w:r>
        <w:rPr>
          <w:szCs w:val="28"/>
        </w:rPr>
        <w:t>表</w:t>
      </w:r>
      <w:r>
        <w:tab/>
      </w:r>
      <w:r>
        <w:fldChar w:fldCharType="begin"/>
      </w:r>
      <w:r>
        <w:instrText xml:space="preserve"> PAGEREF _Toc24476 \h </w:instrText>
      </w:r>
      <w:r>
        <w:fldChar w:fldCharType="separate"/>
      </w:r>
      <w:r>
        <w:t>32</w:t>
      </w:r>
      <w:r>
        <w:fldChar w:fldCharType="end"/>
      </w:r>
      <w:r>
        <w:fldChar w:fldCharType="end"/>
      </w:r>
    </w:p>
    <w:p w14:paraId="0C254509">
      <w:pPr>
        <w:pStyle w:val="41"/>
        <w:tabs>
          <w:tab w:val="right" w:leader="dot" w:pos="8959"/>
          <w:tab w:val="clear" w:pos="8948"/>
        </w:tabs>
      </w:pPr>
      <w:r>
        <w:fldChar w:fldCharType="begin"/>
      </w:r>
      <w:r>
        <w:instrText xml:space="preserve"> HYPERLINK \l "_Toc29219" </w:instrText>
      </w:r>
      <w:r>
        <w:fldChar w:fldCharType="separate"/>
      </w:r>
      <w:r>
        <w:rPr>
          <w:rFonts w:hint="eastAsia"/>
          <w:szCs w:val="28"/>
        </w:rPr>
        <w:t>附件四：商务条款偏离一览表</w:t>
      </w:r>
      <w:r>
        <w:tab/>
      </w:r>
      <w:r>
        <w:fldChar w:fldCharType="begin"/>
      </w:r>
      <w:r>
        <w:instrText xml:space="preserve"> PAGEREF _Toc29219 \h </w:instrText>
      </w:r>
      <w:r>
        <w:fldChar w:fldCharType="separate"/>
      </w:r>
      <w:r>
        <w:t>33</w:t>
      </w:r>
      <w:r>
        <w:fldChar w:fldCharType="end"/>
      </w:r>
      <w:r>
        <w:fldChar w:fldCharType="end"/>
      </w:r>
    </w:p>
    <w:p w14:paraId="29C5581D">
      <w:pPr>
        <w:pStyle w:val="41"/>
        <w:tabs>
          <w:tab w:val="right" w:leader="dot" w:pos="8959"/>
          <w:tab w:val="clear" w:pos="8948"/>
        </w:tabs>
      </w:pPr>
      <w:r>
        <w:fldChar w:fldCharType="begin"/>
      </w:r>
      <w:r>
        <w:instrText xml:space="preserve"> HYPERLINK \l "_Toc7960" </w:instrText>
      </w:r>
      <w:r>
        <w:fldChar w:fldCharType="separate"/>
      </w:r>
      <w:r>
        <w:rPr>
          <w:rFonts w:hint="eastAsia"/>
          <w:szCs w:val="28"/>
        </w:rPr>
        <w:t>附件五：技术条款偏离一览表</w:t>
      </w:r>
      <w:r>
        <w:tab/>
      </w:r>
      <w:r>
        <w:fldChar w:fldCharType="begin"/>
      </w:r>
      <w:r>
        <w:instrText xml:space="preserve"> PAGEREF _Toc7960 \h </w:instrText>
      </w:r>
      <w:r>
        <w:fldChar w:fldCharType="separate"/>
      </w:r>
      <w:r>
        <w:t>34</w:t>
      </w:r>
      <w:r>
        <w:fldChar w:fldCharType="end"/>
      </w:r>
      <w:r>
        <w:fldChar w:fldCharType="end"/>
      </w:r>
    </w:p>
    <w:p w14:paraId="220115FC">
      <w:pPr>
        <w:pStyle w:val="41"/>
        <w:tabs>
          <w:tab w:val="right" w:leader="dot" w:pos="8959"/>
          <w:tab w:val="clear" w:pos="8948"/>
        </w:tabs>
      </w:pPr>
      <w:r>
        <w:fldChar w:fldCharType="begin"/>
      </w:r>
      <w:r>
        <w:instrText xml:space="preserve"> HYPERLINK \l "_Toc12109" </w:instrText>
      </w:r>
      <w:r>
        <w:fldChar w:fldCharType="separate"/>
      </w:r>
      <w:r>
        <w:rPr>
          <w:rFonts w:hint="eastAsia"/>
          <w:szCs w:val="28"/>
        </w:rPr>
        <w:t>附件六：同类业绩一览表</w:t>
      </w:r>
      <w:r>
        <w:tab/>
      </w:r>
      <w:r>
        <w:fldChar w:fldCharType="begin"/>
      </w:r>
      <w:r>
        <w:instrText xml:space="preserve"> PAGEREF _Toc12109 \h </w:instrText>
      </w:r>
      <w:r>
        <w:fldChar w:fldCharType="separate"/>
      </w:r>
      <w:r>
        <w:t>35</w:t>
      </w:r>
      <w:r>
        <w:fldChar w:fldCharType="end"/>
      </w:r>
      <w:r>
        <w:fldChar w:fldCharType="end"/>
      </w:r>
    </w:p>
    <w:p w14:paraId="7710417D">
      <w:pPr>
        <w:pStyle w:val="41"/>
        <w:tabs>
          <w:tab w:val="right" w:leader="dot" w:pos="8959"/>
          <w:tab w:val="clear" w:pos="8948"/>
        </w:tabs>
      </w:pPr>
      <w:r>
        <w:fldChar w:fldCharType="begin"/>
      </w:r>
      <w:r>
        <w:instrText xml:space="preserve"> HYPERLINK \l "_Toc11106" </w:instrText>
      </w:r>
      <w:r>
        <w:fldChar w:fldCharType="separate"/>
      </w:r>
      <w:r>
        <w:rPr>
          <w:rFonts w:hint="eastAsia"/>
          <w:szCs w:val="28"/>
        </w:rPr>
        <w:t>附件七：</w:t>
      </w:r>
      <w:r>
        <w:rPr>
          <w:rFonts w:hint="eastAsia" w:hAnsi="黑体" w:cs="黑体"/>
          <w:szCs w:val="28"/>
        </w:rPr>
        <w:t>中小微企业声明函</w:t>
      </w:r>
      <w:r>
        <w:tab/>
      </w:r>
      <w:r>
        <w:fldChar w:fldCharType="begin"/>
      </w:r>
      <w:r>
        <w:instrText xml:space="preserve"> PAGEREF _Toc11106 \h </w:instrText>
      </w:r>
      <w:r>
        <w:fldChar w:fldCharType="separate"/>
      </w:r>
      <w:r>
        <w:t>36</w:t>
      </w:r>
      <w:r>
        <w:fldChar w:fldCharType="end"/>
      </w:r>
      <w:r>
        <w:fldChar w:fldCharType="end"/>
      </w:r>
    </w:p>
    <w:p w14:paraId="1C6D5A55">
      <w:pPr>
        <w:pStyle w:val="41"/>
        <w:tabs>
          <w:tab w:val="right" w:leader="dot" w:pos="8959"/>
          <w:tab w:val="clear" w:pos="8948"/>
        </w:tabs>
      </w:pPr>
      <w:r>
        <w:fldChar w:fldCharType="begin"/>
      </w:r>
      <w:r>
        <w:instrText xml:space="preserve"> HYPERLINK \l "_Toc6964" </w:instrText>
      </w:r>
      <w:r>
        <w:fldChar w:fldCharType="separate"/>
      </w:r>
      <w:r>
        <w:rPr>
          <w:rFonts w:hint="eastAsia"/>
          <w:szCs w:val="28"/>
        </w:rPr>
        <w:t>附件八：</w:t>
      </w:r>
      <w:r>
        <w:rPr>
          <w:rFonts w:hint="eastAsia" w:hAnsi="黑体" w:cs="黑体"/>
          <w:szCs w:val="28"/>
        </w:rPr>
        <w:t>残疾人福利性单位声明函</w:t>
      </w:r>
      <w:r>
        <w:tab/>
      </w:r>
      <w:r>
        <w:fldChar w:fldCharType="begin"/>
      </w:r>
      <w:r>
        <w:instrText xml:space="preserve"> PAGEREF _Toc6964 \h </w:instrText>
      </w:r>
      <w:r>
        <w:fldChar w:fldCharType="separate"/>
      </w:r>
      <w:r>
        <w:t>37</w:t>
      </w:r>
      <w:r>
        <w:fldChar w:fldCharType="end"/>
      </w:r>
      <w:r>
        <w:fldChar w:fldCharType="end"/>
      </w:r>
    </w:p>
    <w:p w14:paraId="6791000F">
      <w:pPr>
        <w:pStyle w:val="41"/>
        <w:tabs>
          <w:tab w:val="right" w:leader="dot" w:pos="8959"/>
          <w:tab w:val="clear" w:pos="8948"/>
        </w:tabs>
      </w:pPr>
      <w:r>
        <w:fldChar w:fldCharType="begin"/>
      </w:r>
      <w:r>
        <w:instrText xml:space="preserve"> HYPERLINK \l "_Toc8442" </w:instrText>
      </w:r>
      <w:r>
        <w:fldChar w:fldCharType="separate"/>
      </w:r>
      <w:r>
        <w:rPr>
          <w:rFonts w:hint="eastAsia"/>
          <w:szCs w:val="28"/>
        </w:rPr>
        <w:t>附件九：成交服务费承诺</w:t>
      </w:r>
      <w:r>
        <w:tab/>
      </w:r>
      <w:r>
        <w:fldChar w:fldCharType="begin"/>
      </w:r>
      <w:r>
        <w:instrText xml:space="preserve"> PAGEREF _Toc8442 \h </w:instrText>
      </w:r>
      <w:r>
        <w:fldChar w:fldCharType="separate"/>
      </w:r>
      <w:r>
        <w:t>38</w:t>
      </w:r>
      <w:r>
        <w:fldChar w:fldCharType="end"/>
      </w:r>
      <w:r>
        <w:fldChar w:fldCharType="end"/>
      </w:r>
    </w:p>
    <w:p w14:paraId="2461099A">
      <w:pPr>
        <w:pStyle w:val="41"/>
        <w:tabs>
          <w:tab w:val="right" w:leader="dot" w:pos="8959"/>
          <w:tab w:val="clear" w:pos="8948"/>
        </w:tabs>
      </w:pPr>
      <w:r>
        <w:fldChar w:fldCharType="begin"/>
      </w:r>
      <w:r>
        <w:instrText xml:space="preserve"> HYPERLINK \l "_Toc19367" </w:instrText>
      </w:r>
      <w:r>
        <w:fldChar w:fldCharType="separate"/>
      </w:r>
      <w:r>
        <w:rPr>
          <w:rFonts w:hint="eastAsia"/>
          <w:szCs w:val="28"/>
        </w:rPr>
        <w:t>附件十：磋商供应商提交的其他资料</w:t>
      </w:r>
      <w:r>
        <w:tab/>
      </w:r>
      <w:r>
        <w:fldChar w:fldCharType="begin"/>
      </w:r>
      <w:r>
        <w:instrText xml:space="preserve"> PAGEREF _Toc19367 \h </w:instrText>
      </w:r>
      <w:r>
        <w:fldChar w:fldCharType="separate"/>
      </w:r>
      <w:r>
        <w:t>39</w:t>
      </w:r>
      <w:r>
        <w:fldChar w:fldCharType="end"/>
      </w:r>
      <w:r>
        <w:fldChar w:fldCharType="end"/>
      </w:r>
    </w:p>
    <w:p w14:paraId="29D63F6F">
      <w:pPr>
        <w:pStyle w:val="41"/>
        <w:tabs>
          <w:tab w:val="right" w:leader="dot" w:pos="8959"/>
          <w:tab w:val="clear" w:pos="8948"/>
        </w:tabs>
      </w:pPr>
      <w:r>
        <w:fldChar w:fldCharType="begin"/>
      </w:r>
      <w:r>
        <w:instrText xml:space="preserve"> HYPERLINK \l "_Toc9363" </w:instrText>
      </w:r>
      <w:r>
        <w:fldChar w:fldCharType="separate"/>
      </w:r>
      <w:r>
        <w:rPr>
          <w:rFonts w:hint="eastAsia"/>
        </w:rPr>
        <w:t>其 他 格 式</w:t>
      </w:r>
      <w:r>
        <w:tab/>
      </w:r>
      <w:r>
        <w:fldChar w:fldCharType="begin"/>
      </w:r>
      <w:r>
        <w:instrText xml:space="preserve"> PAGEREF _Toc9363 \h </w:instrText>
      </w:r>
      <w:r>
        <w:fldChar w:fldCharType="separate"/>
      </w:r>
      <w:r>
        <w:t>41</w:t>
      </w:r>
      <w:r>
        <w:fldChar w:fldCharType="end"/>
      </w:r>
      <w:r>
        <w:fldChar w:fldCharType="end"/>
      </w:r>
    </w:p>
    <w:p w14:paraId="512B6C1A">
      <w:pPr>
        <w:rPr>
          <w:rFonts w:ascii="宋体" w:hAnsi="宋体"/>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14:textFill>
            <w14:solidFill>
              <w14:schemeClr w14:val="tx1"/>
            </w14:solidFill>
          </w14:textFill>
        </w:rPr>
        <w:fldChar w:fldCharType="end"/>
      </w:r>
    </w:p>
    <w:bookmarkEnd w:id="0"/>
    <w:p w14:paraId="53864437">
      <w:pPr>
        <w:pStyle w:val="2"/>
        <w:numPr>
          <w:ilvl w:val="0"/>
          <w:numId w:val="0"/>
        </w:numPr>
        <w:spacing w:beforeLines="0"/>
        <w:rPr>
          <w:rFonts w:ascii="宋体" w:hAnsi="宋体" w:eastAsia="宋体"/>
          <w:b/>
          <w:color w:val="000000" w:themeColor="text1"/>
          <w14:textFill>
            <w14:solidFill>
              <w14:schemeClr w14:val="tx1"/>
            </w14:solidFill>
          </w14:textFill>
        </w:rPr>
      </w:pPr>
      <w:bookmarkStart w:id="1" w:name="_Toc330459945"/>
      <w:bookmarkStart w:id="2" w:name="_Toc339019828"/>
      <w:bookmarkStart w:id="3" w:name="_Toc333935278"/>
      <w:bookmarkStart w:id="4" w:name="_Toc339020186"/>
      <w:bookmarkStart w:id="5" w:name="_Toc336681892"/>
      <w:bookmarkStart w:id="6" w:name="_Toc365985108"/>
      <w:bookmarkStart w:id="7" w:name="_Toc349127583"/>
      <w:bookmarkStart w:id="8" w:name="_Toc332206657"/>
      <w:bookmarkStart w:id="9" w:name="_Toc340677031"/>
      <w:bookmarkStart w:id="10" w:name="_Toc333237612"/>
      <w:bookmarkStart w:id="11" w:name="_Toc342296708"/>
      <w:bookmarkStart w:id="12" w:name="_Toc366072457"/>
      <w:bookmarkStart w:id="13" w:name="_Toc333238571"/>
      <w:bookmarkStart w:id="14" w:name="_Toc339020048"/>
      <w:bookmarkStart w:id="15" w:name="_Toc342060322"/>
      <w:bookmarkStart w:id="16" w:name="_Toc350438702"/>
      <w:bookmarkStart w:id="17" w:name="_Toc337632315"/>
      <w:bookmarkStart w:id="18" w:name="_Toc340507403"/>
      <w:bookmarkStart w:id="19" w:name="_Toc350756403"/>
      <w:bookmarkStart w:id="20" w:name="_Toc340672830"/>
      <w:bookmarkStart w:id="21" w:name="_Toc333935619"/>
      <w:bookmarkStart w:id="22" w:name="_Toc15169"/>
      <w:bookmarkStart w:id="23" w:name="_Toc341348291"/>
      <w:bookmarkStart w:id="24" w:name="_Toc365967002"/>
      <w:bookmarkStart w:id="25" w:name="_Toc333237723"/>
      <w:bookmarkStart w:id="26" w:name="_Toc336681537"/>
      <w:bookmarkStart w:id="27" w:name="_Toc339019954"/>
      <w:bookmarkStart w:id="28" w:name="_Toc331683994"/>
      <w:bookmarkStart w:id="29" w:name="_Toc332270305"/>
      <w:bookmarkStart w:id="30" w:name="_Toc345513762"/>
      <w:bookmarkStart w:id="31" w:name="_Toc331512856"/>
      <w:bookmarkStart w:id="32" w:name="_Toc339441044"/>
      <w:bookmarkStart w:id="33" w:name="_Toc349143546"/>
      <w:bookmarkStart w:id="34" w:name="_Toc339362257"/>
      <w:bookmarkStart w:id="35" w:name="_Toc500860978"/>
      <w:r>
        <w:rPr>
          <w:rFonts w:hint="eastAsia" w:ascii="宋体" w:hAnsi="宋体" w:eastAsia="宋体"/>
          <w:b/>
          <w:color w:val="000000" w:themeColor="text1"/>
          <w14:textFill>
            <w14:solidFill>
              <w14:schemeClr w14:val="tx1"/>
            </w14:solidFill>
          </w14:textFill>
        </w:rPr>
        <w:t>第一</w:t>
      </w:r>
      <w:bookmarkStart w:id="36" w:name="_Hlt23321731"/>
      <w:bookmarkEnd w:id="36"/>
      <w:r>
        <w:rPr>
          <w:rFonts w:hint="eastAsia" w:ascii="宋体" w:hAnsi="宋体" w:eastAsia="宋体"/>
          <w:b/>
          <w:color w:val="000000" w:themeColor="text1"/>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65F87EC">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广东业信采购招标有限公司（以下简称“代理采购机构”）受阳江市生态与农业气象中心（以下简称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）的委托，就菩堤海风场2026年防雷检测交通船租赁采购项目进行竞争性磋商 (项目编号: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YXCG-20260521)，欢迎符合条件的供应商参加。有关事项如下：</w:t>
      </w:r>
    </w:p>
    <w:p w14:paraId="39C52BAC">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宋体" w:hAnsi="宋体" w:cs="Tahoma"/>
          <w:b/>
          <w:bCs/>
          <w:color w:val="000000" w:themeColor="text1"/>
          <w:szCs w:val="21"/>
          <w14:textFill>
            <w14:solidFill>
              <w14:schemeClr w14:val="tx1"/>
            </w14:solidFill>
          </w14:textFill>
        </w:rPr>
        <w:t>招标项目的名称、用途、数量、采购方式</w:t>
      </w:r>
    </w:p>
    <w:p w14:paraId="4775B538">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1.项目名称：菩堤海风场2026年防雷检测交通船租赁采购项目</w:t>
      </w:r>
    </w:p>
    <w:p w14:paraId="17AE5CF5">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2.项目编号：YXCG-20260521</w:t>
      </w:r>
    </w:p>
    <w:p w14:paraId="6C949650">
      <w:pPr>
        <w:widowControl/>
        <w:tabs>
          <w:tab w:val="left" w:pos="735"/>
        </w:tabs>
        <w:adjustRightInd w:val="0"/>
        <w:snapToGrid w:val="0"/>
        <w:spacing w:line="360" w:lineRule="auto"/>
        <w:ind w:firstLine="210" w:firstLineChars="100"/>
        <w:rPr>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3.预算金额：人民币500000.00元。（超出该上限的投标报价将作为无效投标处理）</w:t>
      </w:r>
    </w:p>
    <w:p w14:paraId="74891842">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4.数  量：一项</w:t>
      </w:r>
    </w:p>
    <w:p w14:paraId="2D088404">
      <w:pPr>
        <w:widowControl/>
        <w:tabs>
          <w:tab w:val="left" w:pos="735"/>
        </w:tabs>
        <w:adjustRightInd w:val="0"/>
        <w:snapToGrid w:val="0"/>
        <w:spacing w:line="360" w:lineRule="auto"/>
        <w:ind w:firstLine="218" w:firstLineChars="10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合同履行期限：防雷检测海上交通船的租赁期为60天有效的出海天数，租赁期起算时间以采购人的开工通知为准。休整期不能超过5天。（超出该合同履行期限将作为无效投标处理）</w:t>
      </w:r>
    </w:p>
    <w:p w14:paraId="52782734">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6.项目采购方式：竞争性磋商</w:t>
      </w:r>
    </w:p>
    <w:p w14:paraId="778B11E6">
      <w:pPr>
        <w:widowControl/>
        <w:tabs>
          <w:tab w:val="left" w:pos="502"/>
        </w:tabs>
        <w:adjustRightInd w:val="0"/>
        <w:snapToGrid w:val="0"/>
        <w:spacing w:line="360" w:lineRule="auto"/>
        <w:rPr>
          <w:rFonts w:ascii="宋体" w:hAnsi="宋体" w:cs="Tahoma"/>
          <w:b/>
          <w:bCs/>
          <w:color w:val="000000" w:themeColor="text1"/>
          <w14:textFill>
            <w14:solidFill>
              <w14:schemeClr w14:val="tx1"/>
            </w14:solidFill>
          </w14:textFill>
        </w:rPr>
      </w:pPr>
      <w:r>
        <w:rPr>
          <w:rFonts w:hint="eastAsia" w:ascii="宋体" w:hAnsi="宋体" w:cs="Tahoma"/>
          <w:b/>
          <w:bCs/>
          <w:color w:val="000000" w:themeColor="text1"/>
          <w14:textFill>
            <w14:solidFill>
              <w14:schemeClr w14:val="tx1"/>
            </w14:solidFill>
          </w14:textFill>
        </w:rPr>
        <w:t>二、供应商资格要求为：</w:t>
      </w:r>
    </w:p>
    <w:p w14:paraId="01D50EC0">
      <w:pPr>
        <w:widowControl/>
        <w:tabs>
          <w:tab w:val="left" w:pos="735"/>
        </w:tabs>
        <w:adjustRightInd w:val="0"/>
        <w:snapToGrid w:val="0"/>
        <w:spacing w:line="360" w:lineRule="auto"/>
        <w:ind w:firstLine="211" w:firstLineChars="100"/>
        <w:rPr>
          <w:rFonts w:ascii="宋体" w:hAnsi="宋体"/>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1.供应商应具备《中华人民共和国政府采购法》第二十二条规定的条件，提供下列材料：</w:t>
      </w:r>
    </w:p>
    <w:p w14:paraId="1362E9A9">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79EE19F">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2）有依法缴纳税收和社会保障资金的良好记录：提供投标截止日前6个月内任意1个月依法缴纳税收和社会保障资金的相关材料或出具《承诺函》。 如依法免税或不需要缴纳社会保障资金的， 提供相应证明材料。</w:t>
      </w:r>
    </w:p>
    <w:p w14:paraId="1A5747DC">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具有良好的商业信誉和健全的财务会计制度：供应商必须具有良好的商业信誉和健全的财务会计制度（提供2025年度财务状况报告或2026年至今任意一个月的财务报表或基本开户行出具的资信证明或出具《承诺函》）。</w:t>
      </w:r>
    </w:p>
    <w:p w14:paraId="252FF632">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4）履行合同所必需的设备和专业技术能力：按投标（响应）文件格式填报设备及专业技术能力情况或出具《承诺函》。</w:t>
      </w:r>
    </w:p>
    <w:p w14:paraId="79F54152">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5）参加采购活动前3年内，在经营活动中没有重大违法记录：参照投标函相关承诺格式内容或出具《承诺函》。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CDC12D7">
      <w:pPr>
        <w:widowControl/>
        <w:tabs>
          <w:tab w:val="left" w:pos="502"/>
        </w:tabs>
        <w:adjustRightInd w:val="0"/>
        <w:snapToGrid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 管理关系的不同供应商，不得同时参加本采购项目（或采购包）投标（响应）。为本项目提供整体设计、规范编制或者项目管理、监理、检测等服务的供应商，不得再参与本项目投标（响应）。</w:t>
      </w:r>
    </w:p>
    <w:p w14:paraId="16468166">
      <w:pPr>
        <w:widowControl/>
        <w:tabs>
          <w:tab w:val="left" w:pos="502"/>
        </w:tabs>
        <w:adjustRightInd w:val="0"/>
        <w:snapToGrid w:val="0"/>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DB64195">
      <w:pPr>
        <w:widowControl/>
        <w:tabs>
          <w:tab w:val="left" w:pos="502"/>
        </w:tabs>
        <w:adjustRightInd w:val="0"/>
        <w:snapToGrid w:val="0"/>
        <w:spacing w:line="360" w:lineRule="auto"/>
        <w:ind w:firstLine="218" w:firstLineChars="10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4.本项目不接受联合体投标；</w:t>
      </w:r>
    </w:p>
    <w:p w14:paraId="10B0B7CC">
      <w:pPr>
        <w:widowControl/>
        <w:tabs>
          <w:tab w:val="left" w:pos="502"/>
        </w:tabs>
        <w:adjustRightInd w:val="0"/>
        <w:snapToGrid w:val="0"/>
        <w:spacing w:line="360" w:lineRule="auto"/>
        <w:ind w:firstLine="218" w:firstLineChars="10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5.投标人须在采购代理机构登记并购买磋商文件。</w:t>
      </w:r>
    </w:p>
    <w:p w14:paraId="0284B83E">
      <w:pPr>
        <w:widowControl/>
        <w:tabs>
          <w:tab w:val="left" w:pos="502"/>
        </w:tabs>
        <w:adjustRightInd w:val="0"/>
        <w:snapToGrid w:val="0"/>
        <w:spacing w:line="360" w:lineRule="auto"/>
        <w:ind w:firstLine="218" w:firstLineChars="104"/>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6.本项目专门面向中小企业采购。（所属行业：</w:t>
      </w:r>
      <w:r>
        <w:rPr>
          <w:rFonts w:hint="eastAsia" w:ascii="宋体" w:hAnsi="宋体"/>
          <w:bCs/>
          <w:color w:val="000000" w:themeColor="text1"/>
          <w14:textFill>
            <w14:solidFill>
              <w14:schemeClr w14:val="tx1"/>
            </w14:solidFill>
          </w14:textFill>
        </w:rPr>
        <w:t>租赁和商务服务业</w:t>
      </w:r>
      <w:r>
        <w:rPr>
          <w:rFonts w:hint="eastAsia" w:ascii="宋体" w:hAnsi="宋体" w:cs="Tahoma"/>
          <w:color w:val="000000" w:themeColor="text1"/>
          <w:szCs w:val="21"/>
          <w14:textFill>
            <w14:solidFill>
              <w14:schemeClr w14:val="tx1"/>
            </w14:solidFill>
          </w14:textFill>
        </w:rPr>
        <w:t>）</w:t>
      </w:r>
    </w:p>
    <w:p w14:paraId="1FE8A127">
      <w:pPr>
        <w:widowControl/>
        <w:tabs>
          <w:tab w:val="left" w:pos="502"/>
        </w:tabs>
        <w:adjustRightInd w:val="0"/>
        <w:snapToGrid w:val="0"/>
        <w:spacing w:line="360" w:lineRule="auto"/>
        <w:ind w:firstLine="219" w:firstLineChars="104"/>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三、</w:t>
      </w:r>
      <w:r>
        <w:rPr>
          <w:rFonts w:ascii="宋体" w:hAnsi="宋体" w:cs="Tahoma"/>
          <w:b/>
          <w:bCs/>
          <w:color w:val="000000" w:themeColor="text1"/>
          <w:szCs w:val="21"/>
          <w14:textFill>
            <w14:solidFill>
              <w14:schemeClr w14:val="tx1"/>
            </w14:solidFill>
          </w14:textFill>
        </w:rPr>
        <w:t>磋商文件的公示</w:t>
      </w:r>
    </w:p>
    <w:p w14:paraId="0F5EC56D">
      <w:pPr>
        <w:widowControl/>
        <w:spacing w:line="360" w:lineRule="auto"/>
        <w:jc w:val="left"/>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磋商文件公示时</w:t>
      </w:r>
      <w:r>
        <w:rPr>
          <w:rFonts w:hint="eastAsia" w:ascii="宋体" w:hAnsi="宋体"/>
          <w:bCs/>
          <w:color w:val="000000" w:themeColor="text1"/>
          <w14:textFill>
            <w14:solidFill>
              <w14:schemeClr w14:val="tx1"/>
            </w14:solidFill>
          </w14:textFill>
        </w:rPr>
        <w:t>间及下载：2026年</w:t>
      </w: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23</w:t>
      </w:r>
      <w:r>
        <w:rPr>
          <w:rFonts w:hint="eastAsia" w:ascii="宋体" w:hAnsi="宋体"/>
          <w:bCs/>
          <w:color w:val="000000" w:themeColor="text1"/>
          <w14:textFill>
            <w14:solidFill>
              <w14:schemeClr w14:val="tx1"/>
            </w14:solidFill>
          </w14:textFill>
        </w:rPr>
        <w:t>日至2026年</w:t>
      </w: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29</w:t>
      </w:r>
      <w:r>
        <w:rPr>
          <w:rFonts w:hint="eastAsia" w:ascii="宋体" w:hAnsi="宋体"/>
          <w:bCs/>
          <w:color w:val="000000" w:themeColor="text1"/>
          <w14:textFill>
            <w14:solidFill>
              <w14:schemeClr w14:val="tx1"/>
            </w14:solidFill>
          </w14:textFill>
        </w:rPr>
        <w:t>日。</w:t>
      </w:r>
    </w:p>
    <w:p w14:paraId="4C2CBB05">
      <w:pPr>
        <w:widowControl/>
        <w:adjustRightInd w:val="0"/>
        <w:snapToGrid w:val="0"/>
        <w:spacing w:line="360" w:lineRule="auto"/>
        <w:ind w:left="105" w:leftChars="5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hint="eastAsia" w:ascii="宋体" w:hAnsi="宋体" w:cs="宋体"/>
          <w:bCs/>
          <w:color w:val="000000" w:themeColor="text1"/>
          <w14:textFill>
            <w14:solidFill>
              <w14:schemeClr w14:val="tx1"/>
            </w14:solidFill>
          </w14:textFill>
        </w:rPr>
        <w:t>根据《中华人民共和国政府采购法》第五十二条的规定，供应商认为采购文件、采购过程和中标、成交结果使自己的权益受到损害的，可以在知道或者应知其权益受到损害之日起七个工作日内，以书面形式向采购人提出质疑。</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14:paraId="498AC321">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四、购买磋商文件的时间、地点、方式及磋商文件售价</w:t>
      </w:r>
    </w:p>
    <w:p w14:paraId="3D00652D">
      <w:pPr>
        <w:widowControl/>
        <w:tabs>
          <w:tab w:val="left" w:pos="735"/>
        </w:tabs>
        <w:adjustRightInd w:val="0"/>
        <w:snapToGrid w:val="0"/>
        <w:spacing w:line="360" w:lineRule="auto"/>
        <w:ind w:left="210" w:hanging="210" w:hangingChars="100"/>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1.购买磋商文件</w:t>
      </w:r>
      <w:r>
        <w:rPr>
          <w:rFonts w:hint="eastAsia" w:ascii="宋体" w:hAnsi="宋体"/>
          <w:bCs/>
          <w:color w:val="000000" w:themeColor="text1"/>
          <w14:textFill>
            <w14:solidFill>
              <w14:schemeClr w14:val="tx1"/>
            </w14:solidFill>
          </w14:textFill>
        </w:rPr>
        <w:t>时间：2026年</w:t>
      </w: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23</w:t>
      </w:r>
      <w:r>
        <w:rPr>
          <w:rFonts w:hint="eastAsia" w:ascii="宋体" w:hAnsi="宋体"/>
          <w:bCs/>
          <w:color w:val="000000" w:themeColor="text1"/>
          <w14:textFill>
            <w14:solidFill>
              <w14:schemeClr w14:val="tx1"/>
            </w14:solidFill>
          </w14:textFill>
        </w:rPr>
        <w:t>日至2026年</w:t>
      </w: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29</w:t>
      </w:r>
      <w:r>
        <w:rPr>
          <w:rFonts w:hint="eastAsia" w:ascii="宋体" w:hAnsi="宋体"/>
          <w:bCs/>
          <w:color w:val="000000" w:themeColor="text1"/>
          <w14:textFill>
            <w14:solidFill>
              <w14:schemeClr w14:val="tx1"/>
            </w14:solidFill>
          </w14:textFill>
        </w:rPr>
        <w:t>日，上午9:00～12:00，下午2:30～5:30（节假日除外）（北</w:t>
      </w:r>
      <w:r>
        <w:rPr>
          <w:rFonts w:hint="eastAsia" w:ascii="宋体" w:hAnsi="宋体" w:cs="Arial"/>
          <w:color w:val="000000" w:themeColor="text1"/>
          <w14:textFill>
            <w14:solidFill>
              <w14:schemeClr w14:val="tx1"/>
            </w14:solidFill>
          </w14:textFill>
        </w:rPr>
        <w:t>京时间）。</w:t>
      </w:r>
    </w:p>
    <w:p w14:paraId="298E960B">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2.购买磋商文件地点：阳江市江城区猫山四街33号A座2楼</w:t>
      </w:r>
      <w:r>
        <w:rPr>
          <w:rFonts w:hint="eastAsia" w:ascii="宋体" w:hAnsi="宋体"/>
          <w:color w:val="000000" w:themeColor="text1"/>
          <w:szCs w:val="21"/>
          <w14:textFill>
            <w14:solidFill>
              <w14:schemeClr w14:val="tx1"/>
            </w14:solidFill>
          </w14:textFill>
        </w:rPr>
        <w:t>205室。</w:t>
      </w:r>
    </w:p>
    <w:p w14:paraId="30707ECC">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3.磋商文件售价：</w:t>
      </w:r>
      <w:r>
        <w:rPr>
          <w:rFonts w:hint="eastAsia" w:ascii="宋体" w:hAnsi="宋体"/>
          <w:bCs/>
          <w:color w:val="000000" w:themeColor="text1"/>
          <w:szCs w:val="21"/>
          <w14:textFill>
            <w14:solidFill>
              <w14:schemeClr w14:val="tx1"/>
            </w14:solidFill>
          </w14:textFill>
        </w:rPr>
        <w:t>磋商文件每套人民币300元，售后不退</w:t>
      </w:r>
      <w:r>
        <w:rPr>
          <w:rFonts w:hint="eastAsia" w:ascii="宋体" w:hAnsi="宋体"/>
          <w:bCs/>
          <w:color w:val="000000" w:themeColor="text1"/>
          <w14:textFill>
            <w14:solidFill>
              <w14:schemeClr w14:val="tx1"/>
            </w14:solidFill>
          </w14:textFill>
        </w:rPr>
        <w:t>。</w:t>
      </w:r>
    </w:p>
    <w:p w14:paraId="7836266A">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4.磋商文件获取方式：现场发售。</w:t>
      </w:r>
    </w:p>
    <w:p w14:paraId="45929518">
      <w:pPr>
        <w:widowControl/>
        <w:tabs>
          <w:tab w:val="left" w:pos="735"/>
        </w:tabs>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购买磋商文件必须携带：</w:t>
      </w:r>
    </w:p>
    <w:p w14:paraId="3B257731">
      <w:pPr>
        <w:widowControl/>
        <w:tabs>
          <w:tab w:val="left" w:pos="735"/>
        </w:tabs>
        <w:adjustRightInd w:val="0"/>
        <w:snapToGrid w:val="0"/>
        <w:spacing w:line="360" w:lineRule="auto"/>
        <w:ind w:left="420" w:leftChars="100" w:hanging="210" w:hangingChars="10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b/>
          <w:color w:val="000000" w:themeColor="text1"/>
          <w:szCs w:val="21"/>
          <w14:textFill>
            <w14:solidFill>
              <w14:schemeClr w14:val="tx1"/>
            </w14:solidFill>
          </w14:textFill>
        </w:rPr>
        <w:t>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14:textFill>
            <w14:solidFill>
              <w14:schemeClr w14:val="tx1"/>
            </w14:solidFill>
          </w14:textFill>
        </w:rPr>
        <w:t>报名时供应商的资料与以上报名条件不符合、不齐全、复印件不清晰或未盖红色公章的将不予受理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14:paraId="76BDAF9C">
      <w:pPr>
        <w:widowControl/>
        <w:tabs>
          <w:tab w:val="left" w:pos="735"/>
        </w:tabs>
        <w:adjustRightInd w:val="0"/>
        <w:snapToGrid w:val="0"/>
        <w:spacing w:line="360" w:lineRule="auto"/>
        <w:ind w:left="388" w:leftChars="135" w:hanging="105" w:hangingChars="50"/>
        <w:rPr>
          <w:rFonts w:ascii="宋体" w:hAnsi="宋体" w:cs="Arial"/>
          <w:b/>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w:t>
      </w:r>
      <w:r>
        <w:rPr>
          <w:rFonts w:hint="eastAsia" w:ascii="宋体" w:hAnsi="宋体"/>
          <w:b/>
          <w:bCs/>
          <w:color w:val="000000" w:themeColor="text1"/>
          <w14:textFill>
            <w14:solidFill>
              <w14:schemeClr w14:val="tx1"/>
            </w14:solidFill>
          </w14:textFill>
        </w:rPr>
        <w:t>供应商须提供未被列入“信用中国”网站(</w:t>
      </w:r>
      <w:r>
        <w:fldChar w:fldCharType="begin"/>
      </w:r>
      <w:r>
        <w:instrText xml:space="preserve"> HYPERLINK "http://www.creditchina.gov.cn)" </w:instrText>
      </w:r>
      <w:r>
        <w:fldChar w:fldCharType="separate"/>
      </w:r>
      <w:r>
        <w:rPr>
          <w:rStyle w:val="58"/>
          <w:rFonts w:hint="eastAsia" w:ascii="宋体" w:hAnsi="宋体"/>
          <w:b/>
          <w:bCs/>
          <w:color w:val="000000" w:themeColor="text1"/>
          <w14:textFill>
            <w14:solidFill>
              <w14:schemeClr w14:val="tx1"/>
            </w14:solidFill>
          </w14:textFill>
        </w:rPr>
        <w:t>www.creditchina.gov.cn)“记录失信被执行人或重大</w:t>
      </w:r>
      <w:r>
        <w:rPr>
          <w:rStyle w:val="58"/>
          <w:rFonts w:hint="eastAsia" w:ascii="宋体" w:hAnsi="宋体"/>
          <w:b/>
          <w:bCs/>
          <w:color w:val="000000" w:themeColor="text1"/>
          <w14:textFill>
            <w14:solidFill>
              <w14:schemeClr w14:val="tx1"/>
            </w14:solidFill>
          </w14:textFill>
        </w:rPr>
        <w:fldChar w:fldCharType="end"/>
      </w:r>
      <w:r>
        <w:rPr>
          <w:rFonts w:hint="eastAsia" w:ascii="宋体" w:hAnsi="宋体"/>
          <w:b/>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bookmarkStart w:id="381" w:name="_GoBack"/>
      <w:bookmarkEnd w:id="381"/>
    </w:p>
    <w:p w14:paraId="232E6CA6">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五、响应截止时间、开启时间及地点</w:t>
      </w:r>
    </w:p>
    <w:p w14:paraId="309AF136">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1.递交磋商响应文件时间：2026年</w:t>
      </w:r>
      <w:r>
        <w:rPr>
          <w:rFonts w:hint="eastAsia" w:ascii="宋体" w:hAnsi="宋体" w:cs="Tahoma"/>
          <w:color w:val="000000" w:themeColor="text1"/>
          <w:lang w:val="en-US" w:eastAsia="zh-CN"/>
          <w14:textFill>
            <w14:solidFill>
              <w14:schemeClr w14:val="tx1"/>
            </w14:solidFill>
          </w14:textFill>
        </w:rPr>
        <w:t>6</w:t>
      </w:r>
      <w:r>
        <w:rPr>
          <w:rFonts w:hint="eastAsia" w:ascii="宋体" w:hAnsi="宋体" w:cs="Tahoma"/>
          <w:color w:val="000000" w:themeColor="text1"/>
          <w14:textFill>
            <w14:solidFill>
              <w14:schemeClr w14:val="tx1"/>
            </w14:solidFill>
          </w14:textFill>
        </w:rPr>
        <w:t>月</w:t>
      </w:r>
      <w:r>
        <w:rPr>
          <w:rFonts w:hint="eastAsia" w:ascii="宋体" w:hAnsi="宋体" w:cs="Tahoma"/>
          <w:color w:val="000000" w:themeColor="text1"/>
          <w:lang w:val="en-US" w:eastAsia="zh-CN"/>
          <w14:textFill>
            <w14:solidFill>
              <w14:schemeClr w14:val="tx1"/>
            </w14:solidFill>
          </w14:textFill>
        </w:rPr>
        <w:t>3</w:t>
      </w:r>
      <w:r>
        <w:rPr>
          <w:rFonts w:hint="eastAsia" w:ascii="宋体" w:hAnsi="宋体" w:cs="Tahoma"/>
          <w:color w:val="000000" w:themeColor="text1"/>
          <w14:textFill>
            <w14:solidFill>
              <w14:schemeClr w14:val="tx1"/>
            </w14:solidFill>
          </w14:textFill>
        </w:rPr>
        <w:t>日</w:t>
      </w:r>
      <w:r>
        <w:rPr>
          <w:rFonts w:hint="eastAsia" w:ascii="宋体" w:hAnsi="宋体"/>
          <w:color w:val="000000" w:themeColor="text1"/>
          <w14:textFill>
            <w14:solidFill>
              <w14:schemeClr w14:val="tx1"/>
            </w14:solidFill>
          </w14:textFill>
        </w:rPr>
        <w:t xml:space="preserve"> 9:00-9:30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14:paraId="42B11154">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2.响应截止时间：2026年</w:t>
      </w:r>
      <w:r>
        <w:rPr>
          <w:rFonts w:hint="eastAsia" w:ascii="宋体" w:hAnsi="宋体" w:cs="Tahoma"/>
          <w:color w:val="000000" w:themeColor="text1"/>
          <w:lang w:val="en-US" w:eastAsia="zh-CN"/>
          <w14:textFill>
            <w14:solidFill>
              <w14:schemeClr w14:val="tx1"/>
            </w14:solidFill>
          </w14:textFill>
        </w:rPr>
        <w:t>6</w:t>
      </w:r>
      <w:r>
        <w:rPr>
          <w:rFonts w:hint="eastAsia" w:ascii="宋体" w:hAnsi="宋体" w:cs="Tahoma"/>
          <w:color w:val="000000" w:themeColor="text1"/>
          <w14:textFill>
            <w14:solidFill>
              <w14:schemeClr w14:val="tx1"/>
            </w14:solidFill>
          </w14:textFill>
        </w:rPr>
        <w:t>月</w:t>
      </w:r>
      <w:r>
        <w:rPr>
          <w:rFonts w:hint="eastAsia" w:ascii="宋体" w:hAnsi="宋体" w:cs="Tahoma"/>
          <w:color w:val="000000" w:themeColor="text1"/>
          <w:lang w:val="en-US" w:eastAsia="zh-CN"/>
          <w14:textFill>
            <w14:solidFill>
              <w14:schemeClr w14:val="tx1"/>
            </w14:solidFill>
          </w14:textFill>
        </w:rPr>
        <w:t>3</w:t>
      </w:r>
      <w:r>
        <w:rPr>
          <w:rFonts w:hint="eastAsia" w:ascii="宋体" w:hAnsi="宋体" w:cs="Tahoma"/>
          <w:color w:val="000000" w:themeColor="text1"/>
          <w14:textFill>
            <w14:solidFill>
              <w14:schemeClr w14:val="tx1"/>
            </w14:solidFill>
          </w14:textFill>
        </w:rPr>
        <w:t>日</w:t>
      </w:r>
      <w:r>
        <w:rPr>
          <w:rFonts w:hint="eastAsia" w:ascii="宋体" w:hAnsi="宋体"/>
          <w:bCs/>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9:30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14:paraId="2DEB09B2">
      <w:pPr>
        <w:widowControl/>
        <w:tabs>
          <w:tab w:val="left" w:pos="735"/>
        </w:tabs>
        <w:adjustRightInd w:val="0"/>
        <w:snapToGrid w:val="0"/>
        <w:spacing w:line="360" w:lineRule="auto"/>
        <w:ind w:firstLine="105" w:firstLineChars="50"/>
        <w:rPr>
          <w:rFonts w:ascii="宋体" w:hAnsi="宋体" w:cs="Tahoma"/>
          <w:b/>
          <w:bCs/>
          <w:color w:val="000000" w:themeColor="text1"/>
          <w:szCs w:val="21"/>
          <w14:textFill>
            <w14:solidFill>
              <w14:schemeClr w14:val="tx1"/>
            </w14:solidFill>
          </w14:textFill>
        </w:rPr>
      </w:pPr>
      <w:r>
        <w:rPr>
          <w:rFonts w:hint="eastAsia" w:ascii="宋体" w:hAnsi="宋体" w:cs="Tahoma"/>
          <w:color w:val="000000" w:themeColor="text1"/>
          <w14:textFill>
            <w14:solidFill>
              <w14:schemeClr w14:val="tx1"/>
            </w14:solidFill>
          </w14:textFill>
        </w:rPr>
        <w:t>3.递交磋商响应文件地点、开启地点：阳江市江城区猫山四街33号A座2楼201开标室。</w:t>
      </w:r>
    </w:p>
    <w:p w14:paraId="20A942A4">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14:paraId="083A1B0C">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14:paraId="5039405B">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称：阳江市生态与农业气象中心</w:t>
      </w:r>
    </w:p>
    <w:p w14:paraId="69284D64">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地    址：阳江市江城区高凉路162号</w:t>
      </w:r>
    </w:p>
    <w:p w14:paraId="783467A9">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人：黄伟信</w:t>
      </w:r>
    </w:p>
    <w:p w14:paraId="26EC3E1B">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联系电话：13751625682</w:t>
      </w:r>
    </w:p>
    <w:p w14:paraId="1DB634F8">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14:paraId="5A6AD0E4">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名    称：广东业信采购招标有限公司</w:t>
      </w:r>
    </w:p>
    <w:p w14:paraId="1B6C4602">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址：阳江市江城区猫山四街33号A座2楼</w:t>
      </w:r>
    </w:p>
    <w:p w14:paraId="6E3CD2A2">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 系 人：冯国辉</w:t>
      </w:r>
    </w:p>
    <w:p w14:paraId="78C451E6">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联系电话：0662-3167266</w:t>
      </w:r>
    </w:p>
    <w:p w14:paraId="16243A5B">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传    真：0662-2669666</w:t>
      </w:r>
    </w:p>
    <w:p w14:paraId="68A838D8">
      <w:pPr>
        <w:tabs>
          <w:tab w:val="left" w:pos="4680"/>
        </w:tabs>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fldChar w:fldCharType="begin"/>
      </w:r>
      <w:r>
        <w:instrText xml:space="preserve"> HYPERLINK "http://www.gdgpo.gov.cn" </w:instrText>
      </w:r>
      <w: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p w14:paraId="0601760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p>
    <w:p w14:paraId="274CC60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p>
    <w:p w14:paraId="0578F9CA">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广东业信采购招标有限公司</w:t>
      </w:r>
    </w:p>
    <w:p w14:paraId="704ABF59">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39020187"/>
      <w:bookmarkStart w:id="38" w:name="_Toc331512857"/>
      <w:bookmarkStart w:id="39" w:name="_Toc339019829"/>
      <w:bookmarkStart w:id="40" w:name="_Toc365967003"/>
      <w:bookmarkStart w:id="41" w:name="_Toc333237724"/>
      <w:bookmarkStart w:id="42" w:name="_Toc331683995"/>
      <w:bookmarkStart w:id="43" w:name="_Toc366072458"/>
      <w:bookmarkStart w:id="44" w:name="_Toc342060323"/>
      <w:bookmarkStart w:id="45" w:name="_Toc332270306"/>
      <w:bookmarkStart w:id="46" w:name="_Toc333935620"/>
      <w:bookmarkStart w:id="47" w:name="_Toc365985109"/>
      <w:bookmarkStart w:id="48" w:name="_Toc349143547"/>
      <w:bookmarkStart w:id="49" w:name="_Toc339019955"/>
      <w:bookmarkStart w:id="50" w:name="_Toc350756404"/>
      <w:bookmarkStart w:id="51" w:name="_Toc340677032"/>
      <w:bookmarkStart w:id="52" w:name="_Toc349127584"/>
      <w:bookmarkStart w:id="53" w:name="_Toc339441045"/>
      <w:bookmarkStart w:id="54" w:name="_Toc330459946"/>
      <w:bookmarkStart w:id="55" w:name="_Toc333237613"/>
      <w:bookmarkStart w:id="56" w:name="_Toc340507404"/>
      <w:bookmarkStart w:id="57" w:name="_Toc340672831"/>
      <w:bookmarkStart w:id="58" w:name="_Toc339362258"/>
      <w:bookmarkStart w:id="59" w:name="_Toc336681538"/>
      <w:bookmarkStart w:id="60" w:name="_Toc350438703"/>
      <w:bookmarkStart w:id="61" w:name="_Toc337632316"/>
      <w:bookmarkStart w:id="62" w:name="_Toc345513763"/>
      <w:bookmarkStart w:id="63" w:name="_Toc333935279"/>
      <w:bookmarkStart w:id="64" w:name="_Toc342296709"/>
      <w:bookmarkStart w:id="65" w:name="_Toc336681893"/>
      <w:bookmarkStart w:id="66" w:name="_Toc332206658"/>
      <w:bookmarkStart w:id="67" w:name="_Toc339020049"/>
      <w:bookmarkStart w:id="68" w:name="_Toc333238572"/>
      <w:bookmarkStart w:id="69" w:name="_Toc341348292"/>
      <w:r>
        <w:rPr>
          <w:rFonts w:hint="eastAsia" w:ascii="宋体" w:hAnsi="宋体"/>
          <w:bCs/>
          <w:color w:val="000000" w:themeColor="text1"/>
          <w14:textFill>
            <w14:solidFill>
              <w14:schemeClr w14:val="tx1"/>
            </w14:solidFill>
          </w14:textFill>
        </w:rPr>
        <w:t xml:space="preserve"> 2026年</w:t>
      </w:r>
      <w:r>
        <w:rPr>
          <w:rFonts w:hint="eastAsia" w:ascii="宋体" w:hAnsi="宋体"/>
          <w:bCs/>
          <w:color w:val="000000" w:themeColor="text1"/>
          <w:lang w:val="en-US" w:eastAsia="zh-CN"/>
          <w14:textFill>
            <w14:solidFill>
              <w14:schemeClr w14:val="tx1"/>
            </w14:solidFill>
          </w14:textFill>
        </w:rPr>
        <w:t>5</w:t>
      </w:r>
      <w:r>
        <w:rPr>
          <w:rFonts w:hint="eastAsia" w:ascii="宋体" w:hAnsi="宋体"/>
          <w:bCs/>
          <w:color w:val="000000" w:themeColor="text1"/>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23</w:t>
      </w:r>
      <w:r>
        <w:rPr>
          <w:rFonts w:hint="eastAsia" w:ascii="宋体" w:hAnsi="宋体"/>
          <w:bCs/>
          <w:color w:val="000000" w:themeColor="text1"/>
          <w14:textFill>
            <w14:solidFill>
              <w14:schemeClr w14:val="tx1"/>
            </w14:solidFill>
          </w14:textFill>
        </w:rPr>
        <w:t>日</w:t>
      </w:r>
    </w:p>
    <w:p w14:paraId="14A8AF7C">
      <w:pPr>
        <w:rPr>
          <w:rFonts w:ascii="宋体" w:hAnsi="宋体"/>
          <w:b/>
          <w:color w:val="000000" w:themeColor="text1"/>
          <w14:textFill>
            <w14:solidFill>
              <w14:schemeClr w14:val="tx1"/>
            </w14:solidFill>
          </w14:textFill>
        </w:rPr>
      </w:pPr>
    </w:p>
    <w:p w14:paraId="65889A9E">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br w:type="page"/>
      </w:r>
    </w:p>
    <w:p w14:paraId="4610D3C3">
      <w:pPr>
        <w:pStyle w:val="2"/>
        <w:numPr>
          <w:ilvl w:val="0"/>
          <w:numId w:val="0"/>
        </w:numPr>
        <w:spacing w:beforeLines="0" w:after="120" w:afterLines="50" w:line="390" w:lineRule="exact"/>
        <w:ind w:left="105" w:leftChars="50" w:firstLine="482" w:firstLineChars="200"/>
        <w:rPr>
          <w:rFonts w:ascii="宋体" w:hAnsi="宋体" w:eastAsia="宋体"/>
          <w:b/>
          <w:color w:val="000000" w:themeColor="text1"/>
          <w14:textFill>
            <w14:solidFill>
              <w14:schemeClr w14:val="tx1"/>
            </w14:solidFill>
          </w14:textFill>
        </w:rPr>
      </w:pPr>
      <w:bookmarkStart w:id="70" w:name="_Toc21012"/>
      <w:r>
        <w:rPr>
          <w:rFonts w:hint="eastAsia" w:ascii="宋体" w:hAnsi="宋体" w:eastAsia="宋体"/>
          <w:b/>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621"/>
      <w:bookmarkStart w:id="74" w:name="_Toc333237614"/>
      <w:bookmarkStart w:id="75" w:name="_Toc330459949"/>
      <w:bookmarkStart w:id="76" w:name="_Toc333237725"/>
      <w:bookmarkStart w:id="77" w:name="_Toc333935280"/>
      <w:bookmarkStart w:id="78" w:name="_Toc333238573"/>
      <w:r>
        <w:rPr>
          <w:rFonts w:hint="eastAsia" w:ascii="宋体" w:hAnsi="宋体" w:eastAsia="宋体"/>
          <w:b/>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14:paraId="6B645B06">
      <w:pPr>
        <w:spacing w:line="360" w:lineRule="auto"/>
        <w:rPr>
          <w:rFonts w:ascii="宋体" w:hAnsi="宋体" w:cs="宋体"/>
          <w:b/>
          <w:bCs/>
          <w:color w:val="000000" w:themeColor="text1"/>
          <w:u w:val="single"/>
          <w14:textFill>
            <w14:solidFill>
              <w14:schemeClr w14:val="tx1"/>
            </w14:solidFill>
          </w14:textFill>
        </w:rPr>
      </w:pPr>
      <w:bookmarkStart w:id="79" w:name="_Toc336681547"/>
      <w:bookmarkStart w:id="80" w:name="_Toc340672836"/>
      <w:bookmarkStart w:id="81" w:name="_Toc333237644"/>
      <w:bookmarkStart w:id="82" w:name="_Toc332270313"/>
      <w:bookmarkStart w:id="83" w:name="_Toc342060341"/>
      <w:bookmarkStart w:id="84" w:name="_Toc341348305"/>
      <w:bookmarkStart w:id="85" w:name="_Toc339020200"/>
      <w:bookmarkStart w:id="86" w:name="_Toc332206675"/>
      <w:bookmarkStart w:id="87" w:name="_Toc366072495"/>
      <w:bookmarkStart w:id="88" w:name="_Toc333935313"/>
      <w:bookmarkStart w:id="89" w:name="_Toc337632325"/>
      <w:bookmarkStart w:id="90" w:name="_Toc349127593"/>
      <w:bookmarkStart w:id="91" w:name="_Toc350756417"/>
      <w:bookmarkStart w:id="92" w:name="_Toc340507409"/>
      <w:bookmarkStart w:id="93" w:name="_Toc339020062"/>
      <w:bookmarkStart w:id="94" w:name="_Toc333238600"/>
      <w:bookmarkStart w:id="95" w:name="_Toc365967040"/>
      <w:bookmarkStart w:id="96" w:name="_Toc333935654"/>
      <w:bookmarkStart w:id="97" w:name="_Toc339362267"/>
      <w:bookmarkStart w:id="98" w:name="_Toc345513834"/>
      <w:bookmarkStart w:id="99" w:name="_Toc339019982"/>
      <w:bookmarkStart w:id="100" w:name="_Toc339019856"/>
      <w:bookmarkStart w:id="101" w:name="_Toc339441054"/>
      <w:bookmarkStart w:id="102" w:name="_Toc330459952"/>
      <w:bookmarkStart w:id="103" w:name="_Toc331512865"/>
      <w:bookmarkStart w:id="104" w:name="_Toc336681902"/>
      <w:bookmarkStart w:id="105" w:name="_Toc340677037"/>
      <w:bookmarkStart w:id="106" w:name="_Toc349143556"/>
      <w:bookmarkStart w:id="107" w:name="_Toc350438716"/>
      <w:bookmarkStart w:id="108" w:name="_Toc331684005"/>
      <w:bookmarkStart w:id="109" w:name="_Toc333237755"/>
      <w:bookmarkStart w:id="110" w:name="_Toc365985146"/>
      <w:bookmarkStart w:id="111" w:name="_Toc342296727"/>
      <w:r>
        <w:rPr>
          <w:rFonts w:hint="eastAsia" w:ascii="宋体" w:hAnsi="宋体" w:cs="宋体"/>
          <w:b/>
          <w:bCs/>
          <w:color w:val="000000" w:themeColor="text1"/>
          <w14:textFill>
            <w14:solidFill>
              <w14:schemeClr w14:val="tx1"/>
            </w14:solidFill>
          </w14:textFill>
        </w:rPr>
        <w:t>项目编号：</w:t>
      </w:r>
      <w:r>
        <w:rPr>
          <w:rFonts w:hint="eastAsia" w:ascii="宋体" w:hAnsi="宋体" w:cs="宋体"/>
          <w:b/>
          <w:bCs/>
          <w:color w:val="000000" w:themeColor="text1"/>
          <w:u w:val="single"/>
          <w14:textFill>
            <w14:solidFill>
              <w14:schemeClr w14:val="tx1"/>
            </w14:solidFill>
          </w14:textFill>
        </w:rPr>
        <w:t xml:space="preserve">YXCG-20260521 </w:t>
      </w:r>
    </w:p>
    <w:p w14:paraId="32CCF76E">
      <w:pPr>
        <w:spacing w:line="360" w:lineRule="auto"/>
        <w:rPr>
          <w:rFonts w:ascii="宋体" w:hAnsi="宋体"/>
          <w:color w:val="000000" w:themeColor="text1"/>
          <w:szCs w:val="21"/>
          <w:u w:val="single"/>
          <w14:textFill>
            <w14:solidFill>
              <w14:schemeClr w14:val="tx1"/>
            </w14:solidFill>
          </w14:textFill>
        </w:rPr>
      </w:pPr>
      <w:r>
        <w:rPr>
          <w:rFonts w:hint="eastAsia" w:ascii="宋体" w:hAnsi="宋体" w:cs="宋体"/>
          <w:b/>
          <w:bCs/>
          <w:color w:val="000000" w:themeColor="text1"/>
          <w14:textFill>
            <w14:solidFill>
              <w14:schemeClr w14:val="tx1"/>
            </w14:solidFill>
          </w14:textFill>
        </w:rPr>
        <w:t>项目名称：</w:t>
      </w:r>
      <w:r>
        <w:rPr>
          <w:rFonts w:hint="eastAsia" w:ascii="宋体" w:hAnsi="宋体" w:cs="宋体"/>
          <w:b/>
          <w:bCs/>
          <w:color w:val="000000" w:themeColor="text1"/>
          <w:u w:val="single"/>
          <w14:textFill>
            <w14:solidFill>
              <w14:schemeClr w14:val="tx1"/>
            </w14:solidFill>
          </w14:textFill>
        </w:rPr>
        <w:t>菩堤海风场2026年防雷检测交通船租赁采购项目</w:t>
      </w:r>
    </w:p>
    <w:p w14:paraId="0D41A67E">
      <w:pPr>
        <w:pStyle w:val="3"/>
        <w:numPr>
          <w:ilvl w:val="1"/>
          <w:numId w:val="0"/>
        </w:numPr>
        <w:spacing w:before="360" w:beforeLines="150" w:after="0" w:line="360" w:lineRule="auto"/>
        <w:rPr>
          <w:rFonts w:ascii="宋体" w:hAnsi="宋体"/>
          <w:color w:val="000000" w:themeColor="text1"/>
          <w:kern w:val="0"/>
          <w:sz w:val="24"/>
          <w14:textFill>
            <w14:solidFill>
              <w14:schemeClr w14:val="tx1"/>
            </w14:solidFill>
          </w14:textFill>
        </w:rPr>
      </w:pPr>
      <w:bookmarkStart w:id="112" w:name="_Toc15924"/>
      <w:r>
        <w:rPr>
          <w:rFonts w:ascii="宋体" w:hAnsi="宋体"/>
          <w:color w:val="000000" w:themeColor="text1"/>
          <w:kern w:val="0"/>
          <w:sz w:val="24"/>
          <w14:textFill>
            <w14:solidFill>
              <w14:schemeClr w14:val="tx1"/>
            </w14:solidFill>
          </w14:textFill>
        </w:rPr>
        <w:t xml:space="preserve">A  </w:t>
      </w:r>
      <w:r>
        <w:rPr>
          <w:rFonts w:hint="eastAsia" w:ascii="宋体" w:hAnsi="宋体"/>
          <w:color w:val="000000" w:themeColor="text1"/>
          <w:kern w:val="0"/>
          <w:sz w:val="24"/>
          <w14:textFill>
            <w14:solidFill>
              <w14:schemeClr w14:val="tx1"/>
            </w14:solidFill>
          </w14:textFill>
        </w:rPr>
        <w:t>商务要求</w:t>
      </w:r>
      <w:bookmarkEnd w:id="112"/>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2710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8BCDFBB">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75AB120">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06D739E">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主要内容</w:t>
            </w:r>
          </w:p>
        </w:tc>
      </w:tr>
      <w:tr w14:paraId="3C8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1EC95A1">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12AC7C6">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95428EE">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详见第一部分《竞争性磋商邀请书》。</w:t>
            </w:r>
          </w:p>
        </w:tc>
      </w:tr>
      <w:tr w14:paraId="7B46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042B6">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1FBDB027">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合同履行期限</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614E074">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详见第一部分《竞争性磋商邀请书》。</w:t>
            </w:r>
          </w:p>
        </w:tc>
      </w:tr>
      <w:tr w14:paraId="2BE2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AF5CB1">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4025512C">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报价要求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23F9804">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报价应为固定价格，投标人在投标时应已充分考虑了合同执行期间的所有风险。投标人的报价包括但不限于：</w:t>
            </w:r>
          </w:p>
          <w:p w14:paraId="6C1A71DD">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1.投标人船员的工资、福利、保险费等的支出；</w:t>
            </w:r>
          </w:p>
          <w:p w14:paraId="70E62CF9">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2.租赁期间交通船的燃油费、维修（护）费、淡水费、安全设施费、故障拖船费等；</w:t>
            </w:r>
          </w:p>
          <w:p w14:paraId="05C01BEF">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3.其他完成本项目所需的费用。</w:t>
            </w:r>
          </w:p>
        </w:tc>
      </w:tr>
      <w:tr w14:paraId="0C58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F67980C">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6DF236E5">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9FDA15">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采购合同由成交供应商凭《成交通知书》与采购人双方签订，签订时间为《成交通知书》发出之日起30个日历日内。</w:t>
            </w:r>
          </w:p>
        </w:tc>
      </w:tr>
      <w:tr w14:paraId="3322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2DCDA6F">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F527583">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服务地点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13756EE">
            <w:pPr>
              <w:spacing w:line="320" w:lineRule="exact"/>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采购人指定地点。</w:t>
            </w:r>
          </w:p>
        </w:tc>
      </w:tr>
      <w:tr w14:paraId="4B25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72E7B47">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21F874F">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4696249">
            <w:pPr>
              <w:widowControl/>
              <w:tabs>
                <w:tab w:val="left" w:pos="525"/>
              </w:tabs>
              <w:adjustRightInd w:val="0"/>
              <w:snapToGrid w:val="0"/>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费用以人民币结算。签订合同后，分期付款，首期款：合同总额的30%，经海事部门及业主方验船合格，符合出海作业要求，取得验船合格证明之日起，7天内支付；第二期款：项目全部完成，签署验收文件后支付合同总额的100%。</w:t>
            </w:r>
          </w:p>
        </w:tc>
      </w:tr>
      <w:tr w14:paraId="5BDF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D37ACBA">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7FEA0ED">
            <w:pPr>
              <w:spacing w:line="320" w:lineRule="exact"/>
              <w:jc w:val="center"/>
              <w:rPr>
                <w:rFonts w:ascii="宋体" w:hAnsi="宋体" w:cs="宋体"/>
                <w:b/>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7B29626">
            <w:pPr>
              <w:widowControl/>
              <w:tabs>
                <w:tab w:val="left" w:pos="525"/>
              </w:tabs>
              <w:adjustRightInd w:val="0"/>
              <w:snapToGrid w:val="0"/>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出租给采购人的海上交通船经过船舶检验和登记、性能完好、证照齐全、适航，所有证件在有效期内，符合海事部门、风电场的入场要求。按照海事部门的要求船舶满员配置，船员年龄不超55周岁，确保能连续开船12小时。船员个人出海保险不低100万元。</w:t>
            </w:r>
            <w:r>
              <w:rPr>
                <w:rFonts w:hint="eastAsia" w:ascii="宋体" w:hAnsi="宋体" w:cs="宋体"/>
                <w:b/>
                <w:bCs/>
                <w:color w:val="000000" w:themeColor="text1"/>
                <w:szCs w:val="21"/>
                <w14:textFill>
                  <w14:solidFill>
                    <w14:schemeClr w14:val="tx1"/>
                  </w14:solidFill>
                </w14:textFill>
              </w:rPr>
              <w:t>（提供承诺函，格式自拟）</w:t>
            </w:r>
          </w:p>
        </w:tc>
      </w:tr>
      <w:tr w14:paraId="41DA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3D2803B9">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6A0B554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181E16C">
            <w:pPr>
              <w:snapToGrid w:val="0"/>
              <w:spacing w:line="320" w:lineRule="exact"/>
              <w:ind w:left="316" w:hanging="316" w:hangingChars="15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不收取。</w:t>
            </w:r>
          </w:p>
        </w:tc>
      </w:tr>
      <w:tr w14:paraId="0AD4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D62E464">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761591FA">
            <w:pPr>
              <w:spacing w:line="32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成交服务费</w:t>
            </w:r>
          </w:p>
          <w:p w14:paraId="7ACE8975">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D65EEA0">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621B19EA">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参考发改价格[2011]534号文的规定</w:t>
            </w:r>
            <w:r>
              <w:rPr>
                <w:rFonts w:hint="eastAsia" w:ascii="宋体" w:hAnsi="宋体" w:cs="宋体"/>
                <w:color w:val="000000" w:themeColor="text1"/>
                <w:szCs w:val="21"/>
                <w14:textFill>
                  <w14:solidFill>
                    <w14:schemeClr w14:val="tx1"/>
                  </w14:solidFill>
                </w14:textFill>
              </w:rPr>
              <w:t>，招标代理服务费按差额定率累进法计算，按收费标准的88%计算（不足6500元按6500元收取）。成交服务费由成交供应商在领取成交通知书前以银行转账方式一次性支付。</w:t>
            </w:r>
          </w:p>
        </w:tc>
      </w:tr>
      <w:tr w14:paraId="18F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DC5571D">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0A0D1F18">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D84AF6B">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24A595F8">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广东业信采购招标有限公司</w:t>
            </w:r>
          </w:p>
        </w:tc>
      </w:tr>
      <w:tr w14:paraId="3111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A7C75F4">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9501878">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AC712A">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466C0FA2">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44547801040002249</w:t>
            </w:r>
          </w:p>
        </w:tc>
      </w:tr>
      <w:tr w14:paraId="0127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6D4F4D38">
            <w:pPr>
              <w:spacing w:line="320" w:lineRule="exact"/>
              <w:jc w:val="center"/>
              <w:rPr>
                <w:rFonts w:ascii="宋体" w:hAnsi="宋体" w:cs="宋体"/>
                <w:color w:val="000000" w:themeColor="text1"/>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C18CD">
            <w:pPr>
              <w:spacing w:line="320" w:lineRule="exact"/>
              <w:jc w:val="center"/>
              <w:rPr>
                <w:rFonts w:ascii="宋体" w:hAnsi="宋体" w:cs="宋体"/>
                <w:color w:val="000000" w:themeColor="text1"/>
                <w:szCs w:val="21"/>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046099D">
            <w:pPr>
              <w:spacing w:line="320" w:lineRule="exact"/>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4F59BE96">
            <w:pPr>
              <w:widowControl/>
              <w:spacing w:line="320" w:lineRule="exact"/>
              <w:jc w:val="left"/>
              <w:rPr>
                <w:rFonts w:ascii="宋体" w:hAnsi="宋体" w:cs="宋体"/>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中国农业银行股份有限公司阳江江城支行</w:t>
            </w:r>
          </w:p>
        </w:tc>
      </w:tr>
    </w:tbl>
    <w:p w14:paraId="26C1566C">
      <w:pPr>
        <w:rPr>
          <w:rFonts w:ascii="宋体" w:hAnsi="宋体"/>
          <w:color w:val="000000" w:themeColor="text1"/>
          <w:kern w:val="0"/>
          <w:sz w:val="24"/>
          <w14:textFill>
            <w14:solidFill>
              <w14:schemeClr w14:val="tx1"/>
            </w14:solidFill>
          </w14:textFill>
        </w:rPr>
      </w:pPr>
    </w:p>
    <w:p w14:paraId="559C758D">
      <w:pP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br w:type="page"/>
      </w:r>
    </w:p>
    <w:p w14:paraId="7F37D2B6">
      <w:pPr>
        <w:pStyle w:val="3"/>
        <w:numPr>
          <w:ilvl w:val="1"/>
          <w:numId w:val="0"/>
        </w:numPr>
        <w:spacing w:before="360" w:beforeLines="150" w:after="0" w:line="360" w:lineRule="auto"/>
        <w:rPr>
          <w:rFonts w:ascii="宋体" w:hAnsi="宋体"/>
          <w:color w:val="000000" w:themeColor="text1"/>
          <w:kern w:val="0"/>
          <w:sz w:val="24"/>
          <w14:textFill>
            <w14:solidFill>
              <w14:schemeClr w14:val="tx1"/>
            </w14:solidFill>
          </w14:textFill>
        </w:rPr>
      </w:pPr>
      <w:bookmarkStart w:id="113" w:name="_Toc3710"/>
      <w:r>
        <w:rPr>
          <w:rFonts w:hint="eastAsia" w:ascii="宋体" w:hAnsi="宋体"/>
          <w:color w:val="000000" w:themeColor="text1"/>
          <w:kern w:val="0"/>
          <w:sz w:val="24"/>
          <w14:textFill>
            <w14:solidFill>
              <w14:schemeClr w14:val="tx1"/>
            </w14:solidFill>
          </w14:textFill>
        </w:rPr>
        <w:t>B  技术要求</w:t>
      </w:r>
      <w:bookmarkEnd w:id="113"/>
    </w:p>
    <w:p w14:paraId="1783C407">
      <w:pPr>
        <w:rPr>
          <w:rFonts w:ascii="宋体" w:hAnsi="宋体"/>
          <w:b/>
          <w:bCs/>
          <w:color w:val="000000" w:themeColor="text1"/>
          <w:kern w:val="44"/>
          <w:sz w:val="24"/>
          <w14:textFill>
            <w14:solidFill>
              <w14:schemeClr w14:val="tx1"/>
            </w14:solidFill>
          </w14:textFill>
        </w:rPr>
      </w:pPr>
    </w:p>
    <w:p w14:paraId="6EA024E0">
      <w:pPr>
        <w:pStyle w:val="355"/>
        <w:numPr>
          <w:ilvl w:val="0"/>
          <w:numId w:val="22"/>
        </w:numPr>
        <w:ind w:firstLine="0" w:firstLineChars="0"/>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项目实施要求</w:t>
      </w:r>
    </w:p>
    <w:p w14:paraId="6EBB9100">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（一）交通船使用范围</w:t>
      </w:r>
    </w:p>
    <w:p w14:paraId="0BD330BF">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于广东华电福新阳江海上风电有限公司菩堤海风场海上升压站、海上风电机组防雷检测工作，包括：1座220kV海上升压站、67台海上风电机组。菩堤海风场位于广东省阳江市阳西县沙扒镇附近海域，在阳江近海深水风电项目规划场址一东侧中部区域内，项目海上场址中心离岸距离约55km，海上场址面积81.03km2，风机外围包络海域面积约73.69km2，菩堤海风场场址中心坐标为111°36'12.48″E，20°58'7.72″N，海上场址水深在41m～46m之间。</w:t>
      </w:r>
    </w:p>
    <w:p w14:paraId="28712289">
      <w:pPr>
        <w:spacing w:before="31"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（二）海上风电防雷检测海上交通船调度安排</w:t>
      </w:r>
    </w:p>
    <w:p w14:paraId="425A2EAF">
      <w:pPr>
        <w:autoSpaceDE w:val="0"/>
        <w:autoSpaceDN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必须按照采购人的调度安排开展工作，采购人同时安排三到四组海上风电机组检测人员开展工作，交通船应分别将各组检测人员送到指定的风机，然后再接送完成该风机检测工作的人员到指定的下一台风机，哪台风机人员先完成检测工作，交通船就先接送该组人员到指定的下一台风机，如此类推。</w:t>
      </w:r>
    </w:p>
    <w:p w14:paraId="708D4AA8">
      <w:pP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br w:type="page"/>
      </w:r>
    </w:p>
    <w:p w14:paraId="42976AC3">
      <w:pPr>
        <w:pStyle w:val="2"/>
        <w:numPr>
          <w:ilvl w:val="0"/>
          <w:numId w:val="0"/>
        </w:numPr>
        <w:spacing w:beforeLines="0" w:line="240" w:lineRule="auto"/>
        <w:rPr>
          <w:rFonts w:ascii="宋体" w:hAnsi="宋体" w:eastAsia="宋体"/>
          <w:b/>
          <w:color w:val="000000" w:themeColor="text1"/>
          <w:sz w:val="21"/>
          <w:szCs w:val="21"/>
          <w14:textFill>
            <w14:solidFill>
              <w14:schemeClr w14:val="tx1"/>
            </w14:solidFill>
          </w14:textFill>
        </w:rPr>
      </w:pPr>
      <w:bookmarkStart w:id="114" w:name="_Toc11342"/>
      <w:r>
        <w:rPr>
          <w:rFonts w:hint="eastAsia" w:ascii="宋体" w:hAnsi="宋体" w:eastAsia="宋体"/>
          <w:b/>
          <w:color w:val="000000" w:themeColor="text1"/>
          <w:sz w:val="21"/>
          <w:szCs w:val="21"/>
          <w14:textFill>
            <w14:solidFill>
              <w14:schemeClr w14:val="tx1"/>
            </w14:solidFill>
          </w14:textFill>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721A1319">
      <w:pPr>
        <w:pStyle w:val="3"/>
        <w:numPr>
          <w:ilvl w:val="1"/>
          <w:numId w:val="0"/>
        </w:numPr>
        <w:rPr>
          <w:rFonts w:ascii="宋体" w:hAnsi="宋体"/>
          <w:color w:val="000000" w:themeColor="text1"/>
          <w:sz w:val="21"/>
          <w:szCs w:val="21"/>
          <w14:textFill>
            <w14:solidFill>
              <w14:schemeClr w14:val="tx1"/>
            </w14:solidFill>
          </w14:textFill>
        </w:rPr>
      </w:pPr>
      <w:bookmarkStart w:id="115" w:name="_Toc434832495"/>
      <w:bookmarkStart w:id="116" w:name="_Toc197"/>
      <w:bookmarkStart w:id="117" w:name="_Toc456272919"/>
      <w:bookmarkStart w:id="118" w:name="_Toc456648358"/>
      <w:r>
        <w:rPr>
          <w:rFonts w:hint="eastAsia" w:ascii="宋体" w:hAnsi="宋体"/>
          <w:color w:val="000000" w:themeColor="text1"/>
          <w:sz w:val="21"/>
          <w:szCs w:val="21"/>
          <w14:textFill>
            <w14:solidFill>
              <w14:schemeClr w14:val="tx1"/>
            </w14:solidFill>
          </w14:textFill>
        </w:rPr>
        <w:t>供应商须知前附表</w:t>
      </w:r>
      <w:bookmarkEnd w:id="115"/>
      <w:bookmarkEnd w:id="116"/>
      <w:bookmarkEnd w:id="117"/>
      <w:bookmarkEnd w:id="118"/>
    </w:p>
    <w:tbl>
      <w:tblPr>
        <w:tblStyle w:val="51"/>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843"/>
      </w:tblGrid>
      <w:tr w14:paraId="1158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71EADED">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0CB279BC">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8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45BC46E">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14:paraId="1A2F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8EEAF0">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5F6ACDF5">
            <w:pPr>
              <w:spacing w:line="36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磋商小组</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0A9B20EC">
            <w:pPr>
              <w:spacing w:line="36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hint="eastAsia" w:ascii="宋体"/>
                <w:b/>
                <w:bCs/>
                <w:color w:val="000000" w:themeColor="text1"/>
                <w:u w:val="single"/>
                <w14:textFill>
                  <w14:solidFill>
                    <w14:schemeClr w14:val="tx1"/>
                  </w14:solidFill>
                </w14:textFill>
              </w:rPr>
              <w:t xml:space="preserve"> </w:t>
            </w:r>
            <w:r>
              <w:rPr>
                <w:rFonts w:ascii="宋体"/>
                <w:b/>
                <w:bCs/>
                <w:color w:val="000000" w:themeColor="text1"/>
                <w:u w:val="single"/>
                <w14:textFill>
                  <w14:solidFill>
                    <w14:schemeClr w14:val="tx1"/>
                  </w14:solidFill>
                </w14:textFill>
              </w:rPr>
              <w:t xml:space="preserve">3 </w:t>
            </w:r>
            <w:r>
              <w:rPr>
                <w:rFonts w:hint="eastAsia" w:ascii="宋体"/>
                <w:b/>
                <w:bCs/>
                <w:color w:val="000000" w:themeColor="text1"/>
                <w14:textFill>
                  <w14:solidFill>
                    <w14:schemeClr w14:val="tx1"/>
                  </w14:solidFill>
                </w14:textFill>
              </w:rPr>
              <w:t>名。</w:t>
            </w:r>
          </w:p>
        </w:tc>
      </w:tr>
      <w:tr w14:paraId="6699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FC9D1BC">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374BC37">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响应资料数量和封装</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6A2BD281">
            <w:pPr>
              <w:spacing w:line="50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供应商在每一份磋商响应文件上明确标明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，在封面上注明“（公司名称）响应电子版”，</w:t>
            </w:r>
            <w:r>
              <w:rPr>
                <w:color w:val="000000" w:themeColor="text1"/>
                <w:szCs w:val="21"/>
                <w14:textFill>
                  <w14:solidFill>
                    <w14:schemeClr w14:val="tx1"/>
                  </w14:solidFill>
                </w14:textFill>
              </w:rPr>
              <w:t>所有文件密封袋的封口处应加盖</w:t>
            </w:r>
            <w:r>
              <w:rPr>
                <w:rFonts w:hint="eastAsia"/>
                <w:color w:val="000000" w:themeColor="text1"/>
                <w:szCs w:val="21"/>
                <w14:textFill>
                  <w14:solidFill>
                    <w14:schemeClr w14:val="tx1"/>
                  </w14:solidFill>
                </w14:textFill>
              </w:rPr>
              <w:t>供应商公章或密封章。</w:t>
            </w:r>
          </w:p>
          <w:p w14:paraId="6CCEF2C6">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14:paraId="14F7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6A7FE9F">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20B20B7">
            <w:pPr>
              <w:widowControl/>
              <w:spacing w:line="360" w:lineRule="exact"/>
              <w:jc w:val="left"/>
              <w:rPr>
                <w:rFonts w:ascii="宋体" w:hAnsi="宋体"/>
                <w:color w:val="000000" w:themeColor="text1"/>
                <w:szCs w:val="21"/>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5CD7D1F2">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为了方便唱标，供应商在递交磋商响应文件的同时，向代理采购机构提交包含“第一次报价一览表”、“分项报价表”、</w:t>
            </w:r>
            <w:r>
              <w:rPr>
                <w:rFonts w:hint="eastAsia" w:ascii="宋体" w:hAnsi="宋体"/>
                <w:color w:val="000000" w:themeColor="text1"/>
                <w:szCs w:val="21"/>
                <w14:textFill>
                  <w14:solidFill>
                    <w14:schemeClr w14:val="tx1"/>
                  </w14:solidFill>
                </w14:textFill>
              </w:rPr>
              <w:t>“法定代表人（负责人）证明书”</w:t>
            </w:r>
            <w:r>
              <w:rPr>
                <w:rFonts w:hint="eastAsia"/>
                <w:color w:val="000000" w:themeColor="text1"/>
                <w14:textFill>
                  <w14:solidFill>
                    <w14:schemeClr w14:val="tx1"/>
                  </w14:solidFill>
                </w14:textFill>
              </w:rPr>
              <w:t>和</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w:t>
            </w:r>
            <w:r>
              <w:rPr>
                <w:rFonts w:hint="eastAsia" w:ascii="宋体" w:hAnsi="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的密封袋，</w:t>
            </w:r>
            <w:r>
              <w:rPr>
                <w:rFonts w:hint="eastAsia"/>
                <w:color w:val="000000" w:themeColor="text1"/>
                <w:szCs w:val="21"/>
                <w14:textFill>
                  <w14:solidFill>
                    <w14:schemeClr w14:val="tx1"/>
                  </w14:solidFill>
                </w14:textFill>
              </w:rPr>
              <w:t>在封面上注明“唱标信封”。</w:t>
            </w:r>
          </w:p>
        </w:tc>
      </w:tr>
      <w:tr w14:paraId="000F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986958A">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B476481">
            <w:pPr>
              <w:widowControl/>
              <w:spacing w:line="360" w:lineRule="exact"/>
              <w:jc w:val="left"/>
              <w:rPr>
                <w:rFonts w:ascii="宋体" w:hAnsi="宋体"/>
                <w:color w:val="000000" w:themeColor="text1"/>
                <w:szCs w:val="21"/>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555576C9">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（磋商响应截止时间）   </w:t>
            </w:r>
            <w:r>
              <w:rPr>
                <w:rFonts w:hint="eastAsia" w:ascii="宋体"/>
                <w:bCs/>
                <w:color w:val="000000" w:themeColor="text1"/>
                <w14:textFill>
                  <w14:solidFill>
                    <w14:schemeClr w14:val="tx1"/>
                  </w14:solidFill>
                </w14:textFill>
              </w:rPr>
              <w:t>之前不准启封”的字样。</w:t>
            </w:r>
          </w:p>
        </w:tc>
      </w:tr>
      <w:tr w14:paraId="63E4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4F8C255">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305AC80">
            <w:pPr>
              <w:widowControl/>
              <w:spacing w:line="360" w:lineRule="exact"/>
              <w:jc w:val="left"/>
              <w:rPr>
                <w:rFonts w:ascii="宋体" w:hAnsi="宋体"/>
                <w:color w:val="000000" w:themeColor="text1"/>
                <w:szCs w:val="21"/>
                <w14:textFill>
                  <w14:solidFill>
                    <w14:schemeClr w14:val="tx1"/>
                  </w14:solidFill>
                </w14:textFill>
              </w:rPr>
            </w:pP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40B7588B">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供应商未按上述规定对磋商响应文件进行密封和加写标记，</w:t>
            </w:r>
            <w:r>
              <w:rPr>
                <w:rFonts w:hint="eastAsia" w:ascii="宋体" w:hAnsi="宋体"/>
                <w:color w:val="000000" w:themeColor="text1"/>
                <w14:textFill>
                  <w14:solidFill>
                    <w14:schemeClr w14:val="tx1"/>
                  </w14:solidFill>
                </w14:textFill>
              </w:rPr>
              <w:t>代理采购机构有权予以拒收，并退回给供应商。电报、电话、传真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的响应概不接受</w:t>
            </w:r>
            <w:r>
              <w:rPr>
                <w:rFonts w:hint="eastAsia" w:ascii="宋体"/>
                <w:bCs/>
                <w:color w:val="000000" w:themeColor="text1"/>
                <w14:textFill>
                  <w14:solidFill>
                    <w14:schemeClr w14:val="tx1"/>
                  </w14:solidFill>
                </w14:textFill>
              </w:rPr>
              <w:t>。</w:t>
            </w:r>
          </w:p>
        </w:tc>
      </w:tr>
      <w:tr w14:paraId="54A7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A30C09">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14:paraId="10E0F6FA">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6841" w:type="dxa"/>
            <w:gridSpan w:val="2"/>
            <w:tcBorders>
              <w:top w:val="single" w:color="auto" w:sz="4" w:space="0"/>
              <w:left w:val="single" w:color="auto" w:sz="4" w:space="0"/>
              <w:bottom w:val="single" w:color="auto" w:sz="4" w:space="0"/>
              <w:right w:val="single" w:color="auto" w:sz="4" w:space="0"/>
            </w:tcBorders>
            <w:vAlign w:val="center"/>
          </w:tcPr>
          <w:p w14:paraId="0DD4FA5A">
            <w:pPr>
              <w:pStyle w:val="5"/>
              <w:tabs>
                <w:tab w:val="left" w:pos="26"/>
              </w:tabs>
              <w:ind w:left="26" w:firstLine="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1、磋商响应文件中打“★”号条款必须实质性响应，负偏离（不满足要求）将导致响应无效。</w:t>
            </w:r>
          </w:p>
          <w:p w14:paraId="15EC613C">
            <w:pPr>
              <w:pStyle w:val="5"/>
              <w:tabs>
                <w:tab w:val="left" w:pos="26"/>
              </w:tabs>
              <w:ind w:left="26" w:firstLine="0"/>
              <w:jc w:val="both"/>
              <w:rPr>
                <w:bCs/>
                <w:color w:val="000000" w:themeColor="text1"/>
                <w14:textFill>
                  <w14:solidFill>
                    <w14:schemeClr w14:val="tx1"/>
                  </w14:solidFill>
                </w14:textFill>
              </w:rPr>
            </w:pPr>
            <w:r>
              <w:rPr>
                <w:rFonts w:hint="eastAsia"/>
                <w:b/>
                <w:color w:val="000000" w:themeColor="text1"/>
                <w:sz w:val="21"/>
                <w:szCs w:val="21"/>
                <w14:textFill>
                  <w14:solidFill>
                    <w14:schemeClr w14:val="tx1"/>
                  </w14:solidFill>
                </w14:textFill>
              </w:rPr>
              <w:t>2、磋商响应文件中带“▲”为实质性参数要求响应, 负偏离（不满足要求）将导致严重扣分。</w:t>
            </w:r>
          </w:p>
        </w:tc>
      </w:tr>
      <w:tr w14:paraId="745D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14:paraId="590AA263">
            <w:pPr>
              <w:widowControl/>
              <w:spacing w:line="36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14:paraId="02D1E75D">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信息公告媒体</w:t>
            </w:r>
          </w:p>
        </w:tc>
        <w:tc>
          <w:tcPr>
            <w:tcW w:w="2998" w:type="dxa"/>
            <w:tcBorders>
              <w:top w:val="single" w:color="auto" w:sz="4" w:space="0"/>
              <w:left w:val="single" w:color="auto" w:sz="4" w:space="0"/>
              <w:right w:val="single" w:color="auto" w:sz="4" w:space="0"/>
            </w:tcBorders>
            <w:shd w:val="clear" w:color="auto" w:fill="auto"/>
            <w:vAlign w:val="center"/>
          </w:tcPr>
          <w:p w14:paraId="30B5BC40">
            <w:pPr>
              <w:widowControl/>
              <w:spacing w:line="4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全国招标采购公共服务平台</w:t>
            </w: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1DF1F2AA">
            <w:pPr>
              <w:widowControl/>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https://www.hnzbcgxxw.com/</w:t>
            </w:r>
          </w:p>
        </w:tc>
      </w:tr>
      <w:tr w14:paraId="1F37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59BD443">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50758D94">
            <w:pPr>
              <w:widowControl/>
              <w:spacing w:line="360" w:lineRule="exact"/>
              <w:jc w:val="center"/>
              <w:rPr>
                <w:rFonts w:ascii="宋体" w:hAnsi="宋体"/>
                <w:color w:val="000000" w:themeColor="text1"/>
                <w:szCs w:val="21"/>
                <w14:textFill>
                  <w14:solidFill>
                    <w14:schemeClr w14:val="tx1"/>
                  </w14:solidFill>
                </w14:textFill>
              </w:rPr>
            </w:pPr>
          </w:p>
        </w:tc>
        <w:tc>
          <w:tcPr>
            <w:tcW w:w="2998" w:type="dxa"/>
            <w:vMerge w:val="restart"/>
            <w:tcBorders>
              <w:left w:val="single" w:color="auto" w:sz="4" w:space="0"/>
              <w:right w:val="single" w:color="auto" w:sz="4" w:space="0"/>
            </w:tcBorders>
            <w:vAlign w:val="center"/>
          </w:tcPr>
          <w:p w14:paraId="63D13495">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广东业信采购招标有限公司网</w:t>
            </w:r>
          </w:p>
        </w:tc>
        <w:tc>
          <w:tcPr>
            <w:tcW w:w="3843" w:type="dxa"/>
            <w:tcBorders>
              <w:top w:val="single" w:color="auto" w:sz="4" w:space="0"/>
              <w:left w:val="single" w:color="auto" w:sz="4" w:space="0"/>
              <w:bottom w:val="single" w:color="auto" w:sz="4" w:space="0"/>
              <w:right w:val="single" w:color="auto" w:sz="4" w:space="0"/>
            </w:tcBorders>
            <w:vAlign w:val="center"/>
          </w:tcPr>
          <w:p w14:paraId="65D73ABE">
            <w:pPr>
              <w:spacing w:line="360" w:lineRule="exact"/>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14:paraId="749E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E99591B">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68745FE8">
            <w:pPr>
              <w:widowControl/>
              <w:spacing w:line="360" w:lineRule="exact"/>
              <w:jc w:val="center"/>
              <w:rPr>
                <w:rFonts w:ascii="宋体" w:hAnsi="宋体"/>
                <w:color w:val="000000" w:themeColor="text1"/>
                <w:szCs w:val="21"/>
                <w14:textFill>
                  <w14:solidFill>
                    <w14:schemeClr w14:val="tx1"/>
                  </w14:solidFill>
                </w14:textFill>
              </w:rPr>
            </w:pPr>
          </w:p>
        </w:tc>
        <w:tc>
          <w:tcPr>
            <w:tcW w:w="2998" w:type="dxa"/>
            <w:vMerge w:val="continue"/>
            <w:tcBorders>
              <w:left w:val="single" w:color="auto" w:sz="4" w:space="0"/>
              <w:right w:val="single" w:color="auto" w:sz="4" w:space="0"/>
            </w:tcBorders>
            <w:vAlign w:val="center"/>
          </w:tcPr>
          <w:p w14:paraId="4CF3C328">
            <w:pPr>
              <w:spacing w:line="360" w:lineRule="exact"/>
              <w:rPr>
                <w:rFonts w:ascii="宋体" w:hAnsi="宋体"/>
                <w:color w:val="000000" w:themeColor="text1"/>
                <w:szCs w:val="21"/>
                <w14:textFill>
                  <w14:solidFill>
                    <w14:schemeClr w14:val="tx1"/>
                  </w14:solidFill>
                </w14:textFill>
              </w:rPr>
            </w:pPr>
          </w:p>
        </w:tc>
        <w:tc>
          <w:tcPr>
            <w:tcW w:w="3843" w:type="dxa"/>
            <w:tcBorders>
              <w:top w:val="single" w:color="auto" w:sz="4" w:space="0"/>
              <w:left w:val="single" w:color="auto" w:sz="4" w:space="0"/>
              <w:right w:val="single" w:color="auto" w:sz="4" w:space="0"/>
            </w:tcBorders>
            <w:vAlign w:val="center"/>
          </w:tcPr>
          <w:p w14:paraId="2DDAFB7D">
            <w:pPr>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14:paraId="3108E03C">
      <w:pPr>
        <w:pStyle w:val="5"/>
        <w:rPr>
          <w:color w:val="000000" w:themeColor="text1"/>
          <w14:textFill>
            <w14:solidFill>
              <w14:schemeClr w14:val="tx1"/>
            </w14:solidFill>
          </w14:textFill>
        </w:rPr>
      </w:pPr>
    </w:p>
    <w:p w14:paraId="26ED4A06">
      <w:pPr>
        <w:pStyle w:val="5"/>
        <w:rPr>
          <w:color w:val="000000" w:themeColor="text1"/>
          <w14:textFill>
            <w14:solidFill>
              <w14:schemeClr w14:val="tx1"/>
            </w14:solidFill>
          </w14:textFill>
        </w:rPr>
      </w:pPr>
    </w:p>
    <w:p w14:paraId="7E0433EC">
      <w:pPr>
        <w:pStyle w:val="5"/>
        <w:rPr>
          <w:color w:val="000000" w:themeColor="text1"/>
          <w14:textFill>
            <w14:solidFill>
              <w14:schemeClr w14:val="tx1"/>
            </w14:solidFill>
          </w14:textFill>
        </w:rPr>
      </w:pPr>
    </w:p>
    <w:p w14:paraId="1FA7D1C5">
      <w:pPr>
        <w:pStyle w:val="5"/>
        <w:rPr>
          <w:color w:val="000000" w:themeColor="text1"/>
          <w14:textFill>
            <w14:solidFill>
              <w14:schemeClr w14:val="tx1"/>
            </w14:solidFill>
          </w14:textFill>
        </w:rPr>
      </w:pPr>
    </w:p>
    <w:p w14:paraId="65FFDC58">
      <w:pPr>
        <w:pStyle w:val="5"/>
        <w:rPr>
          <w:color w:val="000000" w:themeColor="text1"/>
          <w14:textFill>
            <w14:solidFill>
              <w14:schemeClr w14:val="tx1"/>
            </w14:solidFill>
          </w14:textFill>
        </w:rPr>
      </w:pPr>
    </w:p>
    <w:p w14:paraId="523388C3">
      <w:pPr>
        <w:pStyle w:val="5"/>
        <w:rPr>
          <w:color w:val="000000" w:themeColor="text1"/>
          <w14:textFill>
            <w14:solidFill>
              <w14:schemeClr w14:val="tx1"/>
            </w14:solidFill>
          </w14:textFill>
        </w:rPr>
      </w:pPr>
    </w:p>
    <w:p w14:paraId="280DE097">
      <w:pPr>
        <w:pStyle w:val="25"/>
        <w:adjustRightInd w:val="0"/>
        <w:snapToGrid w:val="0"/>
        <w:spacing w:line="300" w:lineRule="auto"/>
        <w:outlineLvl w:val="1"/>
        <w:rPr>
          <w:rFonts w:hAnsi="宋体"/>
          <w:color w:val="000000" w:themeColor="text1"/>
          <w14:textFill>
            <w14:solidFill>
              <w14:schemeClr w14:val="tx1"/>
            </w14:solidFill>
          </w14:textFill>
        </w:rPr>
      </w:pPr>
      <w:bookmarkStart w:id="119" w:name="_Hlt21938665"/>
      <w:bookmarkEnd w:id="119"/>
      <w:bookmarkStart w:id="120" w:name="_Hlt21938668"/>
      <w:bookmarkEnd w:id="120"/>
      <w:bookmarkStart w:id="121" w:name="_Toc464632120"/>
      <w:bookmarkStart w:id="122" w:name="_Toc11227"/>
      <w:r>
        <w:rPr>
          <w:rFonts w:hint="eastAsia" w:hAnsi="宋体"/>
          <w:color w:val="000000" w:themeColor="text1"/>
          <w14:textFill>
            <w14:solidFill>
              <w14:schemeClr w14:val="tx1"/>
            </w14:solidFill>
          </w14:textFill>
        </w:rPr>
        <w:t>一、说  明</w:t>
      </w:r>
      <w:bookmarkEnd w:id="121"/>
      <w:bookmarkEnd w:id="122"/>
    </w:p>
    <w:p w14:paraId="2CA355E0">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 适用范围</w:t>
      </w:r>
    </w:p>
    <w:p w14:paraId="6139BAC3">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1.1本磋商文件适用于本竞争性磋商的采购项目。</w:t>
      </w:r>
    </w:p>
    <w:p w14:paraId="3F500470">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 定义</w:t>
      </w:r>
    </w:p>
    <w:p w14:paraId="6D9D7836">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2.1“采购人”：是指本次采购项目的最终服务对象。 </w:t>
      </w:r>
    </w:p>
    <w:p w14:paraId="2427C0CA">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2.2 “监管部门”是指：同级政府采购监管部门</w:t>
      </w:r>
    </w:p>
    <w:p w14:paraId="1ACE8357">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2.3“采购代理机构”：是指广东业信采购招标有限公司。</w:t>
      </w:r>
    </w:p>
    <w:p w14:paraId="3D0B08A9">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2.4“招标采购单位”是指：采购人。</w:t>
      </w:r>
    </w:p>
    <w:p w14:paraId="062D4E24">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 “供应商”是指响应本文件要求，参加磋商的法人或者其他组织、自然人。</w:t>
      </w:r>
    </w:p>
    <w:p w14:paraId="39BA22F1">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合格的供应商指：</w:t>
      </w:r>
    </w:p>
    <w:p w14:paraId="46B129A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(1)符合《政府采购法》第二十二条规定的供应商。</w:t>
      </w:r>
    </w:p>
    <w:p w14:paraId="662277E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(2)符合磋商文件规定的资格要求及特殊条件要求。</w:t>
      </w:r>
    </w:p>
    <w:p w14:paraId="636862B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(3)本项目是否允许联合体，详见《</w:t>
      </w:r>
      <w:r>
        <w:rPr>
          <w:rFonts w:hint="eastAsia" w:ascii="宋体" w:hAnsi="宋体"/>
          <w:color w:val="000000" w:themeColor="text1"/>
          <w14:textFill>
            <w14:solidFill>
              <w14:schemeClr w14:val="tx1"/>
            </w14:solidFill>
          </w14:textFill>
        </w:rPr>
        <w:t>采购项目内容</w:t>
      </w:r>
      <w:r>
        <w:rPr>
          <w:rFonts w:hint="eastAsia" w:ascii="宋体" w:hAnsi="宋体"/>
          <w:color w:val="000000" w:themeColor="text1"/>
          <w:kern w:val="0"/>
          <w:szCs w:val="21"/>
          <w14:textFill>
            <w14:solidFill>
              <w14:schemeClr w14:val="tx1"/>
            </w14:solidFill>
          </w14:textFill>
        </w:rPr>
        <w:t>》。</w:t>
      </w:r>
    </w:p>
    <w:p w14:paraId="3468D659">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2.6“成交供应商”是指经法定程序确定并授予合同的供应商。</w:t>
      </w:r>
    </w:p>
    <w:p w14:paraId="4F19081F">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2.7“响应文件”是指：供应商根据本文件要求，编制包含报价、技术和服务等所有内容的实质性响应文件。</w:t>
      </w:r>
    </w:p>
    <w:p w14:paraId="5B01A36D">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2.8“采购合同”：是指由采购人和成交供应商签订的规定双方权利和义务的协议。</w:t>
      </w:r>
    </w:p>
    <w:p w14:paraId="0DDE9563">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2.9“日”、“天”系指公历日。</w:t>
      </w:r>
    </w:p>
    <w:p w14:paraId="298258D3">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 合格的货物和服务</w:t>
      </w:r>
    </w:p>
    <w:p w14:paraId="46BF116B">
      <w:pPr>
        <w:adjustRightInd w:val="0"/>
        <w:snapToGrid w:val="0"/>
        <w:spacing w:line="300" w:lineRule="auto"/>
        <w:ind w:left="42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1439D112">
      <w:pPr>
        <w:adjustRightInd w:val="0"/>
        <w:snapToGrid w:val="0"/>
        <w:spacing w:line="300" w:lineRule="auto"/>
        <w:ind w:left="42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“服务”是指除货物和工程以外的其他政府采购对象,其中包括：供应商须承担的运输、安装、技术支持、培训以及磋商文件规定的其它服务。</w:t>
      </w:r>
    </w:p>
    <w:p w14:paraId="7235B26E">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 磋商费用</w:t>
      </w:r>
    </w:p>
    <w:p w14:paraId="357B01F8">
      <w:pPr>
        <w:pStyle w:val="25"/>
        <w:adjustRightInd w:val="0"/>
        <w:snapToGrid w:val="0"/>
        <w:spacing w:line="300" w:lineRule="auto"/>
        <w:ind w:left="42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4.1 供应商应承担所有与准备和参加磋商有关的费用。不论磋商的结果如何，采购代理机构和采购人均无义务和责任承担这些费用。</w:t>
      </w:r>
    </w:p>
    <w:p w14:paraId="2B945930">
      <w:pPr>
        <w:pStyle w:val="25"/>
        <w:adjustRightInd w:val="0"/>
        <w:snapToGrid w:val="0"/>
        <w:spacing w:line="300" w:lineRule="auto"/>
        <w:ind w:left="42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4.2本次采购向成交供应商收取的成交服务费，按国家有关规定执行。</w:t>
      </w:r>
    </w:p>
    <w:p w14:paraId="61B853AC">
      <w:pPr>
        <w:pStyle w:val="25"/>
        <w:adjustRightInd w:val="0"/>
        <w:snapToGrid w:val="0"/>
        <w:spacing w:line="300" w:lineRule="auto"/>
        <w:ind w:left="420" w:hanging="420"/>
        <w:rPr>
          <w:rFonts w:hAnsi="宋体"/>
          <w:color w:val="000000" w:themeColor="text1"/>
          <w14:textFill>
            <w14:solidFill>
              <w14:schemeClr w14:val="tx1"/>
            </w14:solidFill>
          </w14:textFill>
        </w:rPr>
      </w:pPr>
    </w:p>
    <w:p w14:paraId="7EEC2380">
      <w:pPr>
        <w:pStyle w:val="25"/>
        <w:adjustRightInd w:val="0"/>
        <w:snapToGrid w:val="0"/>
        <w:spacing w:line="300" w:lineRule="auto"/>
        <w:outlineLvl w:val="1"/>
        <w:rPr>
          <w:rFonts w:hAnsi="宋体"/>
          <w:color w:val="000000" w:themeColor="text1"/>
          <w14:textFill>
            <w14:solidFill>
              <w14:schemeClr w14:val="tx1"/>
            </w14:solidFill>
          </w14:textFill>
        </w:rPr>
      </w:pPr>
      <w:bookmarkStart w:id="123" w:name="_Toc464632121"/>
      <w:bookmarkStart w:id="124" w:name="_Toc23191"/>
      <w:r>
        <w:rPr>
          <w:rFonts w:hint="eastAsia" w:hAnsi="宋体"/>
          <w:color w:val="000000" w:themeColor="text1"/>
          <w14:textFill>
            <w14:solidFill>
              <w14:schemeClr w14:val="tx1"/>
            </w14:solidFill>
          </w14:textFill>
        </w:rPr>
        <w:t>二、磋商文件</w:t>
      </w:r>
      <w:bookmarkEnd w:id="123"/>
      <w:bookmarkEnd w:id="124"/>
    </w:p>
    <w:p w14:paraId="457BE715">
      <w:pPr>
        <w:pStyle w:val="25"/>
        <w:adjustRightInd w:val="0"/>
        <w:snapToGrid w:val="0"/>
        <w:spacing w:line="300" w:lineRule="auto"/>
        <w:ind w:left="42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  磋商文件的构成</w:t>
      </w:r>
    </w:p>
    <w:p w14:paraId="0398CD2A">
      <w:pPr>
        <w:pStyle w:val="25"/>
        <w:adjustRightInd w:val="0"/>
        <w:snapToGrid w:val="0"/>
        <w:spacing w:line="300" w:lineRule="auto"/>
        <w:ind w:left="42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5.1磋商文件由下列文件以及在磋商过程中发出的修正和补充文件组成：</w:t>
      </w:r>
    </w:p>
    <w:p w14:paraId="25C1271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 采购邀请</w:t>
      </w:r>
    </w:p>
    <w:p w14:paraId="7D5061E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 采购项目内容</w:t>
      </w:r>
    </w:p>
    <w:p w14:paraId="25FD95C5">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磋商须知</w:t>
      </w:r>
    </w:p>
    <w:p w14:paraId="188210D7">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 合同书格式</w:t>
      </w:r>
    </w:p>
    <w:p w14:paraId="0BE82E0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 响应文件格式</w:t>
      </w:r>
    </w:p>
    <w:p w14:paraId="518A409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 其他：详见《磋商须知前附表》</w:t>
      </w:r>
    </w:p>
    <w:p w14:paraId="3BB21D5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 在磋商过程中由招标采购单位发出的修正和补充文件等；</w:t>
      </w:r>
    </w:p>
    <w:p w14:paraId="1DF62E4E">
      <w:pPr>
        <w:pStyle w:val="25"/>
        <w:adjustRightInd w:val="0"/>
        <w:snapToGrid w:val="0"/>
        <w:spacing w:line="300" w:lineRule="auto"/>
        <w:ind w:left="420" w:hanging="42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74638CA1">
      <w:pPr>
        <w:pStyle w:val="25"/>
        <w:adjustRightInd w:val="0"/>
        <w:snapToGrid w:val="0"/>
        <w:spacing w:line="300" w:lineRule="auto"/>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6.  踏勘现场</w:t>
      </w:r>
      <w:r>
        <w:rPr>
          <w:rFonts w:hint="eastAsia" w:hAnsi="宋体"/>
          <w:b/>
          <w:snapToGrid w:val="0"/>
          <w:color w:val="000000" w:themeColor="text1"/>
          <w:kern w:val="0"/>
          <w:u w:val="single"/>
          <w14:textFill>
            <w14:solidFill>
              <w14:schemeClr w14:val="tx1"/>
            </w14:solidFill>
          </w14:textFill>
        </w:rPr>
        <w:t>(本条款不适用)</w:t>
      </w:r>
    </w:p>
    <w:p w14:paraId="5BAE24B1">
      <w:pPr>
        <w:pStyle w:val="25"/>
        <w:adjustRightInd w:val="0"/>
        <w:snapToGrid w:val="0"/>
        <w:spacing w:line="300" w:lineRule="auto"/>
        <w:ind w:left="360" w:hanging="360"/>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14:paraId="09F35876">
      <w:pPr>
        <w:pStyle w:val="25"/>
        <w:adjustRightInd w:val="0"/>
        <w:snapToGrid w:val="0"/>
        <w:spacing w:line="300" w:lineRule="auto"/>
        <w:ind w:left="360" w:hanging="360"/>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6.2采购人向供应商提供的有关现场的数据和资料，是采购人现有的能被供应商利用的资料，采购人对供应商做出的任何推论、理解和结论均不负责任。</w:t>
      </w:r>
    </w:p>
    <w:p w14:paraId="3ECFDDCE">
      <w:pPr>
        <w:spacing w:line="300" w:lineRule="auto"/>
        <w:ind w:left="360" w:hanging="360"/>
        <w:rPr>
          <w:rFonts w:ascii="宋体" w:hAnsi="宋体"/>
          <w:color w:val="000000" w:themeColor="text1"/>
          <w:szCs w:val="21"/>
          <w14:textFill>
            <w14:solidFill>
              <w14:schemeClr w14:val="tx1"/>
            </w14:solidFill>
          </w14:textFill>
        </w:rPr>
      </w:pPr>
    </w:p>
    <w:p w14:paraId="64BBFF2D">
      <w:pPr>
        <w:pStyle w:val="25"/>
        <w:adjustRightInd w:val="0"/>
        <w:snapToGrid w:val="0"/>
        <w:spacing w:line="300" w:lineRule="auto"/>
        <w:outlineLvl w:val="1"/>
        <w:rPr>
          <w:rFonts w:hAnsi="宋体"/>
          <w:color w:val="000000" w:themeColor="text1"/>
          <w14:textFill>
            <w14:solidFill>
              <w14:schemeClr w14:val="tx1"/>
            </w14:solidFill>
          </w14:textFill>
        </w:rPr>
      </w:pPr>
      <w:bookmarkStart w:id="125" w:name="_Toc464632122"/>
      <w:bookmarkStart w:id="126" w:name="_Toc539"/>
      <w:r>
        <w:rPr>
          <w:rFonts w:hint="eastAsia" w:hAnsi="宋体"/>
          <w:color w:val="000000" w:themeColor="text1"/>
          <w14:textFill>
            <w14:solidFill>
              <w14:schemeClr w14:val="tx1"/>
            </w14:solidFill>
          </w14:textFill>
        </w:rPr>
        <w:t>三、响应文件的编制</w:t>
      </w:r>
      <w:bookmarkEnd w:id="125"/>
      <w:bookmarkEnd w:id="126"/>
    </w:p>
    <w:p w14:paraId="7E187F68">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7．响应文件的组成</w:t>
      </w:r>
    </w:p>
    <w:p w14:paraId="17063A64">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7.1供应商编写的响应文件应包括资格性文件、商务部分、技术部分、价格部分四部分组成。</w:t>
      </w:r>
    </w:p>
    <w:p w14:paraId="5EA88432">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报价信封必须另单独分装。</w:t>
      </w:r>
    </w:p>
    <w:p w14:paraId="74D8AB87">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 报价样板</w:t>
      </w:r>
      <w:r>
        <w:rPr>
          <w:rFonts w:hint="eastAsia" w:ascii="宋体" w:hAnsi="宋体"/>
          <w:b/>
          <w:snapToGrid w:val="0"/>
          <w:color w:val="000000" w:themeColor="text1"/>
          <w:kern w:val="0"/>
          <w:szCs w:val="21"/>
          <w:u w:val="single"/>
          <w14:textFill>
            <w14:solidFill>
              <w14:schemeClr w14:val="tx1"/>
            </w14:solidFill>
          </w14:textFill>
        </w:rPr>
        <w:t>(本条款不适用)</w:t>
      </w:r>
    </w:p>
    <w:p w14:paraId="3F1FB968">
      <w:pPr>
        <w:autoSpaceDE w:val="0"/>
        <w:autoSpaceDN w:val="0"/>
        <w:adjustRightInd w:val="0"/>
        <w:snapToGrid w:val="0"/>
        <w:spacing w:line="300" w:lineRule="auto"/>
        <w:ind w:right="31" w:rightChars="15"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 本项目如要求提交报价样板的，招标采购单位在收取样板时没有对样板外观进行验收及性能测试，对样板的破损或质量概不负责；</w:t>
      </w:r>
    </w:p>
    <w:p w14:paraId="5F4F4F89">
      <w:pPr>
        <w:autoSpaceDE w:val="0"/>
        <w:autoSpaceDN w:val="0"/>
        <w:adjustRightInd w:val="0"/>
        <w:snapToGrid w:val="0"/>
        <w:spacing w:line="300" w:lineRule="auto"/>
        <w:ind w:right="31" w:rightChars="15"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14:paraId="2991AAB0">
      <w:pPr>
        <w:autoSpaceDE w:val="0"/>
        <w:autoSpaceDN w:val="0"/>
        <w:adjustRightInd w:val="0"/>
        <w:snapToGrid w:val="0"/>
        <w:spacing w:line="300" w:lineRule="auto"/>
        <w:ind w:right="31" w:rightChars="15"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供应商提交的报价样板应标注：项目名称、采购项目编号、货物/样板名称、型号/规格、供应商名称等内容，报价样板内容及数量。</w:t>
      </w:r>
    </w:p>
    <w:p w14:paraId="23E4D02E">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8. 响应文件编制基本要求</w:t>
      </w:r>
    </w:p>
    <w:p w14:paraId="252F4ED1">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 供应商对响应文件的编制应按要求装订和封装。</w:t>
      </w:r>
    </w:p>
    <w:p w14:paraId="2D5122C0">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034236F7">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8.3响应文件必须按本文件的全部内容，包括所有的补充通知及附件进行编制。</w:t>
      </w:r>
    </w:p>
    <w:p w14:paraId="006DC1C8">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8.4如因供应商只填写和提供了本文件要求的部分内容和附件，而给磋商造成困难的，其可能导致的结果和责任由供应商自行承担。 </w:t>
      </w:r>
    </w:p>
    <w:p w14:paraId="49478DB0">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9. 计量单位：</w:t>
      </w:r>
    </w:p>
    <w:p w14:paraId="7EA4420A">
      <w:pPr>
        <w:spacing w:line="30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9.1除技术要求中另有规定外，本文件所要求使用的计量单位均采用国家法定的度、量、衡标准单位计量。</w:t>
      </w:r>
    </w:p>
    <w:p w14:paraId="315A722A">
      <w:pPr>
        <w:spacing w:line="300" w:lineRule="auto"/>
        <w:ind w:left="360" w:hanging="360"/>
        <w:rPr>
          <w:rFonts w:ascii="宋体" w:hAnsi="宋体"/>
          <w:color w:val="000000" w:themeColor="text1"/>
          <w:szCs w:val="21"/>
          <w14:textFill>
            <w14:solidFill>
              <w14:schemeClr w14:val="tx1"/>
            </w14:solidFill>
          </w14:textFill>
        </w:rPr>
      </w:pPr>
    </w:p>
    <w:p w14:paraId="1271E5CA">
      <w:pPr>
        <w:pStyle w:val="25"/>
        <w:adjustRightInd w:val="0"/>
        <w:snapToGrid w:val="0"/>
        <w:spacing w:line="300" w:lineRule="auto"/>
        <w:outlineLvl w:val="1"/>
        <w:rPr>
          <w:rFonts w:hAnsi="宋体"/>
          <w:color w:val="000000" w:themeColor="text1"/>
          <w14:textFill>
            <w14:solidFill>
              <w14:schemeClr w14:val="tx1"/>
            </w14:solidFill>
          </w14:textFill>
        </w:rPr>
      </w:pPr>
      <w:bookmarkStart w:id="127" w:name="_Toc464632123"/>
      <w:bookmarkStart w:id="128" w:name="_Toc25942"/>
      <w:r>
        <w:rPr>
          <w:rFonts w:hint="eastAsia" w:hAnsi="宋体"/>
          <w:color w:val="000000" w:themeColor="text1"/>
          <w14:textFill>
            <w14:solidFill>
              <w14:schemeClr w14:val="tx1"/>
            </w14:solidFill>
          </w14:textFill>
        </w:rPr>
        <w:t>四、磋商报价要求和供应商资格证明文件的要求</w:t>
      </w:r>
      <w:bookmarkEnd w:id="127"/>
      <w:bookmarkEnd w:id="128"/>
    </w:p>
    <w:p w14:paraId="732F9A99">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14:paraId="65341A8B">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11. 成交供应商负责本项目所需货物的制造、运输、售后服务等全部工作。</w:t>
      </w:r>
    </w:p>
    <w:p w14:paraId="39A821F3">
      <w:pPr>
        <w:pStyle w:val="25"/>
        <w:adjustRightInd w:val="0"/>
        <w:snapToGrid w:val="0"/>
        <w:spacing w:line="300" w:lineRule="auto"/>
        <w:ind w:left="420" w:hanging="420"/>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12. 本项目响应报价不能高于采购预算（或最高限价），否则将被视为无效响应。</w:t>
      </w:r>
    </w:p>
    <w:p w14:paraId="03738C61">
      <w:pPr>
        <w:pStyle w:val="25"/>
        <w:adjustRightInd w:val="0"/>
        <w:snapToGrid w:val="0"/>
        <w:spacing w:line="300" w:lineRule="auto"/>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供应商资格证明文件</w:t>
      </w:r>
    </w:p>
    <w:p w14:paraId="3F633772">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3</w:t>
      </w:r>
      <w:r>
        <w:rPr>
          <w:rFonts w:hAnsi="宋体"/>
          <w:color w:val="000000" w:themeColor="text1"/>
          <w14:textFill>
            <w14:solidFill>
              <w14:schemeClr w14:val="tx1"/>
            </w14:solidFill>
          </w14:textFill>
        </w:rPr>
        <w:t>.1</w:t>
      </w:r>
      <w:r>
        <w:rPr>
          <w:rFonts w:hint="eastAsia" w:hAnsi="宋体"/>
          <w:color w:val="000000" w:themeColor="text1"/>
          <w14:textFill>
            <w14:solidFill>
              <w14:schemeClr w14:val="tx1"/>
            </w14:solidFill>
          </w14:textFill>
        </w:rPr>
        <w:t>供应商应按磋商文件的要求，提交证明其有资格参加磋商和成交后有履行合同能力的文件，并作为其响应文件的组成部分。</w:t>
      </w:r>
    </w:p>
    <w:p w14:paraId="20D65DF4">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13.2资格证明文件必须真实有效，复印件必须加盖单位印章。</w:t>
      </w:r>
    </w:p>
    <w:p w14:paraId="3983B4B4">
      <w:pPr>
        <w:pStyle w:val="25"/>
        <w:adjustRightInd w:val="0"/>
        <w:snapToGrid w:val="0"/>
        <w:spacing w:line="30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14. 证明响应文件标的合格性和符合磋商文件规定的文件：</w:t>
      </w:r>
    </w:p>
    <w:p w14:paraId="14BB6297">
      <w:pPr>
        <w:tabs>
          <w:tab w:val="left" w:pos="567"/>
        </w:tabs>
        <w:spacing w:line="300" w:lineRule="auto"/>
        <w:ind w:left="567" w:hanging="56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 供应商提交证明其所提供的货物和服务的合格性并符合磋商文件规定的声明文件。</w:t>
      </w:r>
    </w:p>
    <w:p w14:paraId="05084867">
      <w:pPr>
        <w:tabs>
          <w:tab w:val="left" w:pos="567"/>
        </w:tabs>
        <w:spacing w:line="300" w:lineRule="auto"/>
        <w:ind w:left="567" w:hanging="56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证明货物和服务与磋商文件的要求相一致的文件可以是文字资料、图纸、数据资料等。</w:t>
      </w:r>
    </w:p>
    <w:p w14:paraId="0D0BF834">
      <w:pPr>
        <w:pStyle w:val="25"/>
        <w:adjustRightInd w:val="0"/>
        <w:snapToGrid w:val="0"/>
        <w:spacing w:line="300" w:lineRule="auto"/>
        <w:ind w:left="420" w:hanging="420"/>
        <w:rPr>
          <w:rFonts w:hAnsi="宋体"/>
          <w:b/>
          <w:color w:val="000000" w:themeColor="text1"/>
          <w:kern w:val="0"/>
          <w:u w:val="single"/>
          <w14:textFill>
            <w14:solidFill>
              <w14:schemeClr w14:val="tx1"/>
            </w14:solidFill>
          </w14:textFill>
        </w:rPr>
      </w:pPr>
    </w:p>
    <w:p w14:paraId="2B74970C">
      <w:pPr>
        <w:pStyle w:val="25"/>
        <w:adjustRightInd w:val="0"/>
        <w:snapToGrid w:val="0"/>
        <w:spacing w:line="300" w:lineRule="auto"/>
        <w:outlineLvl w:val="1"/>
        <w:rPr>
          <w:rFonts w:hAnsi="宋体"/>
          <w:color w:val="000000" w:themeColor="text1"/>
          <w14:textFill>
            <w14:solidFill>
              <w14:schemeClr w14:val="tx1"/>
            </w14:solidFill>
          </w14:textFill>
        </w:rPr>
      </w:pPr>
      <w:bookmarkStart w:id="129" w:name="_Toc464632124"/>
      <w:bookmarkStart w:id="130" w:name="_Toc3969"/>
      <w:r>
        <w:rPr>
          <w:rFonts w:hint="eastAsia" w:hAnsi="宋体"/>
          <w:color w:val="000000" w:themeColor="text1"/>
          <w14:textFill>
            <w14:solidFill>
              <w14:schemeClr w14:val="tx1"/>
            </w14:solidFill>
          </w14:textFill>
        </w:rPr>
        <w:t>五、保证金</w:t>
      </w:r>
      <w:bookmarkEnd w:id="129"/>
      <w:bookmarkEnd w:id="130"/>
    </w:p>
    <w:p w14:paraId="69CB714A">
      <w:pPr>
        <w:adjustRightInd w:val="0"/>
        <w:snapToGrid w:val="0"/>
        <w:spacing w:line="30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 磋商保证金</w:t>
      </w:r>
    </w:p>
    <w:p w14:paraId="555702E9">
      <w:pPr>
        <w:adjustRightInd w:val="0"/>
        <w:snapToGrid w:val="0"/>
        <w:spacing w:line="30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15.1 供应商应按磋商文件规定的金额和期限交纳磋商保证金，磋商保证金作为响应文件的组成部分。</w:t>
      </w:r>
    </w:p>
    <w:p w14:paraId="2EC255DD">
      <w:pPr>
        <w:adjustRightInd w:val="0"/>
        <w:snapToGrid w:val="0"/>
        <w:spacing w:line="30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15.2磋商保证金金额、交纳形式、交纳时间及磋商保证金账户。</w:t>
      </w:r>
    </w:p>
    <w:p w14:paraId="43B8551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 1)汇款账号必须与供应商的名称相一致，否则将不予受理。</w:t>
      </w:r>
    </w:p>
    <w:p w14:paraId="5CDCF63A">
      <w:pPr>
        <w:adjustRightInd w:val="0"/>
        <w:snapToGrid w:val="0"/>
        <w:spacing w:line="30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15.3凡未按规定交纳磋商保证金的报价响应，其报价响应被确定为响应无效。</w:t>
      </w:r>
    </w:p>
    <w:p w14:paraId="16C3144B">
      <w:pPr>
        <w:adjustRightInd w:val="0"/>
        <w:snapToGrid w:val="0"/>
        <w:spacing w:line="30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14:textFill>
            <w14:solidFill>
              <w14:schemeClr w14:val="tx1"/>
            </w14:solidFill>
          </w14:textFill>
        </w:rPr>
        <w:t>招标采购单位</w:t>
      </w:r>
      <w:r>
        <w:rPr>
          <w:rFonts w:hint="eastAsia" w:ascii="宋体" w:hAnsi="宋体"/>
          <w:color w:val="000000" w:themeColor="text1"/>
          <w:szCs w:val="21"/>
          <w14:textFill>
            <w14:solidFill>
              <w14:schemeClr w14:val="tx1"/>
            </w14:solidFill>
          </w14:textFill>
        </w:rPr>
        <w:t>将在质疑和投诉处理完毕后不计利息原额退还。</w:t>
      </w:r>
    </w:p>
    <w:p w14:paraId="5682980B">
      <w:pPr>
        <w:adjustRightInd w:val="0"/>
        <w:snapToGrid w:val="0"/>
        <w:spacing w:line="300" w:lineRule="auto"/>
        <w:ind w:left="473" w:right="31" w:rightChars="15"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15.5</w:t>
      </w:r>
      <w:r>
        <w:rPr>
          <w:rFonts w:hint="eastAsia" w:ascii="宋体" w:hAnsi="宋体"/>
          <w:color w:val="000000" w:themeColor="text1"/>
          <w:kern w:val="0"/>
          <w:szCs w:val="21"/>
          <w14:textFill>
            <w14:solidFill>
              <w14:schemeClr w14:val="tx1"/>
            </w14:solidFill>
          </w14:textFill>
        </w:rPr>
        <w:t>成交供应商的磋商保证金,在成交供应商与采购人签订采购合同并执行了缴交成交服务费的规定后5个工作日内不计利息原额退还。</w:t>
      </w:r>
    </w:p>
    <w:p w14:paraId="0E282067">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15.6 若有下列情况之一，磋商保证金将被没收，因此而造成采购人的损失须由供应商承担：</w:t>
      </w:r>
    </w:p>
    <w:p w14:paraId="1AE31636">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 供应商在磋商文件规定的报价有效期内撤回其响应文件；</w:t>
      </w:r>
    </w:p>
    <w:p w14:paraId="5EDE6614">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 成交后无正当理由不与采购人签订合同的；</w:t>
      </w:r>
    </w:p>
    <w:p w14:paraId="36EA09EE">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成交供应商在规定期限内未能按本须知的规定提交履约保证金（如有）；</w:t>
      </w:r>
    </w:p>
    <w:p w14:paraId="49179D23">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 成交后未按磋商文件中的规定缴付成交服务费；</w:t>
      </w:r>
    </w:p>
    <w:p w14:paraId="3CFA2466">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 有违反国家有关法律法规的行为。</w:t>
      </w:r>
    </w:p>
    <w:p w14:paraId="07F20C07">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p>
    <w:p w14:paraId="2191FFB1">
      <w:pPr>
        <w:pStyle w:val="25"/>
        <w:adjustRightInd w:val="0"/>
        <w:snapToGrid w:val="0"/>
        <w:spacing w:line="300" w:lineRule="auto"/>
        <w:outlineLvl w:val="1"/>
        <w:rPr>
          <w:rFonts w:hAnsi="宋体"/>
          <w:color w:val="000000" w:themeColor="text1"/>
          <w14:textFill>
            <w14:solidFill>
              <w14:schemeClr w14:val="tx1"/>
            </w14:solidFill>
          </w14:textFill>
        </w:rPr>
      </w:pPr>
      <w:bookmarkStart w:id="131" w:name="_Toc464632125"/>
      <w:bookmarkStart w:id="132" w:name="_Toc12763"/>
      <w:r>
        <w:rPr>
          <w:rFonts w:hint="eastAsia" w:hAnsi="宋体"/>
          <w:color w:val="000000" w:themeColor="text1"/>
          <w14:textFill>
            <w14:solidFill>
              <w14:schemeClr w14:val="tx1"/>
            </w14:solidFill>
          </w14:textFill>
        </w:rPr>
        <w:t>六、响应文件的份数、封装和递交</w:t>
      </w:r>
      <w:bookmarkEnd w:id="131"/>
      <w:bookmarkEnd w:id="132"/>
    </w:p>
    <w:p w14:paraId="408FF9A4">
      <w:pPr>
        <w:autoSpaceDE w:val="0"/>
        <w:autoSpaceDN w:val="0"/>
        <w:adjustRightInd w:val="0"/>
        <w:snapToGrid w:val="0"/>
        <w:spacing w:line="300" w:lineRule="auto"/>
        <w:ind w:left="420" w:right="3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16.  响应文件的数量和签署</w:t>
      </w:r>
    </w:p>
    <w:p w14:paraId="514A27C5">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14:paraId="37B4D7AB">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14:paraId="631399ED">
      <w:pPr>
        <w:pStyle w:val="25"/>
        <w:adjustRightInd w:val="0"/>
        <w:snapToGrid w:val="0"/>
        <w:spacing w:line="300" w:lineRule="auto"/>
        <w:ind w:left="473" w:hanging="472" w:hangingChars="225"/>
        <w:rPr>
          <w:rFonts w:hAnsi="宋体"/>
          <w:color w:val="000000" w:themeColor="text1"/>
          <w:kern w:val="0"/>
          <w14:textFill>
            <w14:solidFill>
              <w14:schemeClr w14:val="tx1"/>
            </w14:solidFill>
          </w14:textFill>
        </w:rPr>
      </w:pPr>
      <w:r>
        <w:rPr>
          <w:rFonts w:hint="eastAsia" w:hAnsi="宋体"/>
          <w:color w:val="000000" w:themeColor="text1"/>
          <w:kern w:val="0"/>
          <w14:textFill>
            <w14:solidFill>
              <w14:schemeClr w14:val="tx1"/>
            </w14:solidFill>
          </w14:textFill>
        </w:rPr>
        <w:t>16.3 响应文件中的任何重要的插字、涂改和增删，必须由法定代表人（负责人）或经其正式授权的代表在旁边签章或签字才有效。</w:t>
      </w:r>
    </w:p>
    <w:p w14:paraId="5F3FB7F1">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16.4 响应文件的报价有效期为从报价截止日起</w:t>
      </w:r>
      <w:r>
        <w:rPr>
          <w:rFonts w:hint="eastAsia" w:ascii="宋体" w:hAnsi="宋体"/>
          <w:color w:val="000000" w:themeColor="text1"/>
          <w:kern w:val="0"/>
          <w:szCs w:val="21"/>
          <w:u w:val="single"/>
          <w14:textFill>
            <w14:solidFill>
              <w14:schemeClr w14:val="tx1"/>
            </w14:solidFill>
          </w14:textFill>
        </w:rPr>
        <w:t>90天</w:t>
      </w:r>
      <w:r>
        <w:rPr>
          <w:rFonts w:hint="eastAsia" w:ascii="宋体" w:hAnsi="宋体"/>
          <w:color w:val="000000" w:themeColor="text1"/>
          <w:kern w:val="0"/>
          <w:szCs w:val="21"/>
          <w14:textFill>
            <w14:solidFill>
              <w14:schemeClr w14:val="tx1"/>
            </w14:solidFill>
          </w14:textFill>
        </w:rPr>
        <w:t>。</w:t>
      </w:r>
    </w:p>
    <w:p w14:paraId="522FF6A3">
      <w:pPr>
        <w:autoSpaceDE w:val="0"/>
        <w:autoSpaceDN w:val="0"/>
        <w:adjustRightInd w:val="0"/>
        <w:snapToGrid w:val="0"/>
        <w:spacing w:line="300" w:lineRule="auto"/>
        <w:ind w:left="420" w:right="32"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  响应文件的递交</w:t>
      </w:r>
    </w:p>
    <w:p w14:paraId="75D072A9">
      <w:pPr>
        <w:autoSpaceDE w:val="0"/>
        <w:autoSpaceDN w:val="0"/>
        <w:adjustRightInd w:val="0"/>
        <w:snapToGrid w:val="0"/>
        <w:spacing w:line="300" w:lineRule="auto"/>
        <w:ind w:left="420" w:right="32"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17.1 所有响应文件应于规定的截止时点前递交到采购代理机构。</w:t>
      </w:r>
    </w:p>
    <w:p w14:paraId="14ADADEC">
      <w:pPr>
        <w:autoSpaceDE w:val="0"/>
        <w:autoSpaceDN w:val="0"/>
        <w:adjustRightInd w:val="0"/>
        <w:snapToGrid w:val="0"/>
        <w:spacing w:line="300" w:lineRule="auto"/>
        <w:ind w:left="420" w:right="32"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17.2 迟交的响应文件，按《政府采购法》的规定，采购代理机构将拒收或原封退回在其规定的递交响应文件截止时点之后收到的任何响应文件。</w:t>
      </w:r>
    </w:p>
    <w:p w14:paraId="6BAF9D99">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p>
    <w:p w14:paraId="359C67D8">
      <w:pPr>
        <w:pStyle w:val="25"/>
        <w:adjustRightInd w:val="0"/>
        <w:snapToGrid w:val="0"/>
        <w:spacing w:line="300" w:lineRule="auto"/>
        <w:outlineLvl w:val="1"/>
        <w:rPr>
          <w:rFonts w:hAnsi="宋体"/>
          <w:color w:val="000000" w:themeColor="text1"/>
          <w14:textFill>
            <w14:solidFill>
              <w14:schemeClr w14:val="tx1"/>
            </w14:solidFill>
          </w14:textFill>
        </w:rPr>
      </w:pPr>
      <w:bookmarkStart w:id="133" w:name="_Toc464632126"/>
      <w:bookmarkStart w:id="134" w:name="_Toc21227"/>
      <w:r>
        <w:rPr>
          <w:rFonts w:hint="eastAsia" w:hAnsi="宋体"/>
          <w:color w:val="000000" w:themeColor="text1"/>
          <w14:textFill>
            <w14:solidFill>
              <w14:schemeClr w14:val="tx1"/>
            </w14:solidFill>
          </w14:textFill>
        </w:rPr>
        <w:t>七、磋商的步骤</w:t>
      </w:r>
      <w:bookmarkEnd w:id="133"/>
      <w:bookmarkEnd w:id="134"/>
    </w:p>
    <w:p w14:paraId="7D77AA83">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18.  磋商文件的澄清</w:t>
      </w:r>
    </w:p>
    <w:p w14:paraId="7D8FCDE0">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668C2B26">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18296909">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  磋商</w:t>
      </w:r>
    </w:p>
    <w:p w14:paraId="18446FD0">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19.1磋商小组成员从相关专家库随机抽取产生。磋商小组对所有响应文件进行资格性审查和符合性审查。所有符合相应资格条件的供应商参加磋商。</w:t>
      </w:r>
    </w:p>
    <w:p w14:paraId="4516796A">
      <w:pPr>
        <w:autoSpaceDE w:val="0"/>
        <w:autoSpaceDN w:val="0"/>
        <w:adjustRightInd w:val="0"/>
        <w:snapToGrid w:val="0"/>
        <w:spacing w:line="300" w:lineRule="auto"/>
        <w:ind w:right="32" w:firstLine="316" w:firstLineChars="15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14:textFill>
            <w14:solidFill>
              <w14:schemeClr w14:val="tx1"/>
            </w14:solidFill>
          </w14:textFill>
        </w:rPr>
        <w:t>响应无效</w:t>
      </w:r>
      <w:r>
        <w:rPr>
          <w:rFonts w:hint="eastAsia" w:ascii="宋体" w:hAnsi="宋体"/>
          <w:b/>
          <w:color w:val="000000" w:themeColor="text1"/>
          <w:szCs w:val="21"/>
          <w14:textFill>
            <w14:solidFill>
              <w14:schemeClr w14:val="tx1"/>
            </w14:solidFill>
          </w14:textFill>
        </w:rPr>
        <w:t>：</w:t>
      </w:r>
    </w:p>
    <w:p w14:paraId="15EB725F">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1)供应商未提交磋商保证金或金额不足、磋商保证金提交形式不符合磋商文件要求的；</w:t>
      </w:r>
    </w:p>
    <w:p w14:paraId="0CA3EFF9">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响应下浮率不符合招标文件规定的</w:t>
      </w:r>
      <w:r>
        <w:rPr>
          <w:rFonts w:hint="eastAsia" w:ascii="宋体" w:hAnsi="宋体"/>
          <w:color w:val="000000" w:themeColor="text1"/>
          <w:kern w:val="0"/>
          <w:szCs w:val="21"/>
          <w14:textFill>
            <w14:solidFill>
              <w14:schemeClr w14:val="tx1"/>
            </w14:solidFill>
          </w14:textFill>
        </w:rPr>
        <w:t>；</w:t>
      </w:r>
    </w:p>
    <w:p w14:paraId="46BEB1BA">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3)响应文件或资格证明文件未提供或不符合磋商文件要求的；</w:t>
      </w:r>
    </w:p>
    <w:p w14:paraId="4D0CFD4F">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4)不具备磋商文件中规定资格要求的；</w:t>
      </w:r>
    </w:p>
    <w:p w14:paraId="3116135F">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5)未按照磋商文件规定要求签署、盖章的；</w:t>
      </w:r>
    </w:p>
    <w:p w14:paraId="60CE3354">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6)响应文件无法定代表人（负责人）签字或签字人无法定代表人（负责人）有效授权的；</w:t>
      </w:r>
    </w:p>
    <w:p w14:paraId="536865FD">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7)参加政府采购活动前三年内，在经营活动中有重大违法记录的；</w:t>
      </w:r>
    </w:p>
    <w:p w14:paraId="3C77F7A0">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8)响应文件对磋商文件的实质性技术与商务的（即标注*号条款）条款产生偏离的。</w:t>
      </w:r>
    </w:p>
    <w:p w14:paraId="558E1AC9">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9)符合磋商文件中规定的被确定为响应无效的其它条款的。</w:t>
      </w:r>
    </w:p>
    <w:p w14:paraId="00854D81">
      <w:pPr>
        <w:tabs>
          <w:tab w:val="left" w:pos="567"/>
        </w:tabs>
        <w:spacing w:line="300" w:lineRule="auto"/>
        <w:ind w:firstLine="525" w:firstLineChars="25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10)不符合法律、法规规定的其他实质性要求的。</w:t>
      </w:r>
    </w:p>
    <w:p w14:paraId="1F13322E">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51186161">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14:paraId="68B39ACD">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49775E4A">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CA934B">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7190AB49">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C8EDD61">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19.8代理机构对磋商过程和重要磋商内容进行记录。</w:t>
      </w:r>
    </w:p>
    <w:p w14:paraId="50E61F70">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14:textFill>
            <w14:solidFill>
              <w14:schemeClr w14:val="tx1"/>
            </w14:solidFill>
          </w14:textFill>
        </w:rPr>
        <w:t>详见</w:t>
      </w:r>
      <w:r>
        <w:rPr>
          <w:rFonts w:hint="eastAsia" w:hAnsi="宋体"/>
          <w:color w:val="000000" w:themeColor="text1"/>
          <w:kern w:val="0"/>
          <w:szCs w:val="21"/>
          <w14:textFill>
            <w14:solidFill>
              <w14:schemeClr w14:val="tx1"/>
            </w14:solidFill>
          </w14:textFill>
        </w:rPr>
        <w:t>《</w:t>
      </w:r>
      <w:r>
        <w:rPr>
          <w:rFonts w:hint="eastAsia" w:hAnsi="宋体"/>
          <w:color w:val="000000" w:themeColor="text1"/>
          <w:szCs w:val="21"/>
          <w14:textFill>
            <w14:solidFill>
              <w14:schemeClr w14:val="tx1"/>
            </w14:solidFill>
          </w14:textFill>
        </w:rPr>
        <w:t>第四部分</w:t>
      </w:r>
      <w:r>
        <w:rPr>
          <w:rFonts w:hAnsi="宋体" w:cs="宋体"/>
          <w:color w:val="000000" w:themeColor="text1"/>
          <w:szCs w:val="21"/>
          <w14:textFill>
            <w14:solidFill>
              <w14:schemeClr w14:val="tx1"/>
            </w14:solidFill>
          </w14:textFill>
        </w:rPr>
        <w:t>磋商、评审、成交</w:t>
      </w:r>
      <w:r>
        <w:rPr>
          <w:rFonts w:hint="eastAsia" w:hAnsi="宋体"/>
          <w:color w:val="000000" w:themeColor="text1"/>
          <w:kern w:val="0"/>
          <w:szCs w:val="21"/>
          <w14:textFill>
            <w14:solidFill>
              <w14:schemeClr w14:val="tx1"/>
            </w14:solidFill>
          </w14:textFill>
        </w:rPr>
        <w:t>》</w:t>
      </w:r>
      <w:r>
        <w:rPr>
          <w:rFonts w:hint="eastAsia" w:hAnsi="宋体"/>
          <w:color w:val="000000" w:themeColor="text1"/>
          <w:szCs w:val="21"/>
          <w14:textFill>
            <w14:solidFill>
              <w14:schemeClr w14:val="tx1"/>
            </w14:solidFill>
          </w14:textFill>
        </w:rPr>
        <w:t>:</w:t>
      </w:r>
    </w:p>
    <w:p w14:paraId="306314C4">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1)商务评审</w:t>
      </w:r>
    </w:p>
    <w:p w14:paraId="34CE7EA0">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2)技术评审</w:t>
      </w:r>
    </w:p>
    <w:p w14:paraId="1FD6D229">
      <w:pPr>
        <w:tabs>
          <w:tab w:val="left" w:pos="567"/>
        </w:tabs>
        <w:spacing w:line="30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14:paraId="470C23E8">
      <w:pPr>
        <w:tabs>
          <w:tab w:val="left" w:pos="567"/>
        </w:tabs>
        <w:spacing w:line="300" w:lineRule="auto"/>
        <w:ind w:left="500" w:leftChars="238"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评分标准（公式）：磋商报价得分＝</w:t>
      </w:r>
      <w:r>
        <w:rPr>
          <w:rFonts w:ascii="宋体" w:hAnsi="宋体"/>
          <w:color w:val="000000" w:themeColor="text1"/>
          <w:kern w:val="0"/>
          <w:szCs w:val="21"/>
          <w14:textFill>
            <w14:solidFill>
              <w14:schemeClr w14:val="tx1"/>
            </w14:solidFill>
          </w14:textFill>
        </w:rPr>
        <w:fldChar w:fldCharType="begin"/>
      </w:r>
      <w:r>
        <w:rPr>
          <w:rFonts w:ascii="宋体" w:hAnsi="宋体"/>
          <w:color w:val="000000" w:themeColor="text1"/>
          <w:kern w:val="0"/>
          <w:szCs w:val="21"/>
          <w14:textFill>
            <w14:solidFill>
              <w14:schemeClr w14:val="tx1"/>
            </w14:solidFill>
          </w14:textFill>
        </w:rPr>
        <w:instrText xml:space="preserve"> EQ \F(</w:instrText>
      </w:r>
      <w:r>
        <w:rPr>
          <w:rFonts w:hint="eastAsia" w:ascii="宋体" w:hAnsi="宋体"/>
          <w:color w:val="000000" w:themeColor="text1"/>
          <w:kern w:val="0"/>
          <w:szCs w:val="21"/>
          <w14:textFill>
            <w14:solidFill>
              <w14:schemeClr w14:val="tx1"/>
            </w14:solidFill>
          </w14:textFill>
        </w:rPr>
        <w:instrText xml:space="preserve">磋商基准价</w:instrText>
      </w:r>
      <w:r>
        <w:rPr>
          <w:rFonts w:ascii="宋体" w:hAnsi="宋体"/>
          <w:color w:val="000000" w:themeColor="text1"/>
          <w:kern w:val="0"/>
          <w:szCs w:val="21"/>
          <w14:textFill>
            <w14:solidFill>
              <w14:schemeClr w14:val="tx1"/>
            </w14:solidFill>
          </w14:textFill>
        </w:rPr>
        <w:instrText xml:space="preserve">,</w:instrText>
      </w:r>
      <w:r>
        <w:rPr>
          <w:rFonts w:hint="eastAsia" w:ascii="宋体" w:hAnsi="宋体"/>
          <w:color w:val="000000" w:themeColor="text1"/>
          <w14:textFill>
            <w14:solidFill>
              <w14:schemeClr w14:val="tx1"/>
            </w14:solidFill>
          </w14:textFill>
        </w:rPr>
        <w:instrText xml:space="preserve"> </w:instrText>
      </w:r>
      <w:r>
        <w:rPr>
          <w:rFonts w:hint="eastAsia" w:ascii="宋体" w:hAnsi="宋体"/>
          <w:color w:val="000000" w:themeColor="text1"/>
          <w:kern w:val="0"/>
          <w:szCs w:val="21"/>
          <w14:textFill>
            <w14:solidFill>
              <w14:schemeClr w14:val="tx1"/>
            </w14:solidFill>
          </w14:textFill>
        </w:rPr>
        <w:instrText xml:space="preserve">最后磋商报价</w:instrText>
      </w:r>
      <w:r>
        <w:rPr>
          <w:rFonts w:ascii="宋体" w:hAnsi="宋体"/>
          <w:color w:val="000000" w:themeColor="text1"/>
          <w:kern w:val="0"/>
          <w:szCs w:val="21"/>
          <w14:textFill>
            <w14:solidFill>
              <w14:schemeClr w14:val="tx1"/>
            </w14:solidFill>
          </w14:textFill>
        </w:rPr>
        <w:instrText xml:space="preserve">) </w:instrText>
      </w:r>
      <w:r>
        <w:rPr>
          <w:rFonts w:ascii="宋体" w:hAnsi="宋体"/>
          <w:color w:val="000000" w:themeColor="text1"/>
          <w:kern w:val="0"/>
          <w:szCs w:val="21"/>
          <w14:textFill>
            <w14:solidFill>
              <w14:schemeClr w14:val="tx1"/>
            </w14:solidFill>
          </w14:textFill>
        </w:rPr>
        <w:fldChar w:fldCharType="end"/>
      </w:r>
      <w:r>
        <w:rPr>
          <w:rFonts w:hint="eastAsia" w:ascii="宋体" w:hAnsi="宋体"/>
          <w:color w:val="000000" w:themeColor="text1"/>
          <w:kern w:val="0"/>
          <w:szCs w:val="21"/>
          <w14:textFill>
            <w14:solidFill>
              <w14:schemeClr w14:val="tx1"/>
            </w14:solidFill>
          </w14:textFill>
        </w:rPr>
        <w:t>×价格权值×100</w:t>
      </w:r>
    </w:p>
    <w:p w14:paraId="4290E157">
      <w:pPr>
        <w:pStyle w:val="45"/>
        <w:widowControl w:val="0"/>
        <w:spacing w:before="0" w:beforeAutospacing="0" w:after="0" w:afterAutospacing="0" w:line="300" w:lineRule="auto"/>
        <w:ind w:left="840" w:leftChars="400" w:right="657" w:rightChars="313"/>
        <w:rPr>
          <w:color w:val="000000" w:themeColor="text1"/>
          <w:sz w:val="21"/>
          <w:szCs w:val="21"/>
          <w14:textFill>
            <w14:solidFill>
              <w14:schemeClr w14:val="tx1"/>
            </w14:solidFill>
          </w14:textFill>
        </w:rPr>
      </w:pPr>
      <w:r>
        <w:rPr>
          <w:rFonts w:hint="eastAsia"/>
          <w:iCs/>
          <w:color w:val="000000" w:themeColor="text1"/>
          <w:sz w:val="21"/>
          <w:szCs w:val="21"/>
          <w14:textFill>
            <w14:solidFill>
              <w14:schemeClr w14:val="tx1"/>
            </w14:solidFill>
          </w14:textFill>
        </w:rPr>
        <w:t>备注：</w:t>
      </w:r>
      <w:r>
        <w:rPr>
          <w:rFonts w:hint="eastAsia"/>
          <w:color w:val="000000" w:themeColor="text1"/>
          <w:sz w:val="21"/>
          <w:szCs w:val="21"/>
          <w14:textFill>
            <w14:solidFill>
              <w14:schemeClr w14:val="tx1"/>
            </w14:solidFill>
          </w14:textFill>
        </w:rPr>
        <w:t>1、价格修正：供应商的响应报价中经磋商小组确定为供货范围（包括货物、工程和服务）缺漏项，而进行调整的，调整价为该项目在其他有效响应中的最高报价。</w:t>
      </w:r>
    </w:p>
    <w:p w14:paraId="669A6885">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2、磋商小组将按照上述修正错误的方法调整该供应商的响应文件中的响应报价，调整后的价格对供应商具有约束力。如果供应商不接受修正后的响应价格，则其响应将被拒绝。</w:t>
      </w:r>
    </w:p>
    <w:p w14:paraId="1C3D4E4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7B7E25B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14:paraId="7E92ABE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3.2小型、微型企业提供中型企业制造的货物的，视同为中型企业。</w:t>
      </w:r>
    </w:p>
    <w:p w14:paraId="03C2BA49">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3BB508D6">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4、监狱企业视同小型、微型企业，享受评审中价格扣除。</w:t>
      </w:r>
    </w:p>
    <w:p w14:paraId="3416F56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1F4D98">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4.2.监狱企业参加政府采购活动时，应当提供由省级以上监狱管理局、戒毒管理局（含新疆生产建设兵团）出具的属于监狱企业的证明文件，否则不予认可。</w:t>
      </w:r>
    </w:p>
    <w:p w14:paraId="6F129AB3">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5.供应商同时为小型、微型企业和监狱企业的，评审中只享受一次价格扣除。不重复进行价格扣除。</w:t>
      </w:r>
    </w:p>
    <w:p w14:paraId="5A3A0B69">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19.10推荐成交候选人：</w:t>
      </w:r>
      <w:r>
        <w:rPr>
          <w:rFonts w:hint="eastAsia" w:hAnsi="宋体"/>
          <w:color w:val="000000" w:themeColor="text1"/>
          <w:kern w:val="0"/>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14:textFill>
            <w14:solidFill>
              <w14:schemeClr w14:val="tx1"/>
            </w14:solidFill>
          </w14:textFill>
        </w:rPr>
        <w:t>将综合得分从高到低排序，得出</w:t>
      </w:r>
      <w:r>
        <w:rPr>
          <w:rFonts w:hint="eastAsia" w:hAnsi="宋体"/>
          <w:color w:val="000000" w:themeColor="text1"/>
          <w:kern w:val="0"/>
          <w14:textFill>
            <w14:solidFill>
              <w14:schemeClr w14:val="tx1"/>
            </w14:solidFill>
          </w14:textFill>
        </w:rPr>
        <w:t>供应商</w:t>
      </w:r>
      <w:r>
        <w:rPr>
          <w:rFonts w:hint="eastAsia" w:hAnsi="宋体"/>
          <w:color w:val="000000" w:themeColor="text1"/>
          <w14:textFill>
            <w14:solidFill>
              <w14:schemeClr w14:val="tx1"/>
            </w14:solidFill>
          </w14:textFill>
        </w:rPr>
        <w:t>名次（</w:t>
      </w:r>
      <w:r>
        <w:rPr>
          <w:rFonts w:hAnsi="宋体"/>
          <w:color w:val="000000" w:themeColor="text1"/>
          <w14:textFill>
            <w14:solidFill>
              <w14:schemeClr w14:val="tx1"/>
            </w14:solidFill>
          </w14:textFill>
        </w:rPr>
        <w:t>得分相同的，按</w:t>
      </w:r>
      <w:r>
        <w:rPr>
          <w:rFonts w:hint="eastAsia" w:hAnsi="宋体"/>
          <w:color w:val="000000" w:themeColor="text1"/>
          <w14:textFill>
            <w14:solidFill>
              <w14:schemeClr w14:val="tx1"/>
            </w14:solidFill>
          </w14:textFill>
        </w:rPr>
        <w:t>最后</w:t>
      </w:r>
      <w:r>
        <w:rPr>
          <w:rFonts w:hAnsi="宋体"/>
          <w:color w:val="000000" w:themeColor="text1"/>
          <w14:textFill>
            <w14:solidFill>
              <w14:schemeClr w14:val="tx1"/>
            </w14:solidFill>
          </w14:textFill>
        </w:rPr>
        <w:t>报价由低到高顺序排列</w:t>
      </w:r>
      <w:r>
        <w:rPr>
          <w:rFonts w:hint="eastAsia" w:hAnsi="宋体"/>
          <w:color w:val="000000" w:themeColor="text1"/>
          <w14:textFill>
            <w14:solidFill>
              <w14:schemeClr w14:val="tx1"/>
            </w14:solidFill>
          </w14:textFill>
        </w:rPr>
        <w:t>；</w:t>
      </w:r>
      <w:r>
        <w:rPr>
          <w:rFonts w:hAnsi="宋体"/>
          <w:color w:val="000000" w:themeColor="text1"/>
          <w14:textFill>
            <w14:solidFill>
              <w14:schemeClr w14:val="tx1"/>
            </w14:solidFill>
          </w14:textFill>
        </w:rPr>
        <w:t>得分且</w:t>
      </w:r>
      <w:r>
        <w:rPr>
          <w:rFonts w:hint="eastAsia" w:hAnsi="宋体"/>
          <w:color w:val="000000" w:themeColor="text1"/>
          <w14:textFill>
            <w14:solidFill>
              <w14:schemeClr w14:val="tx1"/>
            </w14:solidFill>
          </w14:textFill>
        </w:rPr>
        <w:t>最后</w:t>
      </w:r>
      <w:r>
        <w:rPr>
          <w:rFonts w:hAnsi="宋体"/>
          <w:color w:val="000000" w:themeColor="text1"/>
          <w14:textFill>
            <w14:solidFill>
              <w14:schemeClr w14:val="tx1"/>
            </w14:solidFill>
          </w14:textFill>
        </w:rPr>
        <w:t>报价相同的，按</w:t>
      </w:r>
      <w:r>
        <w:rPr>
          <w:rFonts w:hint="eastAsia" w:hAnsi="宋体"/>
          <w:color w:val="000000" w:themeColor="text1"/>
          <w14:textFill>
            <w14:solidFill>
              <w14:schemeClr w14:val="tx1"/>
            </w14:solidFill>
          </w14:textFill>
        </w:rPr>
        <w:t>技术</w:t>
      </w:r>
      <w:r>
        <w:rPr>
          <w:rFonts w:hAnsi="宋体"/>
          <w:color w:val="000000" w:themeColor="text1"/>
          <w14:textFill>
            <w14:solidFill>
              <w14:schemeClr w14:val="tx1"/>
            </w14:solidFill>
          </w14:textFill>
        </w:rPr>
        <w:t>优劣顺序排列</w:t>
      </w:r>
      <w:r>
        <w:rPr>
          <w:rFonts w:hint="eastAsia" w:hAnsi="宋体"/>
          <w:color w:val="000000" w:themeColor="text1"/>
          <w14:textFill>
            <w14:solidFill>
              <w14:schemeClr w14:val="tx1"/>
            </w14:solidFill>
          </w14:textFill>
        </w:rPr>
        <w:t>），推荐 3 名成交候选人。</w:t>
      </w:r>
    </w:p>
    <w:p w14:paraId="711C62B8">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p>
    <w:p w14:paraId="622EBC31">
      <w:pPr>
        <w:pStyle w:val="25"/>
        <w:adjustRightInd w:val="0"/>
        <w:snapToGrid w:val="0"/>
        <w:spacing w:line="300" w:lineRule="auto"/>
        <w:outlineLvl w:val="1"/>
        <w:rPr>
          <w:rFonts w:hAnsi="宋体"/>
          <w:color w:val="000000" w:themeColor="text1"/>
          <w14:textFill>
            <w14:solidFill>
              <w14:schemeClr w14:val="tx1"/>
            </w14:solidFill>
          </w14:textFill>
        </w:rPr>
      </w:pPr>
      <w:bookmarkStart w:id="135" w:name="_Toc22351"/>
      <w:bookmarkStart w:id="136" w:name="_Toc464632127"/>
      <w:r>
        <w:rPr>
          <w:rFonts w:hint="eastAsia" w:hAnsi="宋体"/>
          <w:color w:val="000000" w:themeColor="text1"/>
          <w14:textFill>
            <w14:solidFill>
              <w14:schemeClr w14:val="tx1"/>
            </w14:solidFill>
          </w14:textFill>
        </w:rPr>
        <w:t>八、确定成交供应商办法</w:t>
      </w:r>
      <w:bookmarkEnd w:id="135"/>
      <w:bookmarkEnd w:id="136"/>
    </w:p>
    <w:p w14:paraId="73C0EE20">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20.  确定成交供应商</w:t>
      </w:r>
    </w:p>
    <w:p w14:paraId="382193D2">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20.1磋商小组根据综合评分情况，按照评审得分由高到低顺序推荐成交候选供应商，并编写评审报告。</w:t>
      </w:r>
    </w:p>
    <w:p w14:paraId="3876B352">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20.2 </w:t>
      </w:r>
      <w:r>
        <w:rPr>
          <w:rFonts w:hint="eastAsia" w:ascii="宋体" w:hAnsi="宋体"/>
          <w:color w:val="000000" w:themeColor="text1"/>
          <w:kern w:val="0"/>
          <w:szCs w:val="21"/>
          <w14:textFill>
            <w14:solidFill>
              <w14:schemeClr w14:val="tx1"/>
            </w14:solidFill>
          </w14:textFill>
        </w:rPr>
        <w:t>成交供应商确定后，</w:t>
      </w:r>
      <w:r>
        <w:rPr>
          <w:rFonts w:hint="eastAsia" w:ascii="宋体" w:hAnsi="宋体"/>
          <w:color w:val="000000" w:themeColor="text1"/>
          <w:szCs w:val="21"/>
          <w14:textFill>
            <w14:solidFill>
              <w14:schemeClr w14:val="tx1"/>
            </w14:solidFill>
          </w14:textFill>
        </w:rPr>
        <w:t>成交结果将于指定媒体公告：</w:t>
      </w:r>
      <w:r>
        <w:rPr>
          <w:rFonts w:hint="eastAsia" w:ascii="黑体" w:eastAsia="黑体"/>
          <w:bCs/>
          <w:color w:val="000000" w:themeColor="text1"/>
          <w14:textFill>
            <w14:solidFill>
              <w14:schemeClr w14:val="tx1"/>
            </w14:solidFill>
          </w14:textFill>
        </w:rPr>
        <w:t>详见第三部分《磋商须知〈供应商须知前附表〉》</w:t>
      </w:r>
      <w:r>
        <w:rPr>
          <w:rFonts w:hint="eastAsia" w:ascii="宋体" w:hAnsi="宋体"/>
          <w:color w:val="000000" w:themeColor="text1"/>
          <w:szCs w:val="21"/>
          <w14:textFill>
            <w14:solidFill>
              <w14:schemeClr w14:val="tx1"/>
            </w14:solidFill>
          </w14:textFill>
        </w:rPr>
        <w:t>。发布成交结果公告的同时，代理采购机构向成交</w:t>
      </w:r>
      <w:r>
        <w:rPr>
          <w:rFonts w:hint="eastAsia" w:ascii="宋体" w:hAnsi="宋体"/>
          <w:color w:val="000000" w:themeColor="text1"/>
          <w:kern w:val="0"/>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发出成交通知书。</w:t>
      </w:r>
    </w:p>
    <w:p w14:paraId="2A77C2B0">
      <w:pPr>
        <w:pStyle w:val="25"/>
        <w:adjustRightInd w:val="0"/>
        <w:snapToGrid w:val="0"/>
        <w:spacing w:line="300" w:lineRule="auto"/>
        <w:ind w:left="420" w:hanging="420" w:hanging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21. 替补候选人的设定与使用。</w:t>
      </w:r>
      <w:r>
        <w:rPr>
          <w:rFonts w:hint="eastAsia" w:hAnsi="宋体"/>
          <w:color w:val="000000" w:themeColor="text1"/>
          <w:kern w:val="0"/>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14:textFill>
            <w14:solidFill>
              <w14:schemeClr w14:val="tx1"/>
            </w14:solidFill>
          </w14:textFill>
        </w:rPr>
        <w:t>监管部门批准后，</w:t>
      </w:r>
      <w:r>
        <w:rPr>
          <w:rFonts w:hint="eastAsia" w:hAnsi="宋体"/>
          <w:color w:val="000000" w:themeColor="text1"/>
          <w:kern w:val="0"/>
          <w14:textFill>
            <w14:solidFill>
              <w14:schemeClr w14:val="tx1"/>
            </w14:solidFill>
          </w14:textFill>
        </w:rPr>
        <w:t>采购人可以与排位在成交供应商之后第一位的成交候选人签订政府采购合同，以此类推，或者重新进行组织采购。</w:t>
      </w:r>
    </w:p>
    <w:p w14:paraId="64DC18CA">
      <w:pPr>
        <w:tabs>
          <w:tab w:val="left" w:pos="0"/>
        </w:tabs>
        <w:adjustRightInd w:val="0"/>
        <w:snapToGrid w:val="0"/>
        <w:spacing w:line="300" w:lineRule="auto"/>
        <w:ind w:left="540" w:hanging="539" w:hangingChars="25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 项目响应无效处理</w:t>
      </w:r>
    </w:p>
    <w:p w14:paraId="0097A386">
      <w:pPr>
        <w:spacing w:line="300" w:lineRule="auto"/>
        <w:ind w:left="420"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22.1 根据《政府采购法》、《政府采购竞争性磋商采购方式管理暂行办法》相关规定，下列情况出现将被确定为响应无效：</w:t>
      </w:r>
    </w:p>
    <w:p w14:paraId="6EBEDCF6">
      <w:pPr>
        <w:tabs>
          <w:tab w:val="left" w:pos="540"/>
        </w:tabs>
        <w:spacing w:line="30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 符合专业资格条件的供应商或者对磋商文件作实质响应的有效供应商不足三家的，且未能获得采购人、监管部门批准继续评审的；</w:t>
      </w:r>
    </w:p>
    <w:p w14:paraId="3C21CEBE">
      <w:pPr>
        <w:tabs>
          <w:tab w:val="left" w:pos="540"/>
        </w:tabs>
        <w:spacing w:line="30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2) 出现影响采购公正的违法、违规行为的； </w:t>
      </w:r>
    </w:p>
    <w:p w14:paraId="0E1FCB39">
      <w:pPr>
        <w:tabs>
          <w:tab w:val="left" w:pos="540"/>
        </w:tabs>
        <w:spacing w:line="30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供应商的报价均超过了采购预算，采购人不能支付的；</w:t>
      </w:r>
    </w:p>
    <w:p w14:paraId="122C0899">
      <w:pPr>
        <w:tabs>
          <w:tab w:val="left" w:pos="540"/>
        </w:tabs>
        <w:spacing w:line="30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 因重大变故，采购任务取消的。</w:t>
      </w:r>
    </w:p>
    <w:p w14:paraId="093C466B">
      <w:pPr>
        <w:tabs>
          <w:tab w:val="left" w:pos="540"/>
        </w:tabs>
        <w:spacing w:line="30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kern w:val="0"/>
          <w:szCs w:val="21"/>
          <w14:textFill>
            <w14:solidFill>
              <w14:schemeClr w14:val="tx1"/>
            </w14:solidFill>
          </w14:textFill>
        </w:rPr>
        <w:t>因情况变化，不再符合规定的竞争性磋商采购方式适用情形的；</w:t>
      </w:r>
    </w:p>
    <w:p w14:paraId="5F8A309F">
      <w:pPr>
        <w:autoSpaceDE w:val="0"/>
        <w:autoSpaceDN w:val="0"/>
        <w:adjustRightInd w:val="0"/>
        <w:snapToGrid w:val="0"/>
        <w:spacing w:line="300" w:lineRule="auto"/>
        <w:ind w:left="473" w:right="32" w:hanging="472" w:hangingChars="225"/>
        <w:outlineLvl w:val="1"/>
        <w:rPr>
          <w:rFonts w:ascii="宋体" w:hAnsi="宋体"/>
          <w:color w:val="000000" w:themeColor="text1"/>
          <w:szCs w:val="21"/>
          <w14:textFill>
            <w14:solidFill>
              <w14:schemeClr w14:val="tx1"/>
            </w14:solidFill>
          </w14:textFill>
        </w:rPr>
      </w:pPr>
      <w:bookmarkStart w:id="137" w:name="_Toc464632128"/>
      <w:bookmarkStart w:id="138" w:name="_Toc21403"/>
      <w:r>
        <w:rPr>
          <w:rFonts w:hint="eastAsia" w:ascii="宋体" w:hAnsi="宋体"/>
          <w:color w:val="000000" w:themeColor="text1"/>
          <w:szCs w:val="21"/>
          <w14:textFill>
            <w14:solidFill>
              <w14:schemeClr w14:val="tx1"/>
            </w14:solidFill>
          </w14:textFill>
        </w:rPr>
        <w:t>九、质疑</w:t>
      </w:r>
      <w:bookmarkEnd w:id="137"/>
      <w:bookmarkEnd w:id="138"/>
    </w:p>
    <w:p w14:paraId="60D837A1">
      <w:pPr>
        <w:autoSpaceDE w:val="0"/>
        <w:autoSpaceDN w:val="0"/>
        <w:adjustRightInd w:val="0"/>
        <w:snapToGrid w:val="0"/>
        <w:spacing w:line="30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 如果供应商对此次采购活动有疑问，可依法向采购代理机构提出质疑。采购代理机构应当依法给与答复，并将结果告知有关当事人。</w:t>
      </w:r>
    </w:p>
    <w:p w14:paraId="1F401EBB">
      <w:pPr>
        <w:spacing w:line="300" w:lineRule="auto"/>
        <w:outlineLvl w:val="1"/>
        <w:rPr>
          <w:rFonts w:ascii="宋体" w:hAnsi="宋体"/>
          <w:color w:val="000000" w:themeColor="text1"/>
          <w:szCs w:val="21"/>
          <w14:textFill>
            <w14:solidFill>
              <w14:schemeClr w14:val="tx1"/>
            </w14:solidFill>
          </w14:textFill>
        </w:rPr>
      </w:pPr>
      <w:bookmarkStart w:id="139" w:name="_Toc16828"/>
      <w:bookmarkStart w:id="140" w:name="_Toc322033397"/>
      <w:bookmarkStart w:id="141" w:name="_Toc345675374"/>
      <w:bookmarkStart w:id="142" w:name="_Toc464632129"/>
      <w:r>
        <w:rPr>
          <w:rFonts w:hint="eastAsia" w:ascii="宋体" w:hAnsi="宋体"/>
          <w:color w:val="000000" w:themeColor="text1"/>
          <w:szCs w:val="21"/>
          <w14:textFill>
            <w14:solidFill>
              <w14:schemeClr w14:val="tx1"/>
            </w14:solidFill>
          </w14:textFill>
        </w:rPr>
        <w:t>十、成交服务费</w:t>
      </w:r>
      <w:bookmarkEnd w:id="139"/>
      <w:bookmarkEnd w:id="140"/>
      <w:bookmarkEnd w:id="141"/>
      <w:bookmarkEnd w:id="142"/>
    </w:p>
    <w:p w14:paraId="398A8A03">
      <w:pPr>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成交服务费:</w:t>
      </w:r>
      <w:r>
        <w:rPr>
          <w:rFonts w:hint="eastAsia" w:ascii="黑体" w:eastAsia="黑体"/>
          <w:bCs/>
          <w:color w:val="000000" w:themeColor="text1"/>
          <w14:textFill>
            <w14:solidFill>
              <w14:schemeClr w14:val="tx1"/>
            </w14:solidFill>
          </w14:textFill>
        </w:rPr>
        <w:t xml:space="preserve"> 详见第二部分《采购项目内容〈A 商务要求〉》</w:t>
      </w:r>
      <w:r>
        <w:rPr>
          <w:rFonts w:hint="eastAsia" w:ascii="宋体" w:hAnsi="宋体"/>
          <w:color w:val="000000" w:themeColor="text1"/>
          <w:szCs w:val="21"/>
          <w14:textFill>
            <w14:solidFill>
              <w14:schemeClr w14:val="tx1"/>
            </w14:solidFill>
          </w14:textFill>
        </w:rPr>
        <w:t>。</w:t>
      </w:r>
    </w:p>
    <w:p w14:paraId="14BC5E62">
      <w:pPr>
        <w:spacing w:line="300" w:lineRule="auto"/>
        <w:outlineLvl w:val="1"/>
        <w:rPr>
          <w:rFonts w:ascii="宋体" w:hAnsi="宋体"/>
          <w:color w:val="000000" w:themeColor="text1"/>
          <w:szCs w:val="21"/>
          <w14:textFill>
            <w14:solidFill>
              <w14:schemeClr w14:val="tx1"/>
            </w14:solidFill>
          </w14:textFill>
        </w:rPr>
      </w:pPr>
      <w:bookmarkStart w:id="143" w:name="_Toc464632131"/>
      <w:bookmarkStart w:id="144" w:name="_Toc4090"/>
      <w:bookmarkStart w:id="145" w:name="_Toc536594109"/>
      <w:r>
        <w:rPr>
          <w:rFonts w:hint="eastAsia" w:ascii="宋体" w:hAnsi="宋体"/>
          <w:color w:val="000000" w:themeColor="text1"/>
          <w:szCs w:val="21"/>
          <w14:textFill>
            <w14:solidFill>
              <w14:schemeClr w14:val="tx1"/>
            </w14:solidFill>
          </w14:textFill>
        </w:rPr>
        <w:t>十一、合同的订立和履行</w:t>
      </w:r>
      <w:bookmarkEnd w:id="143"/>
      <w:bookmarkEnd w:id="144"/>
    </w:p>
    <w:bookmarkEnd w:id="145"/>
    <w:p w14:paraId="5E6EBF7B">
      <w:pPr>
        <w:spacing w:line="30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25.合同的订立</w:t>
      </w:r>
    </w:p>
    <w:p w14:paraId="58A58F07">
      <w:pPr>
        <w:spacing w:line="30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40A2D438">
      <w:pPr>
        <w:spacing w:line="300" w:lineRule="auto"/>
        <w:ind w:left="567" w:leftChars="-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25.2 签订政府采购合同后7个工作日内，采购人应将政府采购合同副本报同级政府采购监督管理部门备案。</w:t>
      </w:r>
    </w:p>
    <w:p w14:paraId="7E80233F">
      <w:pPr>
        <w:spacing w:line="30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 合同的履行</w:t>
      </w:r>
    </w:p>
    <w:p w14:paraId="41A0A2FB">
      <w:pPr>
        <w:spacing w:line="300" w:lineRule="auto"/>
        <w:ind w:left="567" w:hanging="567" w:hangingChars="270"/>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1E94CC6F">
      <w:pPr>
        <w:spacing w:line="300" w:lineRule="auto"/>
        <w:ind w:left="567" w:hanging="567" w:hangingChars="27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47ADC5BA">
      <w:pPr>
        <w:spacing w:line="30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  发票</w:t>
      </w:r>
    </w:p>
    <w:p w14:paraId="0FF08280">
      <w:pPr>
        <w:spacing w:line="300" w:lineRule="auto"/>
        <w:ind w:left="567" w:hanging="567" w:hangingChars="27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27.1 该项目获得成交的成交供应商在执行合同过程中，向采购人出具的发票必须是由成交供应商开具，不得以其他单位或个人名义出具。</w:t>
      </w:r>
    </w:p>
    <w:p w14:paraId="74CA5F6E">
      <w:pPr>
        <w:spacing w:line="300" w:lineRule="auto"/>
        <w:outlineLvl w:val="1"/>
        <w:rPr>
          <w:rFonts w:ascii="宋体" w:hAnsi="宋体"/>
          <w:color w:val="000000" w:themeColor="text1"/>
          <w:szCs w:val="21"/>
          <w14:textFill>
            <w14:solidFill>
              <w14:schemeClr w14:val="tx1"/>
            </w14:solidFill>
          </w14:textFill>
        </w:rPr>
      </w:pPr>
      <w:bookmarkStart w:id="146" w:name="_Toc345675376"/>
      <w:bookmarkStart w:id="147" w:name="_Toc322033399"/>
      <w:bookmarkStart w:id="148" w:name="_Toc22091"/>
      <w:bookmarkStart w:id="149" w:name="_Toc464632132"/>
      <w:r>
        <w:rPr>
          <w:rFonts w:hint="eastAsia" w:ascii="宋体" w:hAnsi="宋体"/>
          <w:color w:val="000000" w:themeColor="text1"/>
          <w:szCs w:val="21"/>
          <w14:textFill>
            <w14:solidFill>
              <w14:schemeClr w14:val="tx1"/>
            </w14:solidFill>
          </w14:textFill>
        </w:rPr>
        <w:t>十二、适用法律</w:t>
      </w:r>
      <w:bookmarkEnd w:id="146"/>
      <w:bookmarkEnd w:id="147"/>
      <w:bookmarkEnd w:id="148"/>
      <w:bookmarkEnd w:id="149"/>
    </w:p>
    <w:p w14:paraId="42DAC2B4">
      <w:pPr>
        <w:spacing w:line="300" w:lineRule="auto"/>
        <w:ind w:left="424" w:hanging="424" w:hangingChars="202"/>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14:paraId="7128F0C4">
      <w:pPr>
        <w:spacing w:line="300" w:lineRule="auto"/>
        <w:ind w:left="424" w:hanging="424" w:hangingChars="202"/>
        <w:outlineLvl w:val="1"/>
        <w:rPr>
          <w:rFonts w:ascii="宋体" w:hAnsi="宋体"/>
          <w:color w:val="000000" w:themeColor="text1"/>
          <w:szCs w:val="21"/>
          <w14:textFill>
            <w14:solidFill>
              <w14:schemeClr w14:val="tx1"/>
            </w14:solidFill>
          </w14:textFill>
        </w:rPr>
      </w:pPr>
      <w:bookmarkStart w:id="150" w:name="_Toc16234"/>
      <w:r>
        <w:rPr>
          <w:rFonts w:hint="eastAsia" w:ascii="宋体" w:hAnsi="宋体"/>
          <w:color w:val="000000" w:themeColor="text1"/>
          <w:szCs w:val="21"/>
          <w14:textFill>
            <w14:solidFill>
              <w14:schemeClr w14:val="tx1"/>
            </w14:solidFill>
          </w14:textFill>
        </w:rPr>
        <w:t>十三、供应商应遵守的其他规定</w:t>
      </w:r>
      <w:bookmarkEnd w:id="150"/>
    </w:p>
    <w:p w14:paraId="2BB232BC">
      <w:pPr>
        <w:spacing w:line="300" w:lineRule="auto"/>
        <w:ind w:left="42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29. 本项目严禁中标供应商将合同全部或部分权利义务转包给第三方主体（包括但不限于关联公司、子公司等），不得将项目肢解后以分包名义变相转包。违反本规定的，视为严重违约，采购人有权解除合同、没收履约保证金，并将供应商列入不良行为记录名单，上报财政部门按规定处理，同时供应商应承担由此给采购人造成的全部损失。</w:t>
      </w:r>
    </w:p>
    <w:p w14:paraId="19F22664">
      <w:pPr>
        <w:pStyle w:val="2"/>
        <w:numPr>
          <w:ilvl w:val="0"/>
          <w:numId w:val="0"/>
        </w:numPr>
        <w:spacing w:before="240"/>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151" w:name="_Toc8774"/>
      <w:r>
        <w:rPr>
          <w:color w:val="000000" w:themeColor="text1"/>
          <w14:textFill>
            <w14:solidFill>
              <w14:schemeClr w14:val="tx1"/>
            </w14:solidFill>
          </w14:textFill>
        </w:rPr>
        <w:t>第四部分</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磋商、评审、成交</w:t>
      </w:r>
      <w:bookmarkEnd w:id="151"/>
    </w:p>
    <w:p w14:paraId="25B49657">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14:paraId="56086302">
      <w:pPr>
        <w:rPr>
          <w:color w:val="000000" w:themeColor="text1"/>
          <w14:textFill>
            <w14:solidFill>
              <w14:schemeClr w14:val="tx1"/>
            </w14:solidFill>
          </w14:textFill>
        </w:rPr>
      </w:pPr>
    </w:p>
    <w:tbl>
      <w:tblPr>
        <w:tblStyle w:val="51"/>
        <w:tblW w:w="9499" w:type="dxa"/>
        <w:jc w:val="center"/>
        <w:tblLayout w:type="fixed"/>
        <w:tblCellMar>
          <w:top w:w="0" w:type="dxa"/>
          <w:left w:w="0" w:type="dxa"/>
          <w:bottom w:w="0" w:type="dxa"/>
          <w:right w:w="0" w:type="dxa"/>
        </w:tblCellMar>
      </w:tblPr>
      <w:tblGrid>
        <w:gridCol w:w="2387"/>
        <w:gridCol w:w="2374"/>
        <w:gridCol w:w="2357"/>
        <w:gridCol w:w="2381"/>
      </w:tblGrid>
      <w:tr w14:paraId="43C12036">
        <w:tblPrEx>
          <w:tblCellMar>
            <w:top w:w="0" w:type="dxa"/>
            <w:left w:w="0" w:type="dxa"/>
            <w:bottom w:w="0" w:type="dxa"/>
            <w:right w:w="0" w:type="dxa"/>
          </w:tblCellMar>
        </w:tblPrEx>
        <w:trPr>
          <w:trHeight w:val="400" w:hRule="atLeast"/>
          <w:jc w:val="center"/>
        </w:trPr>
        <w:tc>
          <w:tcPr>
            <w:tcW w:w="23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57DBC9">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评分项目</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09BC03">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技术评分</w:t>
            </w:r>
          </w:p>
        </w:tc>
        <w:tc>
          <w:tcPr>
            <w:tcW w:w="2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DEB0">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商务评分</w:t>
            </w:r>
          </w:p>
        </w:tc>
        <w:tc>
          <w:tcPr>
            <w:tcW w:w="23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79EAE4">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价格评分</w:t>
            </w:r>
          </w:p>
        </w:tc>
      </w:tr>
      <w:tr w14:paraId="5A26926C">
        <w:tblPrEx>
          <w:tblCellMar>
            <w:top w:w="0" w:type="dxa"/>
            <w:left w:w="0" w:type="dxa"/>
            <w:bottom w:w="0" w:type="dxa"/>
            <w:right w:w="0" w:type="dxa"/>
          </w:tblCellMar>
        </w:tblPrEx>
        <w:trPr>
          <w:trHeight w:val="400" w:hRule="atLeast"/>
          <w:jc w:val="center"/>
        </w:trPr>
        <w:tc>
          <w:tcPr>
            <w:tcW w:w="23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AB5C07">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分值</w:t>
            </w:r>
          </w:p>
        </w:tc>
        <w:tc>
          <w:tcPr>
            <w:tcW w:w="23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FA3EAB">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30分</w:t>
            </w:r>
          </w:p>
        </w:tc>
        <w:tc>
          <w:tcPr>
            <w:tcW w:w="2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61A6AA">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60分</w:t>
            </w:r>
          </w:p>
        </w:tc>
        <w:tc>
          <w:tcPr>
            <w:tcW w:w="23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5C7386">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10分</w:t>
            </w:r>
          </w:p>
        </w:tc>
      </w:tr>
    </w:tbl>
    <w:p w14:paraId="7158DAF8">
      <w:pPr>
        <w:rPr>
          <w:color w:val="000000" w:themeColor="text1"/>
          <w14:textFill>
            <w14:solidFill>
              <w14:schemeClr w14:val="tx1"/>
            </w14:solidFill>
          </w14:textFill>
        </w:rPr>
      </w:pPr>
    </w:p>
    <w:p w14:paraId="68177993">
      <w:pPr>
        <w:rPr>
          <w:color w:val="000000" w:themeColor="text1"/>
          <w14:textFill>
            <w14:solidFill>
              <w14:schemeClr w14:val="tx1"/>
            </w14:solidFill>
          </w14:textFill>
        </w:rPr>
      </w:pPr>
    </w:p>
    <w:p w14:paraId="03DAFC34">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技术评分细则：</w:t>
      </w:r>
    </w:p>
    <w:tbl>
      <w:tblPr>
        <w:tblStyle w:val="51"/>
        <w:tblW w:w="9671" w:type="dxa"/>
        <w:jc w:val="center"/>
        <w:shd w:val="clear" w:color="auto" w:fill="FFFFFF"/>
        <w:tblLayout w:type="fixed"/>
        <w:tblCellMar>
          <w:top w:w="0" w:type="dxa"/>
          <w:left w:w="0" w:type="dxa"/>
          <w:bottom w:w="0" w:type="dxa"/>
          <w:right w:w="0" w:type="dxa"/>
        </w:tblCellMar>
      </w:tblPr>
      <w:tblGrid>
        <w:gridCol w:w="913"/>
        <w:gridCol w:w="1563"/>
        <w:gridCol w:w="1036"/>
        <w:gridCol w:w="6159"/>
      </w:tblGrid>
      <w:tr w14:paraId="58DCF0EF">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18B7A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B04D63">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15553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AC848B">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14:paraId="54D0F420">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07FFDA">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809727">
            <w:pPr>
              <w:autoSpaceDE w:val="0"/>
              <w:autoSpaceDN w:val="0"/>
              <w:adjustRightInd w:val="0"/>
              <w:spacing w:before="100" w:beforeAutospacing="1"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服务方案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287DAC">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89664E">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根据供应商提供的项目服务方案是否适合本项目以及其全面性、针对性、合理性、可操作性等，按以下档次进行评分：</w:t>
            </w:r>
          </w:p>
          <w:p w14:paraId="3E1E288B">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1.项目服务方案科学合理、完整详细、可行性强，优于或完全满足采购需求的，得 15分；</w:t>
            </w:r>
          </w:p>
          <w:p w14:paraId="411CB45E">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2.项目服务方案基本合理，具有一定的可行性，基本满足采购需求的，得11分；</w:t>
            </w:r>
          </w:p>
          <w:p w14:paraId="48E7C722">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3.项目服务方案不够合理，具有一定的可行性但不足，部分满足采购需求的，得7分；</w:t>
            </w:r>
          </w:p>
          <w:p w14:paraId="2F0D99CC">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4.项目服务方案不合理、简单，不具有可行性，未能满足采购需求的，得3分；</w:t>
            </w:r>
          </w:p>
          <w:p w14:paraId="3DBF1300">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不提供不得分。</w:t>
            </w:r>
          </w:p>
        </w:tc>
      </w:tr>
      <w:tr w14:paraId="4C43AB83">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B45D0C">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F25E565">
            <w:pPr>
              <w:autoSpaceDE w:val="0"/>
              <w:autoSpaceDN w:val="0"/>
              <w:adjustRightInd w:val="0"/>
              <w:spacing w:before="100" w:beforeAutospacing="1"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工作调度安排实施方案</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BA5990">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624D68">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根据供应商提供的工作调度安排实施方案进行评分：</w:t>
            </w:r>
          </w:p>
          <w:p w14:paraId="56749B26">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1.工作调度安排实施方案科学合理、完整详细、可行性强，优于或完全满足采购需求的，得 15分；</w:t>
            </w:r>
          </w:p>
          <w:p w14:paraId="56B54FD9">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2.工作调度安排实施方案基本合理，具有一定的可行性，基本满足采购需求的，得11分；</w:t>
            </w:r>
          </w:p>
          <w:p w14:paraId="334FFAC7">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3.工作调度安排实施方案不够合理，具有一定的可行性但不足，部分满足采购需求的，得7分；</w:t>
            </w:r>
          </w:p>
          <w:p w14:paraId="73D5A538">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4.工作调度安排实施方案不合理、简单，不具有可行性，未能满足采购需求的，得3分；</w:t>
            </w:r>
          </w:p>
          <w:p w14:paraId="2BDA2B38">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不提供不得分。</w:t>
            </w:r>
          </w:p>
        </w:tc>
      </w:tr>
      <w:tr w14:paraId="301B9E8B">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D36C61C">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03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E1DDF4C">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615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29A457">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w:t>
            </w:r>
          </w:p>
        </w:tc>
      </w:tr>
    </w:tbl>
    <w:p w14:paraId="0DD35862">
      <w:pPr>
        <w:rPr>
          <w:rFonts w:ascii="宋体" w:hAnsi="宋体" w:cs="宋体"/>
          <w:color w:val="000000" w:themeColor="text1"/>
          <w14:textFill>
            <w14:solidFill>
              <w14:schemeClr w14:val="tx1"/>
            </w14:solidFill>
          </w14:textFill>
        </w:rPr>
      </w:pPr>
    </w:p>
    <w:p w14:paraId="38329255">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商务评分细则：</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1"/>
        <w:gridCol w:w="1625"/>
        <w:gridCol w:w="1011"/>
        <w:gridCol w:w="6135"/>
      </w:tblGrid>
      <w:tr w14:paraId="6264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1" w:type="dxa"/>
            <w:tcMar>
              <w:top w:w="0" w:type="dxa"/>
              <w:left w:w="108" w:type="dxa"/>
              <w:bottom w:w="0" w:type="dxa"/>
              <w:right w:w="108" w:type="dxa"/>
            </w:tcMar>
            <w:vAlign w:val="center"/>
          </w:tcPr>
          <w:p w14:paraId="7B91F805">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625" w:type="dxa"/>
            <w:tcMar>
              <w:top w:w="0" w:type="dxa"/>
              <w:left w:w="108" w:type="dxa"/>
              <w:bottom w:w="0" w:type="dxa"/>
              <w:right w:w="108" w:type="dxa"/>
            </w:tcMar>
            <w:vAlign w:val="center"/>
          </w:tcPr>
          <w:p w14:paraId="2E3DA72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评审内容</w:t>
            </w:r>
          </w:p>
        </w:tc>
        <w:tc>
          <w:tcPr>
            <w:tcW w:w="1011" w:type="dxa"/>
            <w:tcMar>
              <w:top w:w="0" w:type="dxa"/>
              <w:left w:w="108" w:type="dxa"/>
              <w:bottom w:w="0" w:type="dxa"/>
              <w:right w:w="108" w:type="dxa"/>
            </w:tcMar>
            <w:vAlign w:val="center"/>
          </w:tcPr>
          <w:p w14:paraId="5F34191D">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6135" w:type="dxa"/>
            <w:tcMar>
              <w:top w:w="0" w:type="dxa"/>
              <w:left w:w="108" w:type="dxa"/>
              <w:bottom w:w="0" w:type="dxa"/>
              <w:right w:w="108" w:type="dxa"/>
            </w:tcMar>
            <w:vAlign w:val="center"/>
          </w:tcPr>
          <w:p w14:paraId="27BCCD8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评审标准</w:t>
            </w:r>
          </w:p>
        </w:tc>
      </w:tr>
      <w:tr w14:paraId="0B2D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91" w:type="dxa"/>
            <w:tcMar>
              <w:top w:w="0" w:type="dxa"/>
              <w:left w:w="108" w:type="dxa"/>
              <w:bottom w:w="0" w:type="dxa"/>
              <w:right w:w="108" w:type="dxa"/>
            </w:tcMar>
            <w:vAlign w:val="center"/>
          </w:tcPr>
          <w:p w14:paraId="132FE509">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1625" w:type="dxa"/>
            <w:tcMar>
              <w:top w:w="0" w:type="dxa"/>
              <w:left w:w="108" w:type="dxa"/>
              <w:bottom w:w="0" w:type="dxa"/>
              <w:right w:w="108" w:type="dxa"/>
            </w:tcMar>
            <w:vAlign w:val="center"/>
          </w:tcPr>
          <w:p w14:paraId="5C5AD5B2">
            <w:pPr>
              <w:spacing w:line="320" w:lineRule="exact"/>
              <w:ind w:left="126" w:leftChars="60" w:right="126" w:rightChars="6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同类项目业绩情况</w:t>
            </w:r>
          </w:p>
        </w:tc>
        <w:tc>
          <w:tcPr>
            <w:tcW w:w="1011" w:type="dxa"/>
            <w:tcMar>
              <w:top w:w="0" w:type="dxa"/>
              <w:left w:w="108" w:type="dxa"/>
              <w:bottom w:w="0" w:type="dxa"/>
              <w:right w:w="108" w:type="dxa"/>
            </w:tcMar>
            <w:vAlign w:val="center"/>
          </w:tcPr>
          <w:p w14:paraId="3CFD956F">
            <w:pPr>
              <w:widowControl/>
              <w:spacing w:line="320" w:lineRule="exact"/>
              <w:ind w:left="153" w:leftChars="73" w:right="141" w:rightChars="67"/>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30分</w:t>
            </w:r>
          </w:p>
        </w:tc>
        <w:tc>
          <w:tcPr>
            <w:tcW w:w="6135" w:type="dxa"/>
            <w:tcMar>
              <w:top w:w="0" w:type="dxa"/>
              <w:left w:w="108" w:type="dxa"/>
              <w:bottom w:w="0" w:type="dxa"/>
              <w:right w:w="108" w:type="dxa"/>
            </w:tcMar>
            <w:vAlign w:val="center"/>
          </w:tcPr>
          <w:p w14:paraId="2C9D2A5E">
            <w:pPr>
              <w:widowControl/>
              <w:spacing w:line="320" w:lineRule="exact"/>
              <w:ind w:right="113" w:rightChars="54"/>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供应商2021年1月1日以来，以签合同时间为准，承接的交通船出租业务，每一项出租业务得10分，最高得分为30分。</w:t>
            </w:r>
          </w:p>
          <w:p w14:paraId="3B7D9933">
            <w:pPr>
              <w:widowControl/>
              <w:spacing w:line="320" w:lineRule="exact"/>
              <w:ind w:right="113" w:rightChars="54"/>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注：提供合同复印件</w:t>
            </w:r>
            <w:r>
              <w:rPr>
                <w:rFonts w:hint="eastAsia" w:ascii="宋体" w:hAnsi="宋体" w:cs="宋体"/>
                <w:color w:val="000000" w:themeColor="text1"/>
                <w14:textFill>
                  <w14:solidFill>
                    <w14:schemeClr w14:val="tx1"/>
                  </w14:solidFill>
                </w14:textFill>
              </w:rPr>
              <w:t>并加盖</w:t>
            </w:r>
            <w:r>
              <w:rPr>
                <w:rFonts w:hint="eastAsia" w:ascii="宋体" w:hAnsi="宋体" w:cs="宋体"/>
                <w:color w:val="000000" w:themeColor="text1"/>
                <w:szCs w:val="21"/>
                <w14:textFill>
                  <w14:solidFill>
                    <w14:schemeClr w14:val="tx1"/>
                  </w14:solidFill>
                </w14:textFill>
              </w:rPr>
              <w:t>供应商公章，不提供不得分。</w:t>
            </w:r>
          </w:p>
        </w:tc>
      </w:tr>
      <w:tr w14:paraId="1E1C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jc w:val="center"/>
        </w:trPr>
        <w:tc>
          <w:tcPr>
            <w:tcW w:w="891" w:type="dxa"/>
            <w:tcMar>
              <w:top w:w="0" w:type="dxa"/>
              <w:left w:w="108" w:type="dxa"/>
              <w:bottom w:w="0" w:type="dxa"/>
              <w:right w:w="108" w:type="dxa"/>
            </w:tcMar>
            <w:vAlign w:val="center"/>
          </w:tcPr>
          <w:p w14:paraId="6C8324B5">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1625" w:type="dxa"/>
            <w:tcMar>
              <w:top w:w="0" w:type="dxa"/>
              <w:left w:w="108" w:type="dxa"/>
              <w:bottom w:w="0" w:type="dxa"/>
              <w:right w:w="108" w:type="dxa"/>
            </w:tcMar>
            <w:vAlign w:val="center"/>
          </w:tcPr>
          <w:p w14:paraId="633F0489">
            <w:pPr>
              <w:widowControl/>
              <w:spacing w:line="320" w:lineRule="exact"/>
              <w:ind w:left="126" w:leftChars="60" w:right="126" w:rightChars="60"/>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海上交通船舶数量</w:t>
            </w:r>
          </w:p>
        </w:tc>
        <w:tc>
          <w:tcPr>
            <w:tcW w:w="1011" w:type="dxa"/>
            <w:tcMar>
              <w:top w:w="0" w:type="dxa"/>
              <w:left w:w="108" w:type="dxa"/>
              <w:bottom w:w="0" w:type="dxa"/>
              <w:right w:w="108" w:type="dxa"/>
            </w:tcMar>
            <w:vAlign w:val="center"/>
          </w:tcPr>
          <w:p w14:paraId="5B97FF89">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15分</w:t>
            </w:r>
          </w:p>
        </w:tc>
        <w:tc>
          <w:tcPr>
            <w:tcW w:w="6135" w:type="dxa"/>
            <w:tcMar>
              <w:top w:w="0" w:type="dxa"/>
              <w:left w:w="108" w:type="dxa"/>
              <w:bottom w:w="0" w:type="dxa"/>
              <w:right w:w="108" w:type="dxa"/>
            </w:tcMar>
            <w:vAlign w:val="center"/>
          </w:tcPr>
          <w:p w14:paraId="7CE6EB21">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每提供一个船舶使用权证明得5分，最高得分为15分。</w:t>
            </w:r>
          </w:p>
          <w:p w14:paraId="2C42B571">
            <w:pPr>
              <w:spacing w:line="32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注：提供船舶所有权属于供应商的船舶产权登记证复印件；供应商租赁的交通船，需提供租赁合同复印件。复印件需盖供应商公章，未提供相关复印件或提供不全的不得分。</w:t>
            </w:r>
          </w:p>
        </w:tc>
      </w:tr>
      <w:tr w14:paraId="2F0C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8" w:hRule="atLeast"/>
          <w:jc w:val="center"/>
        </w:trPr>
        <w:tc>
          <w:tcPr>
            <w:tcW w:w="891" w:type="dxa"/>
            <w:shd w:val="clear" w:color="auto" w:fill="FFFFFF"/>
            <w:tcMar>
              <w:top w:w="0" w:type="dxa"/>
              <w:left w:w="108" w:type="dxa"/>
              <w:bottom w:w="0" w:type="dxa"/>
              <w:right w:w="108" w:type="dxa"/>
            </w:tcMar>
            <w:vAlign w:val="center"/>
          </w:tcPr>
          <w:p w14:paraId="7D8CDAC4">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1625" w:type="dxa"/>
            <w:shd w:val="clear" w:color="auto" w:fill="FFFFFF"/>
            <w:tcMar>
              <w:top w:w="0" w:type="dxa"/>
              <w:left w:w="108" w:type="dxa"/>
              <w:bottom w:w="0" w:type="dxa"/>
              <w:right w:w="108" w:type="dxa"/>
            </w:tcMar>
            <w:vAlign w:val="center"/>
          </w:tcPr>
          <w:p w14:paraId="1AF0D5AF">
            <w:pPr>
              <w:spacing w:line="320" w:lineRule="exact"/>
              <w:ind w:left="126" w:leftChars="60" w:right="126" w:rightChars="60"/>
              <w:jc w:val="center"/>
              <w:textAlignment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投入管理人员</w:t>
            </w:r>
          </w:p>
        </w:tc>
        <w:tc>
          <w:tcPr>
            <w:tcW w:w="1011" w:type="dxa"/>
            <w:shd w:val="clear" w:color="auto" w:fill="FFFFFF"/>
            <w:tcMar>
              <w:top w:w="0" w:type="dxa"/>
              <w:left w:w="108" w:type="dxa"/>
              <w:bottom w:w="0" w:type="dxa"/>
              <w:right w:w="108" w:type="dxa"/>
            </w:tcMar>
            <w:vAlign w:val="center"/>
          </w:tcPr>
          <w:p w14:paraId="04738D67">
            <w:pPr>
              <w:widowControl/>
              <w:spacing w:line="320" w:lineRule="exact"/>
              <w:ind w:left="153" w:leftChars="73" w:right="141" w:rightChars="67"/>
              <w:jc w:val="center"/>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15分</w:t>
            </w:r>
          </w:p>
        </w:tc>
        <w:tc>
          <w:tcPr>
            <w:tcW w:w="6135" w:type="dxa"/>
            <w:shd w:val="clear" w:color="auto" w:fill="FFFFFF"/>
            <w:tcMar>
              <w:top w:w="0" w:type="dxa"/>
              <w:left w:w="108" w:type="dxa"/>
              <w:bottom w:w="0" w:type="dxa"/>
              <w:right w:w="108" w:type="dxa"/>
            </w:tcMar>
            <w:vAlign w:val="center"/>
          </w:tcPr>
          <w:p w14:paraId="5E7945F8">
            <w:pPr>
              <w:widowControl/>
              <w:spacing w:line="320" w:lineRule="exact"/>
              <w:ind w:right="113" w:rightChars="54"/>
              <w:jc w:val="left"/>
              <w:textAlignment w:val="center"/>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投入本项目管理人员一人得5分，最高得分为15分。</w:t>
            </w:r>
          </w:p>
          <w:p w14:paraId="0C646EFF">
            <w:pPr>
              <w:widowControl/>
              <w:spacing w:line="320" w:lineRule="exact"/>
              <w:ind w:right="113" w:rightChars="54"/>
              <w:jc w:val="left"/>
              <w:textAlignment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注：提供人员身份证复印件和劳动合同复印件并加盖</w:t>
            </w:r>
            <w:r>
              <w:rPr>
                <w:rFonts w:hint="eastAsia" w:ascii="宋体" w:hAnsi="宋体" w:cs="宋体"/>
                <w:color w:val="000000" w:themeColor="text1"/>
                <w:szCs w:val="21"/>
                <w14:textFill>
                  <w14:solidFill>
                    <w14:schemeClr w14:val="tx1"/>
                  </w14:solidFill>
                </w14:textFill>
              </w:rPr>
              <w:t>供应商公章，不提供不得分。</w:t>
            </w:r>
          </w:p>
        </w:tc>
      </w:tr>
      <w:tr w14:paraId="09CB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2516" w:type="dxa"/>
            <w:gridSpan w:val="2"/>
            <w:vAlign w:val="center"/>
          </w:tcPr>
          <w:p w14:paraId="5A66A88E">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合计</w:t>
            </w:r>
          </w:p>
        </w:tc>
        <w:tc>
          <w:tcPr>
            <w:tcW w:w="1011" w:type="dxa"/>
            <w:tcMar>
              <w:top w:w="0" w:type="dxa"/>
              <w:left w:w="108" w:type="dxa"/>
              <w:bottom w:w="0" w:type="dxa"/>
              <w:right w:w="108" w:type="dxa"/>
            </w:tcMar>
            <w:vAlign w:val="center"/>
          </w:tcPr>
          <w:p w14:paraId="2CF3C9B8">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60分</w:t>
            </w:r>
          </w:p>
        </w:tc>
        <w:tc>
          <w:tcPr>
            <w:tcW w:w="6135" w:type="dxa"/>
            <w:tcMar>
              <w:top w:w="0" w:type="dxa"/>
              <w:left w:w="108" w:type="dxa"/>
              <w:bottom w:w="0" w:type="dxa"/>
              <w:right w:w="108" w:type="dxa"/>
            </w:tcMar>
            <w:vAlign w:val="center"/>
          </w:tcPr>
          <w:p w14:paraId="2AF73509">
            <w:pPr>
              <w:spacing w:line="320" w:lineRule="exact"/>
              <w:jc w:val="center"/>
              <w:rPr>
                <w:rFonts w:ascii="宋体" w:hAnsi="宋体" w:cs="宋体"/>
                <w:color w:val="000000" w:themeColor="text1"/>
                <w:szCs w:val="21"/>
                <w14:textFill>
                  <w14:solidFill>
                    <w14:schemeClr w14:val="tx1"/>
                  </w14:solidFill>
                </w14:textFill>
              </w:rPr>
            </w:pPr>
          </w:p>
        </w:tc>
      </w:tr>
    </w:tbl>
    <w:p w14:paraId="6CE2AB1F">
      <w:pPr>
        <w:spacing w:line="360" w:lineRule="auto"/>
        <w:rPr>
          <w:rFonts w:ascii="宋体" w:hAnsi="宋体"/>
          <w:b/>
          <w:color w:val="000000" w:themeColor="text1"/>
          <w14:textFill>
            <w14:solidFill>
              <w14:schemeClr w14:val="tx1"/>
            </w14:solidFill>
          </w14:textFill>
        </w:rPr>
      </w:pPr>
    </w:p>
    <w:p w14:paraId="5E2B2D99">
      <w:pPr>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价 格 评 分 表</w:t>
      </w:r>
    </w:p>
    <w:p w14:paraId="68FCDDD5">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价格核准：磋商小组详细分析、核准价格表，检查其是否存在计算上或累加上的算术错误，修正错误的原则。</w:t>
      </w:r>
    </w:p>
    <w:p w14:paraId="2B618BAF">
      <w:pPr>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综合评分法中的价格分统一采用低价优先法计算，即满足</w:t>
      </w:r>
      <w:r>
        <w:rPr>
          <w:rFonts w:hint="eastAsia" w:ascii="宋体" w:hAnsi="宋体"/>
          <w:color w:val="000000" w:themeColor="text1"/>
          <w14:textFill>
            <w14:solidFill>
              <w14:schemeClr w14:val="tx1"/>
            </w14:solidFill>
          </w14:textFill>
        </w:rPr>
        <w:t>磋商</w:t>
      </w:r>
      <w:r>
        <w:rPr>
          <w:rFonts w:ascii="宋体" w:hAnsi="宋体"/>
          <w:color w:val="000000" w:themeColor="text1"/>
          <w14:textFill>
            <w14:solidFill>
              <w14:schemeClr w14:val="tx1"/>
            </w14:solidFill>
          </w14:textFill>
        </w:rPr>
        <w:t>文件要求且</w:t>
      </w:r>
      <w:r>
        <w:rPr>
          <w:rFonts w:hint="eastAsia" w:ascii="宋体" w:hAnsi="宋体"/>
          <w:color w:val="000000" w:themeColor="text1"/>
          <w14:textFill>
            <w14:solidFill>
              <w14:schemeClr w14:val="tx1"/>
            </w14:solidFill>
          </w14:textFill>
        </w:rPr>
        <w:t>最后报价最</w:t>
      </w:r>
      <w:r>
        <w:rPr>
          <w:rFonts w:ascii="宋体" w:hAnsi="宋体"/>
          <w:color w:val="000000" w:themeColor="text1"/>
          <w14:textFill>
            <w14:solidFill>
              <w14:schemeClr w14:val="tx1"/>
            </w14:solidFill>
          </w14:textFill>
        </w:rPr>
        <w:t>低的</w:t>
      </w:r>
      <w:r>
        <w:rPr>
          <w:rFonts w:hint="eastAsia" w:ascii="宋体" w:hAnsi="宋体"/>
          <w:color w:val="000000" w:themeColor="text1"/>
          <w14:textFill>
            <w14:solidFill>
              <w14:schemeClr w14:val="tx1"/>
            </w14:solidFill>
          </w14:textFill>
        </w:rPr>
        <w:t>供应商的价格</w:t>
      </w:r>
      <w:r>
        <w:rPr>
          <w:rFonts w:ascii="宋体" w:hAnsi="宋体"/>
          <w:color w:val="000000" w:themeColor="text1"/>
          <w14:textFill>
            <w14:solidFill>
              <w14:schemeClr w14:val="tx1"/>
            </w14:solidFill>
          </w14:textFill>
        </w:rPr>
        <w:t>为</w:t>
      </w:r>
      <w:r>
        <w:rPr>
          <w:rFonts w:hint="eastAsia" w:ascii="宋体" w:hAnsi="宋体"/>
          <w:color w:val="000000" w:themeColor="text1"/>
          <w14:textFill>
            <w14:solidFill>
              <w14:schemeClr w14:val="tx1"/>
            </w14:solidFill>
          </w14:textFill>
        </w:rPr>
        <w:t>磋商</w:t>
      </w:r>
      <w:r>
        <w:rPr>
          <w:rFonts w:ascii="宋体" w:hAnsi="宋体"/>
          <w:color w:val="000000" w:themeColor="text1"/>
          <w14:textFill>
            <w14:solidFill>
              <w14:schemeClr w14:val="tx1"/>
            </w14:solidFill>
          </w14:textFill>
        </w:rPr>
        <w:t>基准价，其价格分为满分。其他</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的价格分统一按照下列公式计算：</w:t>
      </w:r>
    </w:p>
    <w:p w14:paraId="48AEB4DD">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磋商报价得分=(磋商基准价/最后磋商报价)×价格权值×100</w:t>
      </w:r>
    </w:p>
    <w:p w14:paraId="0CDBC861">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备注：磋商报价得分四舍五入后，小数点后保留两位有效数；</w:t>
      </w:r>
    </w:p>
    <w:p w14:paraId="292E3477">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小型和微型企业产品价格扣除（所投产品全部生产厂家为小微型企业才享受价格扣除）</w:t>
      </w:r>
    </w:p>
    <w:p w14:paraId="67408FC2">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3.1根据《关于印发《政府采购促进中小企业发展管理方法》的通知》（财库[2020]46号）的规定，对小型和微型企业产品的价格给予10%的扣除，用扣除后的价格参与评审。</w:t>
      </w:r>
    </w:p>
    <w:p w14:paraId="60750585">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 《政府采购促进中小企业发展管理方法》所称中小企业（含中型、小型、微型企业，下同）应当同时符合以下条件：</w:t>
      </w:r>
    </w:p>
    <w:p w14:paraId="0409BA53">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3.2.1符合中小企业划分标准； </w:t>
      </w:r>
    </w:p>
    <w:p w14:paraId="79691A5A">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3.2.2提供本企业制造的货物、承担的工程或者服务，或者提供其他中小企业制造的货物。本项所称货物不包括使用大型企业注册商标的货物。</w:t>
      </w:r>
    </w:p>
    <w:p w14:paraId="09AD86CA">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14:paraId="31AC863E">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小型、微型企业提供中型企业制造的货物的，视同为中型企业。</w:t>
      </w:r>
    </w:p>
    <w:p w14:paraId="3DFDBCFE">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002C2F40">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 监狱企业视同小型、微型企业，享受评审中价格扣除。</w:t>
      </w:r>
    </w:p>
    <w:p w14:paraId="3231604F">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825DD9">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14:paraId="1CCABE85">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3.5 供应商同时为小型、微型企业和监狱企业的，评审中只享受一次价格扣除。不重复进行价格扣除。</w:t>
      </w:r>
    </w:p>
    <w:bookmarkEnd w:id="35"/>
    <w:p w14:paraId="7DE8EB5B">
      <w:pPr>
        <w:pStyle w:val="3"/>
        <w:numPr>
          <w:ilvl w:val="0"/>
          <w:numId w:val="0"/>
        </w:numPr>
        <w:rPr>
          <w:color w:val="000000" w:themeColor="text1"/>
          <w:sz w:val="24"/>
          <w14:textFill>
            <w14:solidFill>
              <w14:schemeClr w14:val="tx1"/>
            </w14:solidFill>
          </w14:textFill>
        </w:rPr>
      </w:pPr>
      <w:bookmarkStart w:id="152" w:name="_Toc500843104"/>
      <w:bookmarkStart w:id="153" w:name="_Toc26548"/>
      <w:bookmarkStart w:id="154" w:name="_Toc430185803"/>
      <w:bookmarkStart w:id="155" w:name="_Toc430771060"/>
      <w:bookmarkStart w:id="156" w:name="_Toc480010734"/>
      <w:bookmarkStart w:id="157" w:name="_Toc467987849"/>
      <w:bookmarkStart w:id="158" w:name="_Toc468157562"/>
      <w:bookmarkStart w:id="159" w:name="_Toc491658677"/>
      <w:bookmarkStart w:id="160" w:name="_Toc479991608"/>
      <w:bookmarkStart w:id="161" w:name="_Toc500861024"/>
      <w:bookmarkStart w:id="162" w:name="_Toc480020283"/>
      <w:bookmarkStart w:id="163" w:name="_Toc467236766"/>
      <w:bookmarkStart w:id="164" w:name="_Toc480021079"/>
      <w:bookmarkStart w:id="165" w:name="_Toc468606055"/>
      <w:bookmarkStart w:id="166" w:name="_Toc500861027"/>
      <w:bookmarkStart w:id="167" w:name="_Toc6397151"/>
      <w:bookmarkStart w:id="168" w:name="_Toc6727972"/>
      <w:bookmarkStart w:id="169" w:name="_Toc26066260"/>
      <w:bookmarkStart w:id="170" w:name="_Toc491658680"/>
      <w:r>
        <w:rPr>
          <w:rFonts w:hint="eastAsia"/>
          <w:color w:val="000000" w:themeColor="text1"/>
          <w:sz w:val="24"/>
          <w14:textFill>
            <w14:solidFill>
              <w14:schemeClr w14:val="tx1"/>
            </w14:solidFill>
          </w14:textFill>
        </w:rPr>
        <w:t>政府采购政策</w:t>
      </w:r>
      <w:bookmarkEnd w:id="152"/>
      <w:bookmarkEnd w:id="153"/>
    </w:p>
    <w:p w14:paraId="55C5C9B1">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bookmarkEnd w:id="154"/>
      <w:bookmarkEnd w:id="155"/>
      <w:r>
        <w:rPr>
          <w:rFonts w:hint="eastAsia"/>
          <w:color w:val="000000" w:themeColor="text1"/>
          <w14:textFill>
            <w14:solidFill>
              <w14:schemeClr w14:val="tx1"/>
            </w14:solidFill>
          </w14:textFill>
        </w:rPr>
        <w:t>若没有明示采购进口产品的，则视为采购产品为非进口产品（进口产品指中国海关验放进入中国境内且产自关境外的产品）。</w:t>
      </w:r>
    </w:p>
    <w:p w14:paraId="4C3DEEFE">
      <w:pPr>
        <w:spacing w:line="360" w:lineRule="auto"/>
        <w:rPr>
          <w:rFonts w:ascii="宋体" w:hAnsi="宋体"/>
          <w:color w:val="000000" w:themeColor="text1"/>
          <w14:textFill>
            <w14:solidFill>
              <w14:schemeClr w14:val="tx1"/>
            </w14:solidFill>
          </w14:textFill>
        </w:rPr>
      </w:pPr>
      <w:bookmarkStart w:id="171" w:name="_Toc430771061"/>
      <w:bookmarkStart w:id="172" w:name="_Toc430185804"/>
      <w:r>
        <w:rPr>
          <w:rFonts w:hint="eastAsia" w:ascii="宋体" w:hAnsi="宋体"/>
          <w:color w:val="000000" w:themeColor="text1"/>
          <w14:textFill>
            <w14:solidFill>
              <w14:schemeClr w14:val="tx1"/>
            </w14:solidFill>
          </w14:textFill>
        </w:rPr>
        <w:t>2．若采购产品属政府强制采购节能产品的，供应商所投产品应已列入最新一期的《节能产品政府采购清单》（该清单供应商可查询中国政府采购网</w:t>
      </w:r>
      <w:r>
        <w:rPr>
          <w:rFonts w:ascii="宋体" w:hAnsi="宋体"/>
          <w:color w:val="000000" w:themeColor="text1"/>
          <w14:textFill>
            <w14:solidFill>
              <w14:schemeClr w14:val="tx1"/>
            </w14:solidFill>
          </w14:textFill>
        </w:rPr>
        <w:t>http://www.ccgp.gov.cn</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1"/>
      <w:bookmarkEnd w:id="172"/>
    </w:p>
    <w:p w14:paraId="7CA19AE9">
      <w:pPr>
        <w:spacing w:line="360" w:lineRule="auto"/>
        <w:rPr>
          <w:rFonts w:ascii="宋体" w:hAnsi="宋体"/>
          <w:color w:val="000000" w:themeColor="text1"/>
          <w14:textFill>
            <w14:solidFill>
              <w14:schemeClr w14:val="tx1"/>
            </w14:solidFill>
          </w14:textFill>
        </w:rPr>
      </w:pPr>
      <w:bookmarkStart w:id="173" w:name="_Toc430185805"/>
      <w:bookmarkStart w:id="174" w:name="_Toc430771062"/>
      <w:r>
        <w:rPr>
          <w:rFonts w:hint="eastAsia" w:ascii="宋体" w:hAnsi="宋体"/>
          <w:color w:val="000000" w:themeColor="text1"/>
          <w14:textFill>
            <w14:solidFill>
              <w14:schemeClr w14:val="tx1"/>
            </w14:solidFill>
          </w14:textFill>
        </w:rPr>
        <w:t>3. 根据《财政部、国家环保总局联合印发</w:t>
      </w:r>
      <w:r>
        <w:rPr>
          <w:rFonts w:ascii="宋体" w:hAnsi="宋体"/>
          <w:color w:val="000000" w:themeColor="text1"/>
          <w14:textFill>
            <w14:solidFill>
              <w14:schemeClr w14:val="tx1"/>
            </w14:solidFill>
          </w14:textFill>
        </w:rPr>
        <w:t>&lt;</w:t>
      </w:r>
      <w:r>
        <w:rPr>
          <w:rFonts w:hint="eastAsia" w:ascii="宋体" w:hAnsi="宋体"/>
          <w:color w:val="000000" w:themeColor="text1"/>
          <w14:textFill>
            <w14:solidFill>
              <w14:schemeClr w14:val="tx1"/>
            </w14:solidFill>
          </w14:textFill>
        </w:rPr>
        <w:t>关于环境标志产品政府采购实施意见</w:t>
      </w:r>
      <w:r>
        <w:rPr>
          <w:rFonts w:ascii="宋体" w:hAnsi="宋体"/>
          <w:color w:val="000000" w:themeColor="text1"/>
          <w14:textFill>
            <w14:solidFill>
              <w14:schemeClr w14:val="tx1"/>
            </w14:solidFill>
          </w14:textFill>
        </w:rPr>
        <w:t>&gt;</w:t>
      </w:r>
      <w:r>
        <w:rPr>
          <w:rFonts w:hint="eastAsia" w:ascii="宋体" w:hAnsi="宋体"/>
          <w:color w:val="000000" w:themeColor="text1"/>
          <w14:textFill>
            <w14:solidFill>
              <w14:schemeClr w14:val="tx1"/>
            </w14:solidFill>
          </w14:textFill>
        </w:rPr>
        <w:t>》（财库</w:t>
      </w:r>
      <w:r>
        <w:rPr>
          <w:rFonts w:ascii="宋体" w:hAnsi="宋体"/>
          <w:color w:val="000000" w:themeColor="text1"/>
          <w14:textFill>
            <w14:solidFill>
              <w14:schemeClr w14:val="tx1"/>
            </w14:solidFill>
          </w14:textFill>
        </w:rPr>
        <w:t>[2006]90</w:t>
      </w:r>
      <w:r>
        <w:rPr>
          <w:rFonts w:hint="eastAsia" w:ascii="宋体" w:hAnsi="宋体"/>
          <w:color w:val="000000" w:themeColor="text1"/>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fldChar w:fldCharType="begin"/>
      </w:r>
      <w:r>
        <w:instrText xml:space="preserve"> HYPERLINK "http://www.ccgp.gov.cn" </w:instrText>
      </w:r>
      <w:r>
        <w:fldChar w:fldCharType="separate"/>
      </w:r>
      <w:r>
        <w:rPr>
          <w:rStyle w:val="58"/>
          <w:rFonts w:ascii="宋体" w:hAnsi="宋体"/>
          <w:color w:val="000000" w:themeColor="text1"/>
          <w14:textFill>
            <w14:solidFill>
              <w14:schemeClr w14:val="tx1"/>
            </w14:solidFill>
          </w14:textFill>
        </w:rPr>
        <w:t>http://www.ccgp.gov.cn</w:t>
      </w:r>
      <w:r>
        <w:rPr>
          <w:rStyle w:val="58"/>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）、国家环境保护总局网（</w:t>
      </w:r>
      <w:r>
        <w:fldChar w:fldCharType="begin"/>
      </w:r>
      <w:r>
        <w:instrText xml:space="preserve"> HYPERLINK "http://www.ccgp.gov.cn" </w:instrText>
      </w:r>
      <w:r>
        <w:fldChar w:fldCharType="separate"/>
      </w:r>
      <w:r>
        <w:rPr>
          <w:rStyle w:val="58"/>
          <w:rFonts w:ascii="宋体" w:hAnsi="宋体"/>
          <w:color w:val="000000" w:themeColor="text1"/>
          <w14:textFill>
            <w14:solidFill>
              <w14:schemeClr w14:val="tx1"/>
            </w14:solidFill>
          </w14:textFill>
        </w:rPr>
        <w:t>http://www.sepa.gov.cn</w:t>
      </w:r>
      <w:r>
        <w:rPr>
          <w:rStyle w:val="58"/>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）、中国绿色采购网（</w:t>
      </w:r>
      <w:r>
        <w:fldChar w:fldCharType="begin"/>
      </w:r>
      <w:r>
        <w:instrText xml:space="preserve"> HYPERLINK "http://www.cgpn.cn" </w:instrText>
      </w:r>
      <w:r>
        <w:fldChar w:fldCharType="separate"/>
      </w:r>
      <w:r>
        <w:rPr>
          <w:rStyle w:val="58"/>
          <w:rFonts w:ascii="宋体" w:hAnsi="宋体"/>
          <w:color w:val="000000" w:themeColor="text1"/>
          <w14:textFill>
            <w14:solidFill>
              <w14:schemeClr w14:val="tx1"/>
            </w14:solidFill>
          </w14:textFill>
        </w:rPr>
        <w:t>http://www.cgpn.cn</w:t>
      </w:r>
      <w:r>
        <w:rPr>
          <w:rStyle w:val="58"/>
          <w:rFonts w:ascii="宋体" w:hAnsi="宋体"/>
          <w:color w:val="000000" w:themeColor="text1"/>
          <w14:textFill>
            <w14:solidFill>
              <w14:schemeClr w14:val="tx1"/>
            </w14:solidFill>
          </w14:textFill>
        </w:rPr>
        <w:fldChar w:fldCharType="end"/>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）上发布。</w:t>
      </w:r>
      <w:bookmarkEnd w:id="173"/>
      <w:bookmarkEnd w:id="174"/>
    </w:p>
    <w:p w14:paraId="4DDBF87E">
      <w:pPr>
        <w:spacing w:line="360" w:lineRule="auto"/>
        <w:rPr>
          <w:rFonts w:ascii="宋体" w:hAnsi="宋体"/>
          <w:color w:val="000000" w:themeColor="text1"/>
          <w14:textFill>
            <w14:solidFill>
              <w14:schemeClr w14:val="tx1"/>
            </w14:solidFill>
          </w14:textFill>
        </w:rPr>
      </w:pPr>
      <w:bookmarkStart w:id="175" w:name="_Toc430185806"/>
      <w:bookmarkStart w:id="176" w:name="_Toc430771063"/>
      <w:r>
        <w:rPr>
          <w:rFonts w:hint="eastAsia" w:ascii="宋体" w:hAnsi="宋体"/>
          <w:color w:val="000000" w:themeColor="text1"/>
          <w14:textFill>
            <w14:solidFill>
              <w14:schemeClr w14:val="tx1"/>
            </w14:solidFill>
          </w14:textFill>
        </w:rPr>
        <w:t>4．</w:t>
      </w:r>
      <w:bookmarkEnd w:id="175"/>
      <w:bookmarkEnd w:id="176"/>
      <w:r>
        <w:rPr>
          <w:rFonts w:hint="eastAsia" w:ascii="宋体" w:hAnsi="宋体" w:cs="宋体"/>
          <w:color w:val="000000" w:themeColor="text1"/>
          <w14:textFill>
            <w14:solidFill>
              <w14:schemeClr w14:val="tx1"/>
            </w14:solidFill>
          </w14:textFill>
        </w:rPr>
        <w:t>根据《关于印发《政府采购促进中小企业发展管理办法》的通知》（财库[2020]46号）的规定，供应商响应时需注意：</w:t>
      </w:r>
    </w:p>
    <w:p w14:paraId="5A91A30F">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14:textFill>
            <w14:solidFill>
              <w14:schemeClr w14:val="tx1"/>
            </w14:solidFill>
          </w14:textFill>
        </w:rPr>
        <w:t>[2011]300</w:t>
      </w:r>
      <w:r>
        <w:rPr>
          <w:rFonts w:hint="eastAsia" w:ascii="宋体" w:hAnsi="宋体"/>
          <w:color w:val="000000" w:themeColor="text1"/>
          <w14:textFill>
            <w14:solidFill>
              <w14:schemeClr w14:val="tx1"/>
            </w14:solidFill>
          </w14:textFill>
        </w:rPr>
        <w:t>号）执行。</w:t>
      </w:r>
    </w:p>
    <w:p w14:paraId="20F22B78">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4.2参加政府采购活动的中小企业响应时需提供《中小企业声明函》。否则不予认可。</w:t>
      </w:r>
    </w:p>
    <w:p w14:paraId="5EAE58D4">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4.3根据财库〔</w:t>
      </w:r>
      <w:r>
        <w:rPr>
          <w:rFonts w:ascii="宋体" w:hAnsi="宋体"/>
          <w:color w:val="000000" w:themeColor="text1"/>
          <w14:textFill>
            <w14:solidFill>
              <w14:schemeClr w14:val="tx1"/>
            </w14:solidFill>
          </w14:textFill>
        </w:rPr>
        <w:t xml:space="preserve"> 2014</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 xml:space="preserve"> 68 </w:t>
      </w:r>
      <w:r>
        <w:rPr>
          <w:rFonts w:hint="eastAsia" w:ascii="宋体" w:hAnsi="宋体"/>
          <w:color w:val="000000" w:themeColor="text1"/>
          <w14:textFill>
            <w14:solidFill>
              <w14:schemeClr w14:val="tx1"/>
            </w14:solidFill>
          </w14:textFill>
        </w:rPr>
        <w:t>号《财政部</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设区的市</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监狱、强制隔离戒毒所、戒毒康复所，以及新疆生产建设兵团监狱管理局、戒毒管理局的企业。监狱企业响应时，</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提供由省级以上监狱管理局、戒毒管理局</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含新疆生产建设兵团</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出具的属于监狱企业的证明文件，不再提供《中小微企业声明函》。</w:t>
      </w:r>
    </w:p>
    <w:p w14:paraId="3B9FAF95">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8863CB2">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4.5对于非专门面向中小微型企业采购的项目，依照《政府采购促进中小企业发展管理方法》的规定，凡符合要求的有效供应商，按照以下比例给予相应的价格扣除：</w:t>
      </w:r>
    </w:p>
    <w:tbl>
      <w:tblPr>
        <w:tblStyle w:val="51"/>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517"/>
        <w:gridCol w:w="2721"/>
        <w:gridCol w:w="2746"/>
      </w:tblGrid>
      <w:tr w14:paraId="7214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1F65C885">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517" w:type="dxa"/>
            <w:tcBorders>
              <w:top w:val="single" w:color="000000" w:sz="4" w:space="0"/>
              <w:left w:val="single" w:color="000000" w:sz="4" w:space="0"/>
              <w:bottom w:val="single" w:color="000000" w:sz="4" w:space="0"/>
              <w:right w:val="single" w:color="000000" w:sz="4" w:space="0"/>
            </w:tcBorders>
            <w:vAlign w:val="center"/>
          </w:tcPr>
          <w:p w14:paraId="7FB79D5D">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情形</w:t>
            </w:r>
          </w:p>
        </w:tc>
        <w:tc>
          <w:tcPr>
            <w:tcW w:w="2721" w:type="dxa"/>
            <w:tcBorders>
              <w:top w:val="single" w:color="000000" w:sz="4" w:space="0"/>
              <w:left w:val="single" w:color="000000" w:sz="4" w:space="0"/>
              <w:bottom w:val="single" w:color="000000" w:sz="4" w:space="0"/>
              <w:right w:val="single" w:color="000000" w:sz="4" w:space="0"/>
            </w:tcBorders>
            <w:vAlign w:val="center"/>
          </w:tcPr>
          <w:p w14:paraId="4C9EC637">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0E74F19">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计算公式</w:t>
            </w:r>
          </w:p>
        </w:tc>
      </w:tr>
      <w:tr w14:paraId="0133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592481D2">
            <w:pPr>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p>
        </w:tc>
        <w:tc>
          <w:tcPr>
            <w:tcW w:w="2517" w:type="dxa"/>
            <w:tcBorders>
              <w:top w:val="single" w:color="000000" w:sz="4" w:space="0"/>
              <w:left w:val="single" w:color="000000" w:sz="4" w:space="0"/>
              <w:bottom w:val="single" w:color="000000" w:sz="4" w:space="0"/>
              <w:right w:val="single" w:color="000000" w:sz="4" w:space="0"/>
            </w:tcBorders>
            <w:vAlign w:val="center"/>
          </w:tcPr>
          <w:p w14:paraId="5398411A">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非联合体供应商（供应商须为小型、微型企业）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1B22EA51">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对小型和微型企业产品的价格扣除10</w:t>
            </w:r>
            <w:r>
              <w:rPr>
                <w:rFonts w:ascii="宋体" w:hAnsi="宋体"/>
                <w:color w:val="000000" w:themeColor="text1"/>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789A46BC">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磋商报价</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最后磋商报价</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小型和微型企业产品的价格×10</w:t>
            </w:r>
            <w:r>
              <w:rPr>
                <w:rFonts w:ascii="宋体" w:hAnsi="宋体"/>
                <w:color w:val="000000" w:themeColor="text1"/>
                <w14:textFill>
                  <w14:solidFill>
                    <w14:schemeClr w14:val="tx1"/>
                  </w14:solidFill>
                </w14:textFill>
              </w:rPr>
              <w:t>%</w:t>
            </w:r>
          </w:p>
        </w:tc>
      </w:tr>
      <w:tr w14:paraId="2D52C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46BC4B34">
            <w:pPr>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p>
        </w:tc>
        <w:tc>
          <w:tcPr>
            <w:tcW w:w="2517" w:type="dxa"/>
            <w:tcBorders>
              <w:top w:val="single" w:color="000000" w:sz="4" w:space="0"/>
              <w:left w:val="single" w:color="000000" w:sz="4" w:space="0"/>
              <w:bottom w:val="single" w:color="000000" w:sz="4" w:space="0"/>
              <w:right w:val="single" w:color="000000" w:sz="4" w:space="0"/>
            </w:tcBorders>
            <w:vAlign w:val="center"/>
          </w:tcPr>
          <w:p w14:paraId="44DBCFAE">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联合体各方均为小型、微型企业</w:t>
            </w:r>
          </w:p>
        </w:tc>
        <w:tc>
          <w:tcPr>
            <w:tcW w:w="2721" w:type="dxa"/>
            <w:tcBorders>
              <w:top w:val="single" w:color="000000" w:sz="4" w:space="0"/>
              <w:left w:val="single" w:color="000000" w:sz="4" w:space="0"/>
              <w:bottom w:val="single" w:color="000000" w:sz="4" w:space="0"/>
              <w:right w:val="single" w:color="000000" w:sz="4" w:space="0"/>
            </w:tcBorders>
            <w:vAlign w:val="center"/>
          </w:tcPr>
          <w:p w14:paraId="01BFE2FC">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对小型和微型企业产品的价格扣除10</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不再享受序号</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的价格折扣</w:t>
            </w:r>
            <w:r>
              <w:rPr>
                <w:rFonts w:ascii="宋体" w:hAnsi="宋体"/>
                <w:color w:val="000000" w:themeColor="text1"/>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D2559E3">
            <w:pPr>
              <w:spacing w:line="360" w:lineRule="auto"/>
              <w:rPr>
                <w:rFonts w:ascii="宋体" w:hAnsi="宋体"/>
                <w:color w:val="000000" w:themeColor="text1"/>
                <w14:textFill>
                  <w14:solidFill>
                    <w14:schemeClr w14:val="tx1"/>
                  </w14:solidFill>
                </w14:textFill>
              </w:rPr>
            </w:pPr>
          </w:p>
        </w:tc>
      </w:tr>
      <w:tr w14:paraId="4270E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935" w:type="dxa"/>
            <w:tcBorders>
              <w:top w:val="single" w:color="000000" w:sz="4" w:space="0"/>
              <w:left w:val="single" w:color="000000" w:sz="4" w:space="0"/>
              <w:bottom w:val="single" w:color="000000" w:sz="4" w:space="0"/>
              <w:right w:val="single" w:color="000000" w:sz="4" w:space="0"/>
            </w:tcBorders>
            <w:vAlign w:val="center"/>
          </w:tcPr>
          <w:p w14:paraId="275DF2E9">
            <w:pPr>
              <w:spacing w:line="360" w:lineRule="auto"/>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2517" w:type="dxa"/>
            <w:tcBorders>
              <w:top w:val="single" w:color="000000" w:sz="4" w:space="0"/>
              <w:left w:val="single" w:color="000000" w:sz="4" w:space="0"/>
              <w:bottom w:val="single" w:color="000000" w:sz="4" w:space="0"/>
              <w:right w:val="single" w:color="000000" w:sz="4" w:space="0"/>
            </w:tcBorders>
            <w:vAlign w:val="center"/>
          </w:tcPr>
          <w:p w14:paraId="0267FEB3">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联合体一方为小型、微型企业且小型、微型企业协议合同金额占联合体协议合同总金额</w:t>
            </w:r>
            <w:r>
              <w:rPr>
                <w:rFonts w:ascii="宋体" w:hAnsi="宋体"/>
                <w:color w:val="000000" w:themeColor="text1"/>
                <w14:textFill>
                  <w14:solidFill>
                    <w14:schemeClr w14:val="tx1"/>
                  </w14:solidFill>
                </w14:textFill>
              </w:rPr>
              <w:t>30%</w:t>
            </w:r>
            <w:r>
              <w:rPr>
                <w:rFonts w:hint="eastAsia" w:ascii="宋体" w:hAnsi="宋体"/>
                <w:color w:val="000000" w:themeColor="text1"/>
                <w14:textFill>
                  <w14:solidFill>
                    <w14:schemeClr w14:val="tx1"/>
                  </w14:solidFill>
                </w14:textFill>
              </w:rPr>
              <w:t>以上的</w:t>
            </w:r>
          </w:p>
        </w:tc>
        <w:tc>
          <w:tcPr>
            <w:tcW w:w="2721" w:type="dxa"/>
            <w:tcBorders>
              <w:top w:val="single" w:color="000000" w:sz="4" w:space="0"/>
              <w:left w:val="single" w:color="000000" w:sz="4" w:space="0"/>
              <w:bottom w:val="single" w:color="000000" w:sz="4" w:space="0"/>
              <w:right w:val="single" w:color="000000" w:sz="4" w:space="0"/>
            </w:tcBorders>
            <w:vAlign w:val="center"/>
          </w:tcPr>
          <w:p w14:paraId="67569E8B">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对联合体总金额扣除4</w:t>
            </w:r>
            <w:r>
              <w:rPr>
                <w:rFonts w:ascii="宋体" w:hAnsi="宋体"/>
                <w:color w:val="000000" w:themeColor="text1"/>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7661C322">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磋商报价</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最后磋商报价×（</w:t>
            </w:r>
            <w:r>
              <w:rPr>
                <w:rFonts w:ascii="宋体" w:hAnsi="宋体"/>
                <w:color w:val="000000" w:themeColor="text1"/>
                <w:u w:val="single"/>
                <w14:textFill>
                  <w14:solidFill>
                    <w14:schemeClr w14:val="tx1"/>
                  </w14:solidFill>
                </w14:textFill>
              </w:rPr>
              <w:t>1-</w:t>
            </w:r>
            <w:r>
              <w:rPr>
                <w:rFonts w:hint="eastAsia" w:ascii="宋体" w:hAnsi="宋体"/>
                <w:color w:val="000000" w:themeColor="text1"/>
                <w:u w:val="single"/>
                <w14:textFill>
                  <w14:solidFill>
                    <w14:schemeClr w14:val="tx1"/>
                  </w14:solidFill>
                </w14:textFill>
              </w:rPr>
              <w:t>4</w:t>
            </w:r>
            <w:r>
              <w:rPr>
                <w:rFonts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w:t>
            </w:r>
          </w:p>
        </w:tc>
      </w:tr>
    </w:tbl>
    <w:p w14:paraId="7D1B0D3E">
      <w:pPr>
        <w:spacing w:line="360" w:lineRule="auto"/>
        <w:rPr>
          <w:rFonts w:ascii="宋体" w:hAnsi="宋体"/>
          <w:color w:val="000000" w:themeColor="text1"/>
          <w14:textFill>
            <w14:solidFill>
              <w14:schemeClr w14:val="tx1"/>
            </w14:solidFill>
          </w14:textFill>
        </w:rPr>
      </w:pPr>
    </w:p>
    <w:p w14:paraId="1DBDB4EB">
      <w:pPr>
        <w:widowControl/>
        <w:tabs>
          <w:tab w:val="left" w:pos="753"/>
        </w:tabs>
        <w:adjustRightInd w:val="0"/>
        <w:snapToGrid w:val="0"/>
        <w:spacing w:line="360" w:lineRule="auto"/>
        <w:ind w:left="753" w:hanging="753"/>
        <w:rPr>
          <w:rFonts w:ascii="宋体" w:hAnsi="宋体" w:cs="Arial"/>
          <w:color w:val="000000" w:themeColor="text1"/>
          <w:szCs w:val="21"/>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14:paraId="2056357C">
      <w:pPr>
        <w:pStyle w:val="2"/>
        <w:numPr>
          <w:ilvl w:val="0"/>
          <w:numId w:val="0"/>
        </w:numPr>
        <w:spacing w:beforeLines="0"/>
        <w:rPr>
          <w:rFonts w:ascii="宋体" w:hAnsi="宋体"/>
          <w:b/>
          <w:color w:val="000000" w:themeColor="text1"/>
          <w:sz w:val="21"/>
          <w:szCs w:val="21"/>
          <w14:textFill>
            <w14:solidFill>
              <w14:schemeClr w14:val="tx1"/>
            </w14:solidFill>
          </w14:textFill>
        </w:rPr>
      </w:pPr>
      <w:bookmarkStart w:id="177" w:name="_Hlt21939000"/>
      <w:bookmarkEnd w:id="177"/>
      <w:bookmarkStart w:id="178" w:name="_Toc350756459"/>
      <w:bookmarkStart w:id="179" w:name="_Toc341348347"/>
      <w:bookmarkStart w:id="180" w:name="_Toc332270355"/>
      <w:bookmarkStart w:id="181" w:name="_Toc342060383"/>
      <w:bookmarkStart w:id="182" w:name="_Toc331512907"/>
      <w:bookmarkStart w:id="183" w:name="_Toc330459994"/>
      <w:bookmarkStart w:id="184" w:name="_Toc339020242"/>
      <w:bookmarkStart w:id="185" w:name="_Toc349143598"/>
      <w:bookmarkStart w:id="186" w:name="_Toc339362309"/>
      <w:bookmarkStart w:id="187" w:name="_Toc366072538"/>
      <w:bookmarkStart w:id="188" w:name="_Toc333237686"/>
      <w:bookmarkStart w:id="189" w:name="_Toc331684047"/>
      <w:bookmarkStart w:id="190" w:name="_Toc349127635"/>
      <w:bookmarkStart w:id="191" w:name="_Toc332206717"/>
      <w:bookmarkStart w:id="192" w:name="_Toc336681589"/>
      <w:bookmarkStart w:id="193" w:name="_Toc340672878"/>
      <w:bookmarkStart w:id="194" w:name="_Toc333238642"/>
      <w:bookmarkStart w:id="195" w:name="_Toc339020024"/>
      <w:bookmarkStart w:id="196" w:name="_Toc333935696"/>
      <w:bookmarkStart w:id="197" w:name="_Toc374454610"/>
      <w:bookmarkStart w:id="198" w:name="_Toc342296769"/>
      <w:bookmarkStart w:id="199" w:name="_Toc337632367"/>
      <w:bookmarkStart w:id="200" w:name="_Toc365967081"/>
      <w:bookmarkStart w:id="201" w:name="_Toc339020104"/>
      <w:bookmarkStart w:id="202" w:name="_Toc336681944"/>
      <w:bookmarkStart w:id="203" w:name="_Toc350438758"/>
      <w:bookmarkStart w:id="204" w:name="_Toc333935355"/>
      <w:bookmarkStart w:id="205" w:name="_Toc340507451"/>
      <w:bookmarkStart w:id="206" w:name="_Toc340677079"/>
      <w:bookmarkStart w:id="207" w:name="_Toc365985187"/>
      <w:bookmarkStart w:id="208" w:name="_Toc339019898"/>
      <w:bookmarkStart w:id="209" w:name="_Toc333237797"/>
      <w:bookmarkStart w:id="210" w:name="_Toc345513910"/>
      <w:bookmarkStart w:id="211" w:name="_Toc339441096"/>
      <w:bookmarkStart w:id="212" w:name="_Toc13145"/>
      <w:r>
        <w:rPr>
          <w:rFonts w:hint="eastAsia" w:ascii="宋体" w:hAnsi="宋体" w:eastAsia="宋体"/>
          <w:b/>
          <w:color w:val="000000" w:themeColor="text1"/>
          <w14:textFill>
            <w14:solidFill>
              <w14:schemeClr w14:val="tx1"/>
            </w14:solidFill>
          </w14:textFill>
        </w:rPr>
        <w:t xml:space="preserve">第五部分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Start w:id="213" w:name="_Hlt97188170"/>
      <w:bookmarkEnd w:id="213"/>
      <w:r>
        <w:rPr>
          <w:rFonts w:hint="eastAsia" w:ascii="宋体" w:hAnsi="宋体"/>
          <w:b/>
          <w:color w:val="000000" w:themeColor="text1"/>
          <w:sz w:val="21"/>
          <w:szCs w:val="21"/>
          <w14:textFill>
            <w14:solidFill>
              <w14:schemeClr w14:val="tx1"/>
            </w14:solidFill>
          </w14:textFill>
        </w:rPr>
        <w:t>合同书格式（参考范本）</w:t>
      </w:r>
      <w:bookmarkEnd w:id="212"/>
    </w:p>
    <w:p w14:paraId="2EB7A409">
      <w:pPr>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甲乙双方根据</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月</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r>
        <w:rPr>
          <w:rFonts w:hint="eastAsia" w:ascii="宋体" w:hAnsi="宋体" w:cs="宋体"/>
          <w:color w:val="000000" w:themeColor="text1"/>
          <w:szCs w:val="21"/>
          <w:u w:val="single"/>
          <w14:textFill>
            <w14:solidFill>
              <w14:schemeClr w14:val="tx1"/>
            </w14:solidFill>
          </w14:textFill>
        </w:rPr>
        <w:t xml:space="preserve">  采购项目名称  </w:t>
      </w:r>
      <w:r>
        <w:rPr>
          <w:rFonts w:hint="eastAsia" w:ascii="宋体" w:hAnsi="宋体" w:cs="宋体"/>
          <w:bCs/>
          <w:color w:val="000000" w:themeColor="text1"/>
          <w:szCs w:val="21"/>
          <w14:textFill>
            <w14:solidFill>
              <w14:schemeClr w14:val="tx1"/>
            </w14:solidFill>
          </w14:textFill>
        </w:rPr>
        <w:t>（项目编号:</w:t>
      </w:r>
      <w:r>
        <w:rPr>
          <w:rFonts w:hint="eastAsia" w:ascii="宋体" w:hAnsi="宋体" w:cs="宋体"/>
          <w:b/>
          <w:color w:val="000000" w:themeColor="text1"/>
          <w:szCs w:val="21"/>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）成交结果和有关磋商文件、磋商响应文件的要求，经双方协商一致，订立以下合同：</w:t>
      </w:r>
    </w:p>
    <w:p w14:paraId="06925DDF">
      <w:pPr>
        <w:tabs>
          <w:tab w:val="left" w:pos="1004"/>
        </w:tabs>
        <w:spacing w:line="360" w:lineRule="auto"/>
        <w:ind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第一条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项目的名称、单价、总价，项目所包含服务的范围</w:t>
      </w:r>
    </w:p>
    <w:p w14:paraId="22C717C6">
      <w:pPr>
        <w:tabs>
          <w:tab w:val="left" w:pos="1004"/>
        </w:tabs>
        <w:spacing w:line="360" w:lineRule="auto"/>
        <w:ind w:right="31" w:rightChars="15" w:firstLine="1003" w:firstLineChars="47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 项目名称：</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3D7E5AC4">
      <w:pPr>
        <w:tabs>
          <w:tab w:val="left" w:pos="1004"/>
        </w:tabs>
        <w:spacing w:line="360" w:lineRule="auto"/>
        <w:ind w:right="31" w:rightChars="15" w:firstLine="1003" w:firstLineChars="47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 服务范围：</w:t>
      </w:r>
      <w:r>
        <w:rPr>
          <w:rFonts w:hint="eastAsia" w:ascii="宋体" w:hAnsi="宋体" w:cs="宋体"/>
          <w:bCs/>
          <w:color w:val="000000" w:themeColor="text1"/>
          <w:szCs w:val="21"/>
          <w:u w:val="single"/>
          <w14:textFill>
            <w14:solidFill>
              <w14:schemeClr w14:val="tx1"/>
            </w14:solidFill>
          </w14:textFill>
        </w:rPr>
        <w:t xml:space="preserve">（另附）                               </w:t>
      </w:r>
      <w:r>
        <w:rPr>
          <w:rFonts w:hint="eastAsia" w:ascii="宋体" w:hAnsi="宋体" w:cs="宋体"/>
          <w:bCs/>
          <w:color w:val="000000" w:themeColor="text1"/>
          <w:szCs w:val="21"/>
          <w14:textFill>
            <w14:solidFill>
              <w14:schemeClr w14:val="tx1"/>
            </w14:solidFill>
          </w14:textFill>
        </w:rPr>
        <w:t>；</w:t>
      </w:r>
    </w:p>
    <w:p w14:paraId="1DC00E9D">
      <w:pPr>
        <w:tabs>
          <w:tab w:val="left" w:pos="1004"/>
        </w:tabs>
        <w:spacing w:line="360" w:lineRule="auto"/>
        <w:ind w:right="31" w:rightChars="15" w:firstLine="1003" w:firstLineChars="478"/>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 项目总价：</w:t>
      </w:r>
      <w:r>
        <w:rPr>
          <w:rFonts w:hint="eastAsia" w:ascii="宋体" w:hAnsi="宋体" w:cs="宋体"/>
          <w:bCs/>
          <w:color w:val="000000" w:themeColor="text1"/>
          <w:szCs w:val="21"/>
          <w:u w:val="single"/>
          <w14:textFill>
            <w14:solidFill>
              <w14:schemeClr w14:val="tx1"/>
            </w14:solidFill>
          </w14:textFill>
        </w:rPr>
        <w:t xml:space="preserve">（小写）                               </w:t>
      </w:r>
    </w:p>
    <w:p w14:paraId="324CE25D">
      <w:pPr>
        <w:tabs>
          <w:tab w:val="left" w:pos="1004"/>
        </w:tabs>
        <w:spacing w:line="360" w:lineRule="auto"/>
        <w:ind w:right="31" w:rightChars="15" w:firstLine="1003" w:firstLineChars="478"/>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w:t>
      </w:r>
      <w:r>
        <w:rPr>
          <w:rFonts w:hint="eastAsia" w:ascii="宋体" w:hAnsi="宋体" w:cs="宋体"/>
          <w:bCs/>
          <w:color w:val="000000" w:themeColor="text1"/>
          <w:szCs w:val="21"/>
          <w:u w:val="single"/>
          <w14:textFill>
            <w14:solidFill>
              <w14:schemeClr w14:val="tx1"/>
            </w14:solidFill>
          </w14:textFill>
        </w:rPr>
        <w:t xml:space="preserve">（大写）                               </w:t>
      </w:r>
    </w:p>
    <w:p w14:paraId="24C9BFD4">
      <w:pPr>
        <w:tabs>
          <w:tab w:val="left" w:pos="1004"/>
        </w:tabs>
        <w:spacing w:line="360" w:lineRule="auto"/>
        <w:ind w:right="31" w:rightChars="15" w:firstLine="1003" w:firstLineChars="478"/>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甲方不再另付任何费用。项目总价为完成项目含税的全包价。</w:t>
      </w:r>
    </w:p>
    <w:p w14:paraId="6C02ED67">
      <w:pPr>
        <w:tabs>
          <w:tab w:val="left" w:pos="1004"/>
        </w:tabs>
        <w:spacing w:line="360" w:lineRule="auto"/>
        <w:ind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第二条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服务的质量要求、售后服务、培训费用及损害赔偿</w:t>
      </w:r>
    </w:p>
    <w:p w14:paraId="7CDBEC0C">
      <w:pPr>
        <w:tabs>
          <w:tab w:val="left" w:pos="1004"/>
        </w:tabs>
        <w:spacing w:line="360" w:lineRule="auto"/>
        <w:ind w:left="1079" w:leftChars="514"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395587DC">
      <w:pPr>
        <w:tabs>
          <w:tab w:val="left" w:pos="1004"/>
        </w:tabs>
        <w:spacing w:line="360" w:lineRule="auto"/>
        <w:ind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第三条</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完工和验收</w:t>
      </w:r>
    </w:p>
    <w:p w14:paraId="6B029C81">
      <w:pPr>
        <w:tabs>
          <w:tab w:val="left" w:pos="1004"/>
        </w:tabs>
        <w:spacing w:line="360" w:lineRule="auto"/>
        <w:ind w:right="31" w:rightChars="15" w:firstLine="840" w:firstLineChars="4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1.服务期：</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33BE94D1">
      <w:pPr>
        <w:tabs>
          <w:tab w:val="left" w:pos="1004"/>
        </w:tabs>
        <w:spacing w:line="360" w:lineRule="auto"/>
        <w:ind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2.服务地点：</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377BEF93">
      <w:pPr>
        <w:tabs>
          <w:tab w:val="left" w:pos="1004"/>
        </w:tabs>
        <w:spacing w:line="360" w:lineRule="auto"/>
        <w:ind w:right="31" w:rightChars="15" w:firstLine="840" w:firstLineChars="4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3.验收时间：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5D3672E0">
      <w:pPr>
        <w:tabs>
          <w:tab w:val="left" w:pos="1004"/>
        </w:tabs>
        <w:spacing w:line="360" w:lineRule="auto"/>
        <w:ind w:right="31" w:rightChars="15" w:firstLine="840" w:firstLineChars="400"/>
        <w:rPr>
          <w:rFonts w:ascii="宋体" w:hAnsi="宋体" w:cs="宋体"/>
          <w:bCs/>
          <w:color w:val="000000" w:themeColor="text1"/>
          <w:szCs w:val="21"/>
          <w:u w:val="single"/>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4.服务验收方式：</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7512B998">
      <w:pPr>
        <w:spacing w:line="360" w:lineRule="auto"/>
        <w:ind w:right="31" w:rightChars="15" w:firstLine="840" w:firstLineChars="4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5.验收标准：</w:t>
      </w:r>
    </w:p>
    <w:p w14:paraId="5C7FE571">
      <w:pPr>
        <w:numPr>
          <w:ilvl w:val="6"/>
          <w:numId w:val="23"/>
        </w:numPr>
        <w:tabs>
          <w:tab w:val="left" w:pos="1680"/>
        </w:tabs>
        <w:spacing w:line="360" w:lineRule="auto"/>
        <w:ind w:left="1680" w:hanging="315"/>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质量符合磋商文件和磋商响应文件的要求；</w:t>
      </w:r>
    </w:p>
    <w:p w14:paraId="795797E1">
      <w:pPr>
        <w:numPr>
          <w:ilvl w:val="6"/>
          <w:numId w:val="23"/>
        </w:numPr>
        <w:tabs>
          <w:tab w:val="left" w:pos="1680"/>
          <w:tab w:val="clear" w:pos="4830"/>
        </w:tabs>
        <w:spacing w:line="360" w:lineRule="auto"/>
        <w:ind w:left="1680" w:right="31" w:rightChars="15" w:hanging="3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双方约定的其他验收标准。</w:t>
      </w:r>
      <w:r>
        <w:rPr>
          <w:rFonts w:hint="eastAsia" w:ascii="宋体" w:hAnsi="宋体" w:cs="宋体"/>
          <w:bCs/>
          <w:color w:val="000000" w:themeColor="text1"/>
          <w:szCs w:val="21"/>
          <w14:textFill>
            <w14:solidFill>
              <w14:schemeClr w14:val="tx1"/>
            </w14:solidFill>
          </w14:textFill>
        </w:rPr>
        <w:tab/>
      </w:r>
    </w:p>
    <w:p w14:paraId="117A5725">
      <w:pPr>
        <w:tabs>
          <w:tab w:val="left" w:pos="1004"/>
        </w:tabs>
        <w:spacing w:line="360" w:lineRule="auto"/>
        <w:ind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第四条   价款的结算、付款时间</w:t>
      </w:r>
    </w:p>
    <w:p w14:paraId="5004CF11">
      <w:pPr>
        <w:tabs>
          <w:tab w:val="left" w:pos="945"/>
        </w:tabs>
        <w:adjustRightInd w:val="0"/>
        <w:snapToGrid w:val="0"/>
        <w:spacing w:line="360" w:lineRule="auto"/>
        <w:ind w:left="843" w:right="31" w:rightChars="15"/>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1.付款方式：</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098D42B4">
      <w:pPr>
        <w:tabs>
          <w:tab w:val="left" w:pos="1155"/>
        </w:tabs>
        <w:adjustRightInd w:val="0"/>
        <w:snapToGrid w:val="0"/>
        <w:spacing w:line="360" w:lineRule="auto"/>
        <w:ind w:left="843" w:right="31" w:rightChars="15"/>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2.付款时间：</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w:t>
      </w:r>
    </w:p>
    <w:p w14:paraId="17B168A8">
      <w:pPr>
        <w:tabs>
          <w:tab w:val="left" w:pos="945"/>
        </w:tabs>
        <w:adjustRightInd w:val="0"/>
        <w:snapToGrid w:val="0"/>
        <w:spacing w:line="360" w:lineRule="auto"/>
        <w:ind w:left="945" w:right="31" w:rightChars="15" w:hanging="945" w:hangingChars="45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第五条   对产品异议的时间和办法</w:t>
      </w:r>
    </w:p>
    <w:p w14:paraId="1CB75942">
      <w:pPr>
        <w:tabs>
          <w:tab w:val="left" w:pos="1255"/>
        </w:tabs>
        <w:spacing w:line="360" w:lineRule="auto"/>
        <w:ind w:right="31" w:rightChars="15" w:firstLine="840" w:firstLineChars="4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1.甲方在验收中，如果发现乙方所提供的服务质量或相关服务不合规定的，在2日内向乙方提出书面异议；甲方怠于通知乙方的，视为乙方所提供的服务合乎规定。</w:t>
      </w:r>
    </w:p>
    <w:p w14:paraId="7C7EB15A">
      <w:pPr>
        <w:tabs>
          <w:tab w:val="left" w:pos="1255"/>
        </w:tabs>
        <w:spacing w:line="360" w:lineRule="auto"/>
        <w:ind w:right="31" w:rightChars="15" w:firstLine="840" w:firstLineChars="4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2.乙方在接到甲方书面异议后，应在10日历日内负责处理，否则，即视为默认甲方提出的异议和处理意见。</w:t>
      </w:r>
    </w:p>
    <w:p w14:paraId="3D2BED5A">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第六条   乙方的违约责任</w:t>
      </w:r>
    </w:p>
    <w:p w14:paraId="2F63D9F7">
      <w:pPr>
        <w:tabs>
          <w:tab w:val="left" w:pos="1004"/>
        </w:tabs>
        <w:spacing w:line="360" w:lineRule="auto"/>
        <w:ind w:firstLine="840" w:firstLineChars="4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中标供应商不得将本合同项下的服务项目转包给任何第三方，未经采购人书面同意，不得将非主体、非关键性工作分包给第三方，且分包供应商应具备相应资质条件，分包行为不免除中标供应商对采购人承担的全部责任。</w:t>
      </w:r>
    </w:p>
    <w:p w14:paraId="2E8F8040">
      <w:pPr>
        <w:tabs>
          <w:tab w:val="left" w:pos="1004"/>
        </w:tabs>
        <w:spacing w:line="360" w:lineRule="auto"/>
        <w:ind w:firstLine="840" w:firstLineChars="4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若中标供应商存在转包行为，采购人有权单方面解除合同，中标供应商应向采购人支付合同总金额20%的违约金，若违约金不足以弥补采购人损失的，中标供应商还应赔偿差额部分；采购人同时有权将其违法转包行为上报财政部门，由财政部门依法给予行政处罚。</w:t>
      </w:r>
    </w:p>
    <w:p w14:paraId="0F9C0983">
      <w:pPr>
        <w:tabs>
          <w:tab w:val="left" w:pos="1004"/>
        </w:tabs>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3.乙方应配合甲方办理交通船在风电企业的入场手续，按照磋商文件要求、磋商响应文件的承诺提供相关文件。如不能按时提供或不能按磋商响应文件的承诺提供，每延迟一天按合同总额的1%考核，</w:t>
      </w:r>
      <w:r>
        <w:rPr>
          <w:rFonts w:hint="eastAsia" w:ascii="宋体" w:hAnsi="宋体" w:cs="宋体"/>
          <w:color w:val="000000" w:themeColor="text1"/>
          <w:szCs w:val="21"/>
          <w14:textFill>
            <w14:solidFill>
              <w14:schemeClr w14:val="tx1"/>
            </w14:solidFill>
          </w14:textFill>
        </w:rPr>
        <w:t>在支付合同款时扣减相应金额</w:t>
      </w:r>
      <w:r>
        <w:rPr>
          <w:rFonts w:hint="eastAsia" w:ascii="宋体" w:hAnsi="宋体" w:cs="宋体"/>
          <w:bCs/>
          <w:color w:val="000000" w:themeColor="text1"/>
          <w:szCs w:val="21"/>
          <w14:textFill>
            <w14:solidFill>
              <w14:schemeClr w14:val="tx1"/>
            </w14:solidFill>
          </w14:textFill>
        </w:rPr>
        <w:t>。</w:t>
      </w:r>
    </w:p>
    <w:p w14:paraId="55F989FC">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乙方的交通船（含合同履行过程中替代的交通船）不符合海事部门和海上风电企业的管理要求，不能开展海上作业的或整改后仍不能开展海上作业的（整改期限：从检验不合格次日起7个日历天数内），甲方有权解除合同，剩余的合同款甲方不再支付。</w:t>
      </w:r>
    </w:p>
    <w:p w14:paraId="67F40AAA">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乙方不能满足甲方的用船需求（船舶出现故障除外），不按甲方的出海时间安排交通船，每次考核0.50万元，在支付合同款时扣减相应金额。累计3次不安排交通船的，甲方有权解除合同，剩余的合同款甲方不再支付。</w:t>
      </w:r>
    </w:p>
    <w:p w14:paraId="70035B2E">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船舶出现故障时，乙方应当采取可能采取的合理措施，使之尽快修复，并在出现故障2天内书面通知甲方，同时向甲方提交相关故障证明材料。如7个日历天数内不能修复，又不能为甲方提供符合海事部门和海上风电企业的管理要求的替代交通船的，甲方有权解除合同，剩余的合同款甲方不再支付。</w:t>
      </w:r>
    </w:p>
    <w:p w14:paraId="37A39D35">
      <w:pPr>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7.其它违约责任按《中华人民共和国民法典》处理。</w:t>
      </w:r>
    </w:p>
    <w:p w14:paraId="1124516F">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第七条</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甲方的违约责任</w:t>
      </w:r>
    </w:p>
    <w:p w14:paraId="5410EB1E">
      <w:pPr>
        <w:tabs>
          <w:tab w:val="left" w:pos="1004"/>
        </w:tabs>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1.甲方违反合同规定，未按时支付合同款的，应当承担由此对乙方造成的损失。</w:t>
      </w:r>
    </w:p>
    <w:p w14:paraId="56F4B678">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第八条    不可抗力</w:t>
      </w:r>
    </w:p>
    <w:p w14:paraId="64B46CC3">
      <w:pPr>
        <w:tabs>
          <w:tab w:val="left" w:pos="1004"/>
        </w:tabs>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14:paraId="43B54984">
      <w:pPr>
        <w:tabs>
          <w:tab w:val="left" w:pos="1004"/>
        </w:tabs>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5C5706EA">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第九条  争议的解决</w:t>
      </w:r>
    </w:p>
    <w:p w14:paraId="397AC4CD">
      <w:pPr>
        <w:tabs>
          <w:tab w:val="left" w:pos="1004"/>
        </w:tabs>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1.因服务期间质量问题发生争议，由法律及有关规章规定的技术单位进行质量鉴定，双方无条件服从该鉴定的结论。</w:t>
      </w:r>
    </w:p>
    <w:p w14:paraId="259020D4">
      <w:pPr>
        <w:tabs>
          <w:tab w:val="left" w:pos="1255"/>
        </w:tabs>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0C69766D">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第十条  监督和管理</w:t>
      </w:r>
    </w:p>
    <w:p w14:paraId="006FFB7F">
      <w:pPr>
        <w:tabs>
          <w:tab w:val="left" w:pos="1004"/>
        </w:tabs>
        <w:spacing w:line="360" w:lineRule="auto"/>
        <w:ind w:firstLine="630" w:firstLineChars="3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本项目合同订立后，应提供至</w:t>
      </w:r>
      <w:r>
        <w:rPr>
          <w:rFonts w:hint="eastAsia" w:ascii="宋体" w:hAnsi="宋体" w:cs="宋体"/>
          <w:bCs/>
          <w:color w:val="000000" w:themeColor="text1"/>
          <w:szCs w:val="21"/>
          <w:u w:val="single"/>
          <w14:textFill>
            <w14:solidFill>
              <w14:schemeClr w14:val="tx1"/>
            </w14:solidFill>
          </w14:textFill>
        </w:rPr>
        <w:t>广东业信采购招标有限公司</w:t>
      </w:r>
      <w:r>
        <w:rPr>
          <w:rFonts w:hint="eastAsia" w:ascii="宋体" w:hAnsi="宋体" w:cs="宋体"/>
          <w:bCs/>
          <w:color w:val="000000" w:themeColor="text1"/>
          <w:szCs w:val="21"/>
          <w14:textFill>
            <w14:solidFill>
              <w14:schemeClr w14:val="tx1"/>
            </w14:solidFill>
          </w14:textFill>
        </w:rPr>
        <w:t xml:space="preserve">备案； </w:t>
      </w:r>
    </w:p>
    <w:p w14:paraId="407F20B6">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第十一条  无效合同</w:t>
      </w:r>
    </w:p>
    <w:p w14:paraId="687D969B">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     甲乙双方如因违反国家法律、法规和有关政府采购规定，导致合同无效，责任由过错方承担。</w:t>
      </w:r>
    </w:p>
    <w:p w14:paraId="05CDD68D">
      <w:pPr>
        <w:tabs>
          <w:tab w:val="left" w:pos="1004"/>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第十二条  附则   </w:t>
      </w:r>
    </w:p>
    <w:p w14:paraId="74197B71">
      <w:pPr>
        <w:tabs>
          <w:tab w:val="left" w:pos="1004"/>
        </w:tabs>
        <w:spacing w:line="360" w:lineRule="auto"/>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本合同一式</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 xml:space="preserve"> 份，甲乙双方各执</w:t>
      </w:r>
      <w:r>
        <w:rPr>
          <w:rFonts w:hint="eastAsia" w:ascii="宋体" w:hAnsi="宋体" w:cs="宋体"/>
          <w:bCs/>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份。</w:t>
      </w:r>
    </w:p>
    <w:p w14:paraId="69C157F7">
      <w:pPr>
        <w:spacing w:line="360" w:lineRule="auto"/>
        <w:ind w:left="752" w:leftChars="358" w:firstLine="420"/>
        <w:rPr>
          <w:rFonts w:ascii="宋体" w:hAnsi="宋体" w:cs="宋体"/>
          <w:bCs/>
          <w:color w:val="000000" w:themeColor="text1"/>
          <w:szCs w:val="21"/>
          <w14:textFill>
            <w14:solidFill>
              <w14:schemeClr w14:val="tx1"/>
            </w14:solidFill>
          </w14:textFill>
        </w:rPr>
      </w:pPr>
    </w:p>
    <w:p w14:paraId="31E2A751">
      <w:pPr>
        <w:rPr>
          <w:rFonts w:ascii="宋体" w:hAnsi="宋体" w:cs="宋体"/>
          <w:color w:val="000000" w:themeColor="text1"/>
          <w:szCs w:val="21"/>
          <w14:textFill>
            <w14:solidFill>
              <w14:schemeClr w14:val="tx1"/>
            </w14:solidFill>
          </w14:textFill>
        </w:rPr>
      </w:pPr>
    </w:p>
    <w:p w14:paraId="3DC3EEF0">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甲方：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乙方：</w:t>
      </w:r>
    </w:p>
    <w:p w14:paraId="046846FC">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法定代表人：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法定代表人：</w:t>
      </w:r>
    </w:p>
    <w:p w14:paraId="092E96D4">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委托代理人：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委托代理人：</w:t>
      </w:r>
    </w:p>
    <w:p w14:paraId="7D680106">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地址：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地址：</w:t>
      </w:r>
    </w:p>
    <w:p w14:paraId="324D965B">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开户银行：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开户银行：</w:t>
      </w:r>
    </w:p>
    <w:p w14:paraId="1AAF02C4">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帐号：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帐号</w:t>
      </w:r>
    </w:p>
    <w:p w14:paraId="769BE694">
      <w:pPr>
        <w:tabs>
          <w:tab w:val="left" w:pos="1004"/>
          <w:tab w:val="left" w:pos="4267"/>
        </w:tabs>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 xml:space="preserve">电话：                            </w:t>
      </w:r>
      <w:r>
        <w:rPr>
          <w:rFonts w:hint="eastAsia" w:ascii="宋体" w:hAnsi="宋体" w:cs="宋体"/>
          <w:bCs/>
          <w:color w:val="000000" w:themeColor="text1"/>
          <w:szCs w:val="21"/>
          <w14:textFill>
            <w14:solidFill>
              <w14:schemeClr w14:val="tx1"/>
            </w14:solidFill>
          </w14:textFill>
        </w:rPr>
        <w:tab/>
      </w:r>
      <w:r>
        <w:rPr>
          <w:rFonts w:hint="eastAsia" w:ascii="宋体" w:hAnsi="宋体" w:cs="宋体"/>
          <w:bCs/>
          <w:color w:val="000000" w:themeColor="text1"/>
          <w:szCs w:val="21"/>
          <w14:textFill>
            <w14:solidFill>
              <w14:schemeClr w14:val="tx1"/>
            </w14:solidFill>
          </w14:textFill>
        </w:rPr>
        <w:t>电话：</w:t>
      </w:r>
    </w:p>
    <w:p w14:paraId="407C1740">
      <w:pPr>
        <w:tabs>
          <w:tab w:val="left" w:pos="1004"/>
        </w:tabs>
        <w:spacing w:line="360" w:lineRule="auto"/>
        <w:ind w:firstLine="630" w:firstLineChars="300"/>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年  月  日                              年  月  日</w:t>
      </w:r>
    </w:p>
    <w:p w14:paraId="716F8889">
      <w:pPr>
        <w:tabs>
          <w:tab w:val="left" w:pos="1004"/>
        </w:tabs>
        <w:spacing w:line="360" w:lineRule="auto"/>
        <w:ind w:right="31" w:rightChars="15"/>
        <w:rPr>
          <w:rFonts w:ascii="宋体" w:hAnsi="宋体"/>
          <w:b/>
          <w:bCs/>
          <w:color w:val="000000" w:themeColor="text1"/>
          <w:szCs w:val="21"/>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5B424E38">
      <w:pPr>
        <w:rPr>
          <w:rFonts w:ascii="宋体" w:hAnsi="宋体"/>
          <w:b/>
          <w:color w:val="000000" w:themeColor="text1"/>
          <w14:textFill>
            <w14:solidFill>
              <w14:schemeClr w14:val="tx1"/>
            </w14:solidFill>
          </w14:textFill>
        </w:rPr>
      </w:pPr>
      <w:bookmarkStart w:id="214" w:name="_Toc331684048"/>
      <w:bookmarkStart w:id="215" w:name="_Toc336681945"/>
      <w:bookmarkStart w:id="216" w:name="_Toc365967082"/>
      <w:bookmarkStart w:id="217" w:name="_Toc349127636"/>
      <w:bookmarkStart w:id="218" w:name="_Toc330459995"/>
      <w:bookmarkStart w:id="219" w:name="_Toc339020105"/>
      <w:bookmarkStart w:id="220" w:name="_Toc339020243"/>
      <w:bookmarkStart w:id="221" w:name="_Toc350438759"/>
      <w:bookmarkStart w:id="222" w:name="_Toc339019899"/>
      <w:bookmarkStart w:id="223" w:name="_Toc365985188"/>
      <w:bookmarkStart w:id="224" w:name="_Toc333238643"/>
      <w:bookmarkStart w:id="225" w:name="_Toc336681590"/>
      <w:bookmarkStart w:id="226" w:name="_Toc340672879"/>
      <w:bookmarkStart w:id="227" w:name="_Toc500861025"/>
      <w:bookmarkStart w:id="228" w:name="_Toc350756460"/>
      <w:bookmarkStart w:id="229" w:name="_Toc337632368"/>
      <w:bookmarkStart w:id="230" w:name="_Toc339441097"/>
      <w:bookmarkStart w:id="231" w:name="_Toc333935697"/>
      <w:bookmarkStart w:id="232" w:name="_Toc333237687"/>
      <w:bookmarkStart w:id="233" w:name="_Toc342296770"/>
      <w:bookmarkStart w:id="234" w:name="_Toc349143599"/>
      <w:bookmarkStart w:id="235" w:name="_Toc341348348"/>
      <w:bookmarkStart w:id="236" w:name="_Toc366072539"/>
      <w:bookmarkStart w:id="237" w:name="_Toc339020025"/>
      <w:bookmarkStart w:id="238" w:name="_Toc491658678"/>
      <w:bookmarkStart w:id="239" w:name="_Toc332270356"/>
      <w:bookmarkStart w:id="240" w:name="_Toc342060384"/>
      <w:bookmarkStart w:id="241" w:name="_Toc340507452"/>
      <w:bookmarkStart w:id="242" w:name="_Toc340677080"/>
      <w:bookmarkStart w:id="243" w:name="_Toc331512908"/>
      <w:bookmarkStart w:id="244" w:name="_Toc333935356"/>
      <w:bookmarkStart w:id="245" w:name="_Toc332206718"/>
      <w:bookmarkStart w:id="246" w:name="_Toc333237798"/>
      <w:bookmarkStart w:id="247" w:name="_Toc339362310"/>
      <w:bookmarkStart w:id="248" w:name="_Toc345513911"/>
    </w:p>
    <w:p w14:paraId="23D86DEE">
      <w:pPr>
        <w:pStyle w:val="2"/>
        <w:numPr>
          <w:ilvl w:val="0"/>
          <w:numId w:val="0"/>
        </w:numPr>
        <w:spacing w:beforeLines="0"/>
        <w:rPr>
          <w:rFonts w:ascii="宋体" w:hAnsi="宋体" w:eastAsia="宋体"/>
          <w:b/>
          <w:color w:val="000000" w:themeColor="text1"/>
          <w14:textFill>
            <w14:solidFill>
              <w14:schemeClr w14:val="tx1"/>
            </w14:solidFill>
          </w14:textFill>
        </w:rPr>
      </w:pPr>
      <w:bookmarkStart w:id="249" w:name="_Toc2769"/>
      <w:r>
        <w:rPr>
          <w:rFonts w:hint="eastAsia" w:ascii="宋体" w:hAnsi="宋体" w:eastAsia="宋体"/>
          <w:b/>
          <w:color w:val="000000" w:themeColor="text1"/>
          <w14:textFill>
            <w14:solidFill>
              <w14:schemeClr w14:val="tx1"/>
            </w14:solidFill>
          </w14:textFill>
        </w:rPr>
        <w:t>第六部分</w:t>
      </w:r>
      <w:bookmarkStart w:id="250" w:name="_Hlt97188172"/>
      <w:bookmarkEnd w:id="250"/>
      <w:r>
        <w:rPr>
          <w:rFonts w:hint="eastAsia" w:ascii="宋体" w:hAnsi="宋体" w:eastAsia="宋体"/>
          <w:b/>
          <w:color w:val="000000" w:themeColor="text1"/>
          <w14:textFill>
            <w14:solidFill>
              <w14:schemeClr w14:val="tx1"/>
            </w14:solidFill>
          </w14:textFill>
        </w:rPr>
        <w:t xml:space="preserve"> </w:t>
      </w:r>
      <w:r>
        <w:rPr>
          <w:rFonts w:ascii="宋体" w:hAnsi="宋体" w:eastAsia="宋体"/>
          <w:b/>
          <w:color w:val="000000" w:themeColor="text1"/>
          <w14:textFill>
            <w14:solidFill>
              <w14:schemeClr w14:val="tx1"/>
            </w14:solidFill>
          </w14:textFill>
        </w:rPr>
        <w:t xml:space="preserve"> </w:t>
      </w:r>
      <w:r>
        <w:rPr>
          <w:rFonts w:hint="eastAsia" w:ascii="宋体" w:hAnsi="宋体" w:eastAsia="宋体"/>
          <w:b/>
          <w:color w:val="000000" w:themeColor="text1"/>
          <w14:textFill>
            <w14:solidFill>
              <w14:schemeClr w14:val="tx1"/>
            </w14:solidFill>
          </w14:textFill>
        </w:rPr>
        <w:t>磋商响应文件格式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Start w:id="251" w:name="_Hlt21938933"/>
      <w:bookmarkEnd w:id="251"/>
    </w:p>
    <w:p w14:paraId="535B57F8">
      <w:pPr>
        <w:rPr>
          <w:rFonts w:ascii="宋体" w:hAnsi="宋体"/>
          <w:color w:val="000000" w:themeColor="text1"/>
          <w14:textFill>
            <w14:solidFill>
              <w14:schemeClr w14:val="tx1"/>
            </w14:solidFill>
          </w14:textFill>
        </w:rPr>
      </w:pPr>
    </w:p>
    <w:p w14:paraId="568E67EE">
      <w:pPr>
        <w:pStyle w:val="3"/>
        <w:numPr>
          <w:ilvl w:val="1"/>
          <w:numId w:val="0"/>
        </w:numPr>
        <w:rPr>
          <w:rFonts w:ascii="宋体" w:hAnsi="宋体"/>
          <w:color w:val="000000" w:themeColor="text1"/>
          <w:sz w:val="24"/>
          <w14:textFill>
            <w14:solidFill>
              <w14:schemeClr w14:val="tx1"/>
            </w14:solidFill>
          </w14:textFill>
        </w:rPr>
      </w:pPr>
      <w:bookmarkStart w:id="252" w:name="_Toc330459996"/>
      <w:bookmarkStart w:id="253" w:name="_Toc349143600"/>
      <w:bookmarkStart w:id="254" w:name="_Toc331684049"/>
      <w:bookmarkStart w:id="255" w:name="_Toc340507453"/>
      <w:bookmarkStart w:id="256" w:name="_Toc340672880"/>
      <w:bookmarkStart w:id="257" w:name="_Toc339362311"/>
      <w:bookmarkStart w:id="258" w:name="_Toc333238644"/>
      <w:bookmarkStart w:id="259" w:name="_Toc332270357"/>
      <w:bookmarkStart w:id="260" w:name="_Toc333237799"/>
      <w:bookmarkStart w:id="261" w:name="_Toc342296771"/>
      <w:bookmarkStart w:id="262" w:name="_Toc342060385"/>
      <w:bookmarkStart w:id="263" w:name="_Toc339020026"/>
      <w:bookmarkStart w:id="264" w:name="_Toc333237688"/>
      <w:bookmarkStart w:id="265" w:name="_Toc340677081"/>
      <w:bookmarkStart w:id="266" w:name="_Toc337632369"/>
      <w:bookmarkStart w:id="267" w:name="_Toc339441098"/>
      <w:bookmarkStart w:id="268" w:name="_Toc336681591"/>
      <w:bookmarkStart w:id="269" w:name="_Toc339020106"/>
      <w:bookmarkStart w:id="270" w:name="_Toc336681946"/>
      <w:bookmarkStart w:id="271" w:name="_Toc27301"/>
      <w:bookmarkStart w:id="272" w:name="_Toc366072540"/>
      <w:bookmarkStart w:id="273" w:name="_Toc339020244"/>
      <w:bookmarkStart w:id="274" w:name="_Toc365967083"/>
      <w:bookmarkStart w:id="275" w:name="_Toc333935698"/>
      <w:bookmarkStart w:id="276" w:name="_Toc332206719"/>
      <w:bookmarkStart w:id="277" w:name="_Toc333935357"/>
      <w:bookmarkStart w:id="278" w:name="_Toc339019900"/>
      <w:bookmarkStart w:id="279" w:name="_Toc365985189"/>
      <w:bookmarkStart w:id="280" w:name="_Toc349127637"/>
      <w:bookmarkStart w:id="281" w:name="_Toc345513912"/>
      <w:bookmarkStart w:id="282" w:name="_Toc341348349"/>
      <w:bookmarkStart w:id="283" w:name="_Toc331512909"/>
      <w:bookmarkStart w:id="284" w:name="_Toc350438760"/>
      <w:bookmarkStart w:id="285" w:name="_Toc350756461"/>
      <w:r>
        <w:rPr>
          <w:rFonts w:hint="eastAsia" w:ascii="宋体" w:hAnsi="宋体"/>
          <w:color w:val="000000" w:themeColor="text1"/>
          <w:sz w:val="24"/>
          <w14:textFill>
            <w14:solidFill>
              <w14:schemeClr w14:val="tx1"/>
            </w14:solidFill>
          </w14:textFill>
        </w:rPr>
        <w:t>封面格式</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0D43AEB">
      <w:pPr>
        <w:pStyle w:val="5"/>
        <w:rPr>
          <w:rFonts w:hAnsi="宋体"/>
          <w:bCs/>
          <w:color w:val="000000" w:themeColor="text1"/>
          <w:sz w:val="21"/>
          <w14:textFill>
            <w14:solidFill>
              <w14:schemeClr w14:val="tx1"/>
            </w14:solidFill>
          </w14:textFill>
        </w:rPr>
      </w:pPr>
    </w:p>
    <w:p w14:paraId="42FD9436">
      <w:pPr>
        <w:pStyle w:val="5"/>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响应内容应当编有目录、页码，按页码排序并装订成册；一切未装订成册的磋商响应文件在开标、评标过程中若出现缺页、漏页等现象可能影响供应商评审结果的，后果将由供应商本人负责。</w:t>
      </w:r>
    </w:p>
    <w:p w14:paraId="5EE6A7F6">
      <w:pPr>
        <w:pStyle w:val="5"/>
        <w:spacing w:line="360" w:lineRule="auto"/>
        <w:rPr>
          <w:rFonts w:hAnsi="宋体"/>
          <w:b/>
          <w:color w:val="000000" w:themeColor="text1"/>
          <w:sz w:val="21"/>
          <w:szCs w:val="21"/>
          <w14:textFill>
            <w14:solidFill>
              <w14:schemeClr w14:val="tx1"/>
            </w14:solidFill>
          </w14:textFill>
        </w:rPr>
      </w:pPr>
      <w:r>
        <w:rPr>
          <w:rFonts w:hint="eastAsia" w:hAnsi="宋体"/>
          <w:bCs/>
          <w:color w:val="000000" w:themeColor="text1"/>
          <w:sz w:val="21"/>
          <w14:textFill>
            <w14:solidFill>
              <w14:schemeClr w14:val="tx1"/>
            </w14:solidFill>
          </w14:textFill>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14:textFill>
            <w14:solidFill>
              <w14:schemeClr w14:val="tx1"/>
            </w14:solidFill>
          </w14:textFill>
        </w:rPr>
        <w:t xml:space="preserve"> </w:t>
      </w:r>
    </w:p>
    <w:p w14:paraId="1CEB9FCD">
      <w:pPr>
        <w:pStyle w:val="5"/>
        <w:rPr>
          <w:rFonts w:hAnsi="宋体"/>
          <w:bCs/>
          <w:color w:val="000000" w:themeColor="text1"/>
          <w:sz w:val="21"/>
          <w14:textFill>
            <w14:solidFill>
              <w14:schemeClr w14:val="tx1"/>
            </w14:solidFill>
          </w14:textFill>
        </w:rPr>
      </w:pPr>
    </w:p>
    <w:p w14:paraId="0E197066">
      <w:pPr>
        <w:pStyle w:val="5"/>
        <w:rPr>
          <w:rFonts w:hAnsi="宋体"/>
          <w:bCs/>
          <w:color w:val="000000" w:themeColor="text1"/>
          <w:sz w:val="21"/>
          <w14:textFill>
            <w14:solidFill>
              <w14:schemeClr w14:val="tx1"/>
            </w14:solidFill>
          </w14:textFill>
        </w:rPr>
      </w:pPr>
    </w:p>
    <w:p w14:paraId="356F168A">
      <w:pPr>
        <w:pStyle w:val="5"/>
        <w:rPr>
          <w:rFonts w:hAnsi="宋体"/>
          <w:bCs/>
          <w:color w:val="000000" w:themeColor="text1"/>
          <w:sz w:val="21"/>
          <w14:textFill>
            <w14:solidFill>
              <w14:schemeClr w14:val="tx1"/>
            </w14:solidFill>
          </w14:textFill>
        </w:rPr>
      </w:pPr>
    </w:p>
    <w:p w14:paraId="1694A83E">
      <w:pPr>
        <w:pStyle w:val="5"/>
        <w:spacing w:line="440" w:lineRule="exact"/>
        <w:jc w:val="center"/>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磋商响应文件（□正本、□副本）</w:t>
      </w:r>
    </w:p>
    <w:p w14:paraId="7771B5DB">
      <w:pPr>
        <w:pStyle w:val="5"/>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YXCG-20260521  </w:t>
      </w:r>
      <w:r>
        <w:rPr>
          <w:rFonts w:hint="eastAsia" w:hAnsi="宋体"/>
          <w:bCs/>
          <w:color w:val="000000" w:themeColor="text1"/>
          <w:sz w:val="21"/>
          <w14:textFill>
            <w14:solidFill>
              <w14:schemeClr w14:val="tx1"/>
            </w14:solidFill>
          </w14:textFill>
        </w:rPr>
        <w:t xml:space="preserve">             </w:t>
      </w:r>
    </w:p>
    <w:p w14:paraId="789F9DA2">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采购项目名称，由供应商填写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14:paraId="78457886">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供应商名称（公章）：</w:t>
      </w:r>
      <w:r>
        <w:rPr>
          <w:rFonts w:hint="eastAsia" w:hAnsi="宋体"/>
          <w:bCs/>
          <w:color w:val="000000" w:themeColor="text1"/>
          <w:sz w:val="21"/>
          <w:u w:val="single"/>
          <w14:textFill>
            <w14:solidFill>
              <w14:schemeClr w14:val="tx1"/>
            </w14:solidFill>
          </w14:textFill>
        </w:rPr>
        <w:t xml:space="preserve">                                                   </w:t>
      </w:r>
    </w:p>
    <w:p w14:paraId="2F1E9260">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供应商地址：</w:t>
      </w:r>
      <w:r>
        <w:rPr>
          <w:rFonts w:hint="eastAsia" w:hAnsi="宋体"/>
          <w:bCs/>
          <w:color w:val="000000" w:themeColor="text1"/>
          <w:sz w:val="21"/>
          <w:u w:val="single"/>
          <w14:textFill>
            <w14:solidFill>
              <w14:schemeClr w14:val="tx1"/>
            </w14:solidFill>
          </w14:textFill>
        </w:rPr>
        <w:t xml:space="preserve">                                                              </w:t>
      </w:r>
    </w:p>
    <w:p w14:paraId="02C39F3D">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14:paraId="2ED22FEC">
      <w:pPr>
        <w:pStyle w:val="5"/>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14:paraId="25D3DD61">
      <w:pPr>
        <w:pStyle w:val="5"/>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14:paraId="6665F4B6">
      <w:pPr>
        <w:pStyle w:val="5"/>
        <w:spacing w:line="440" w:lineRule="exact"/>
        <w:rPr>
          <w:rFonts w:hAnsi="宋体"/>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14:paraId="4506741C">
      <w:pPr>
        <w:tabs>
          <w:tab w:val="left" w:pos="1004"/>
          <w:tab w:val="left" w:pos="4267"/>
        </w:tabs>
        <w:spacing w:line="400" w:lineRule="exact"/>
        <w:rPr>
          <w:rFonts w:ascii="宋体" w:hAnsi="宋体"/>
          <w:bCs/>
          <w:color w:val="000000" w:themeColor="text1"/>
          <w14:textFill>
            <w14:solidFill>
              <w14:schemeClr w14:val="tx1"/>
            </w14:solidFill>
          </w14:textFill>
        </w:rPr>
      </w:pPr>
    </w:p>
    <w:p w14:paraId="50E580EB">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14:textFill>
            <w14:solidFill>
              <w14:schemeClr w14:val="tx1"/>
            </w14:solidFill>
          </w14:textFill>
        </w:rPr>
        <w:t xml:space="preserve"> </w:t>
      </w:r>
    </w:p>
    <w:p w14:paraId="5FA8C78C">
      <w:pPr>
        <w:pStyle w:val="3"/>
        <w:numPr>
          <w:ilvl w:val="7"/>
          <w:numId w:val="6"/>
        </w:numPr>
        <w:tabs>
          <w:tab w:val="clear" w:pos="720"/>
        </w:tabs>
        <w:spacing w:before="240" w:after="240" w:line="240" w:lineRule="exact"/>
        <w:ind w:left="0" w:firstLine="0"/>
        <w:rPr>
          <w:rFonts w:ascii="宋体" w:hAnsi="宋体"/>
          <w:b w:val="0"/>
          <w:color w:val="000000" w:themeColor="text1"/>
          <w:sz w:val="24"/>
          <w14:textFill>
            <w14:solidFill>
              <w14:schemeClr w14:val="tx1"/>
            </w14:solidFill>
          </w14:textFill>
        </w:rPr>
      </w:pPr>
      <w:bookmarkStart w:id="286" w:name="_Toc6181"/>
      <w:r>
        <w:rPr>
          <w:rFonts w:hint="eastAsia" w:ascii="宋体" w:hAnsi="宋体"/>
          <w:b w:val="0"/>
          <w:color w:val="000000" w:themeColor="text1"/>
          <w:sz w:val="24"/>
          <w14:textFill>
            <w14:solidFill>
              <w14:schemeClr w14:val="tx1"/>
            </w14:solidFill>
          </w14:textFill>
        </w:rPr>
        <w:t>自查表</w:t>
      </w:r>
      <w:bookmarkEnd w:id="286"/>
    </w:p>
    <w:p w14:paraId="67A89F43">
      <w:pPr>
        <w:pStyle w:val="3"/>
        <w:keepLines w:val="0"/>
        <w:numPr>
          <w:ilvl w:val="0"/>
          <w:numId w:val="0"/>
        </w:numPr>
        <w:tabs>
          <w:tab w:val="left" w:pos="4320"/>
        </w:tabs>
        <w:spacing w:before="240" w:after="60" w:line="480" w:lineRule="exact"/>
        <w:rPr>
          <w:rFonts w:ascii="宋体"/>
          <w:b w:val="0"/>
          <w:bCs w:val="0"/>
          <w:color w:val="000000" w:themeColor="text1"/>
          <w:szCs w:val="21"/>
          <w14:textFill>
            <w14:solidFill>
              <w14:schemeClr w14:val="tx1"/>
            </w14:solidFill>
          </w14:textFill>
        </w:rPr>
      </w:pPr>
      <w:bookmarkStart w:id="287" w:name="_Toc18086"/>
      <w:bookmarkStart w:id="288" w:name="_Toc27041"/>
      <w:bookmarkStart w:id="289" w:name="_Toc31777"/>
      <w:r>
        <w:rPr>
          <w:rFonts w:hint="eastAsia" w:ascii="宋体"/>
          <w:bCs w:val="0"/>
          <w:color w:val="000000" w:themeColor="text1"/>
          <w:szCs w:val="21"/>
          <w14:textFill>
            <w14:solidFill>
              <w14:schemeClr w14:val="tx1"/>
            </w14:solidFill>
          </w14:textFill>
        </w:rPr>
        <w:t>1.1  资格性/符合性自查表</w:t>
      </w:r>
      <w:bookmarkEnd w:id="287"/>
      <w:bookmarkEnd w:id="288"/>
      <w:bookmarkEnd w:id="289"/>
    </w:p>
    <w:p w14:paraId="473A2265">
      <w:pPr>
        <w:jc w:val="center"/>
        <w:rPr>
          <w:rFonts w:ascii="宋体" w:hAnsi="宋体"/>
          <w:b/>
          <w:bCs/>
          <w:color w:val="000000" w:themeColor="text1"/>
          <w:szCs w:val="21"/>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85"/>
        <w:gridCol w:w="3244"/>
        <w:gridCol w:w="1837"/>
        <w:gridCol w:w="1854"/>
      </w:tblGrid>
      <w:tr w14:paraId="0F22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5" w:type="dxa"/>
            <w:gridSpan w:val="2"/>
            <w:vAlign w:val="center"/>
          </w:tcPr>
          <w:p w14:paraId="616A0394">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3244" w:type="dxa"/>
            <w:vAlign w:val="center"/>
          </w:tcPr>
          <w:p w14:paraId="21E49FD9">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磋商文件要求</w:t>
            </w:r>
          </w:p>
        </w:tc>
        <w:tc>
          <w:tcPr>
            <w:tcW w:w="1837" w:type="dxa"/>
            <w:vAlign w:val="center"/>
          </w:tcPr>
          <w:p w14:paraId="5C487E20">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14:paraId="5FE1AFA5">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854" w:type="dxa"/>
            <w:vAlign w:val="center"/>
          </w:tcPr>
          <w:p w14:paraId="6E2D5FF1">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14:paraId="4FA9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020" w:type="dxa"/>
            <w:vMerge w:val="restart"/>
            <w:vAlign w:val="center"/>
          </w:tcPr>
          <w:p w14:paraId="4550575E">
            <w:pPr>
              <w:tabs>
                <w:tab w:val="left" w:pos="480"/>
              </w:tabs>
              <w:ind w:left="480" w:hanging="48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资格性</w:t>
            </w:r>
          </w:p>
          <w:p w14:paraId="341108A1">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检查</w:t>
            </w:r>
          </w:p>
        </w:tc>
        <w:tc>
          <w:tcPr>
            <w:tcW w:w="1585" w:type="dxa"/>
            <w:vMerge w:val="restart"/>
            <w:vAlign w:val="center"/>
          </w:tcPr>
          <w:p w14:paraId="1C55E3B2">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供应商要求</w:t>
            </w:r>
          </w:p>
        </w:tc>
        <w:tc>
          <w:tcPr>
            <w:tcW w:w="3244" w:type="dxa"/>
            <w:vAlign w:val="center"/>
          </w:tcPr>
          <w:p w14:paraId="7FE7F336">
            <w:pPr>
              <w:tabs>
                <w:tab w:val="left" w:pos="0"/>
              </w:tabs>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应具备《中华人民共和国政府采购法》第二十二条规定的条件</w:t>
            </w:r>
          </w:p>
        </w:tc>
        <w:tc>
          <w:tcPr>
            <w:tcW w:w="1837" w:type="dxa"/>
            <w:vAlign w:val="center"/>
          </w:tcPr>
          <w:p w14:paraId="603C01DD">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vAlign w:val="center"/>
          </w:tcPr>
          <w:p w14:paraId="2DF2BE7E">
            <w:pPr>
              <w:tabs>
                <w:tab w:val="left" w:pos="0"/>
              </w:tabs>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见磋商响应文件</w:t>
            </w:r>
          </w:p>
          <w:p w14:paraId="4EE2058A">
            <w:pPr>
              <w:tabs>
                <w:tab w:val="left" w:pos="0"/>
              </w:tabs>
              <w:jc w:val="center"/>
              <w:rPr>
                <w:rFonts w:ascii="宋体" w:hAnsi="宋体"/>
                <w:b/>
                <w:bCs/>
                <w:color w:val="000000" w:themeColor="text1"/>
                <w:sz w:val="18"/>
                <w:szCs w:val="18"/>
                <w14:textFill>
                  <w14:solidFill>
                    <w14:schemeClr w14:val="tx1"/>
                  </w14:solidFill>
                </w14:textFill>
              </w:rPr>
            </w:pPr>
            <w:r>
              <w:rPr>
                <w:rFonts w:hint="eastAsia" w:ascii="宋体" w:hAnsi="宋体"/>
                <w:bCs/>
                <w:color w:val="000000" w:themeColor="text1"/>
                <w:szCs w:val="21"/>
                <w14:textFill>
                  <w14:solidFill>
                    <w14:schemeClr w14:val="tx1"/>
                  </w14:solidFill>
                </w14:textFill>
              </w:rPr>
              <w:t>第（  ）页</w:t>
            </w:r>
          </w:p>
        </w:tc>
      </w:tr>
      <w:tr w14:paraId="150AE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1020" w:type="dxa"/>
            <w:vMerge w:val="continue"/>
            <w:vAlign w:val="center"/>
          </w:tcPr>
          <w:p w14:paraId="777EEB36">
            <w:pPr>
              <w:tabs>
                <w:tab w:val="left" w:pos="480"/>
              </w:tabs>
              <w:ind w:left="480" w:hanging="480"/>
              <w:jc w:val="center"/>
              <w:rPr>
                <w:rFonts w:ascii="宋体" w:hAnsi="宋体"/>
                <w:color w:val="000000" w:themeColor="text1"/>
                <w:szCs w:val="21"/>
                <w14:textFill>
                  <w14:solidFill>
                    <w14:schemeClr w14:val="tx1"/>
                  </w14:solidFill>
                </w14:textFill>
              </w:rPr>
            </w:pPr>
          </w:p>
        </w:tc>
        <w:tc>
          <w:tcPr>
            <w:tcW w:w="1585" w:type="dxa"/>
            <w:vMerge w:val="continue"/>
            <w:vAlign w:val="center"/>
          </w:tcPr>
          <w:p w14:paraId="649CEE7A">
            <w:pPr>
              <w:tabs>
                <w:tab w:val="left" w:pos="146"/>
              </w:tabs>
              <w:ind w:left="146"/>
              <w:rPr>
                <w:rFonts w:ascii="宋体" w:hAnsi="宋体"/>
                <w:color w:val="000000" w:themeColor="text1"/>
                <w:szCs w:val="21"/>
                <w14:textFill>
                  <w14:solidFill>
                    <w14:schemeClr w14:val="tx1"/>
                  </w14:solidFill>
                </w14:textFill>
              </w:rPr>
            </w:pPr>
          </w:p>
        </w:tc>
        <w:tc>
          <w:tcPr>
            <w:tcW w:w="3244" w:type="dxa"/>
            <w:shd w:val="clear" w:color="auto" w:fill="auto"/>
            <w:vAlign w:val="center"/>
          </w:tcPr>
          <w:p w14:paraId="35244C33">
            <w:pPr>
              <w:tabs>
                <w:tab w:val="left" w:pos="0"/>
              </w:tabs>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单位负责人为同一人或者存在直接控股、 管理关系的不同供应商，不得同时参加本采购项目（或采购包）投标（响应）。为本项目提供整体设计、规范编制或者项目管理、监理、检测等服务的供应商，不得再参与本项目投标（响应）。</w:t>
            </w:r>
          </w:p>
        </w:tc>
        <w:tc>
          <w:tcPr>
            <w:tcW w:w="1837" w:type="dxa"/>
            <w:vAlign w:val="center"/>
          </w:tcPr>
          <w:p w14:paraId="4425FE03">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vAlign w:val="center"/>
          </w:tcPr>
          <w:p w14:paraId="14DFDD3D">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7846E97F">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47C0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5621596D">
            <w:pPr>
              <w:tabs>
                <w:tab w:val="left" w:pos="480"/>
              </w:tabs>
              <w:ind w:left="480" w:hanging="480"/>
              <w:jc w:val="center"/>
              <w:rPr>
                <w:rFonts w:ascii="宋体" w:hAnsi="宋体"/>
                <w:color w:val="000000" w:themeColor="text1"/>
                <w:szCs w:val="21"/>
                <w14:textFill>
                  <w14:solidFill>
                    <w14:schemeClr w14:val="tx1"/>
                  </w14:solidFill>
                </w14:textFill>
              </w:rPr>
            </w:pPr>
          </w:p>
        </w:tc>
        <w:tc>
          <w:tcPr>
            <w:tcW w:w="1585" w:type="dxa"/>
            <w:vMerge w:val="continue"/>
            <w:vAlign w:val="center"/>
          </w:tcPr>
          <w:p w14:paraId="1B0D9D4E">
            <w:pPr>
              <w:tabs>
                <w:tab w:val="left" w:pos="146"/>
              </w:tabs>
              <w:ind w:left="146"/>
              <w:rPr>
                <w:rFonts w:ascii="宋体" w:hAnsi="宋体"/>
                <w:color w:val="000000" w:themeColor="text1"/>
                <w:szCs w:val="21"/>
                <w14:textFill>
                  <w14:solidFill>
                    <w14:schemeClr w14:val="tx1"/>
                  </w14:solidFill>
                </w14:textFill>
              </w:rPr>
            </w:pPr>
          </w:p>
        </w:tc>
        <w:tc>
          <w:tcPr>
            <w:tcW w:w="3244" w:type="dxa"/>
            <w:vAlign w:val="center"/>
          </w:tcPr>
          <w:p w14:paraId="48674400">
            <w:pPr>
              <w:tabs>
                <w:tab w:val="left" w:pos="0"/>
              </w:tabs>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37" w:type="dxa"/>
            <w:vAlign w:val="center"/>
          </w:tcPr>
          <w:p w14:paraId="1A7DA33A">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vAlign w:val="center"/>
          </w:tcPr>
          <w:p w14:paraId="60ED2CC0">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6E5A392B">
            <w:pPr>
              <w:tabs>
                <w:tab w:val="left" w:pos="0"/>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20D55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20" w:type="dxa"/>
            <w:vMerge w:val="continue"/>
            <w:vAlign w:val="center"/>
          </w:tcPr>
          <w:p w14:paraId="2CF26F24">
            <w:pPr>
              <w:tabs>
                <w:tab w:val="left" w:pos="480"/>
              </w:tabs>
              <w:ind w:left="480" w:hanging="480"/>
              <w:jc w:val="center"/>
              <w:rPr>
                <w:rFonts w:ascii="宋体" w:hAnsi="宋体"/>
                <w:color w:val="000000" w:themeColor="text1"/>
                <w:szCs w:val="21"/>
                <w14:textFill>
                  <w14:solidFill>
                    <w14:schemeClr w14:val="tx1"/>
                  </w14:solidFill>
                </w14:textFill>
              </w:rPr>
            </w:pPr>
          </w:p>
        </w:tc>
        <w:tc>
          <w:tcPr>
            <w:tcW w:w="1585" w:type="dxa"/>
            <w:vAlign w:val="center"/>
          </w:tcPr>
          <w:p w14:paraId="52B53FE4">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落实政府采购政策需满足的资格要求</w:t>
            </w:r>
          </w:p>
        </w:tc>
        <w:tc>
          <w:tcPr>
            <w:tcW w:w="3244" w:type="dxa"/>
            <w:vAlign w:val="center"/>
          </w:tcPr>
          <w:p w14:paraId="7993F7FC">
            <w:pPr>
              <w:tabs>
                <w:tab w:val="left" w:pos="0"/>
              </w:tabs>
              <w:rPr>
                <w:rFonts w:hint="eastAsia" w:ascii="宋体" w:hAnsi="宋体" w:cs="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本项目专门面向中小企业采购</w:t>
            </w:r>
          </w:p>
        </w:tc>
        <w:tc>
          <w:tcPr>
            <w:tcW w:w="1837" w:type="dxa"/>
            <w:vAlign w:val="center"/>
          </w:tcPr>
          <w:p w14:paraId="2B5696B9">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vAlign w:val="center"/>
          </w:tcPr>
          <w:p w14:paraId="61472695">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1A87A932">
            <w:pPr>
              <w:tabs>
                <w:tab w:val="left" w:pos="0"/>
              </w:tabs>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743E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5E6AC5FF">
            <w:pPr>
              <w:tabs>
                <w:tab w:val="left" w:pos="480"/>
              </w:tabs>
              <w:ind w:left="480" w:hanging="48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w:t>
            </w:r>
          </w:p>
          <w:p w14:paraId="1776314F">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w:t>
            </w:r>
          </w:p>
        </w:tc>
        <w:tc>
          <w:tcPr>
            <w:tcW w:w="1585" w:type="dxa"/>
            <w:shd w:val="clear" w:color="auto" w:fill="auto"/>
            <w:vAlign w:val="center"/>
          </w:tcPr>
          <w:p w14:paraId="6D16EAEC">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须满足带“★”号要求</w:t>
            </w:r>
          </w:p>
        </w:tc>
        <w:tc>
          <w:tcPr>
            <w:tcW w:w="3244" w:type="dxa"/>
            <w:shd w:val="clear" w:color="auto" w:fill="auto"/>
            <w:vAlign w:val="center"/>
          </w:tcPr>
          <w:p w14:paraId="06CE90A7">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837" w:type="dxa"/>
            <w:shd w:val="clear" w:color="auto" w:fill="auto"/>
            <w:vAlign w:val="center"/>
          </w:tcPr>
          <w:p w14:paraId="206777EC">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shd w:val="clear" w:color="auto" w:fill="auto"/>
            <w:vAlign w:val="center"/>
          </w:tcPr>
          <w:p w14:paraId="5B85AB33">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3745F962">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7E1B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vAlign w:val="center"/>
          </w:tcPr>
          <w:p w14:paraId="744C9053">
            <w:pPr>
              <w:tabs>
                <w:tab w:val="left" w:pos="480"/>
              </w:tabs>
              <w:ind w:left="480" w:hanging="480"/>
              <w:jc w:val="center"/>
              <w:rPr>
                <w:rFonts w:ascii="宋体" w:hAnsi="宋体"/>
                <w:color w:val="000000" w:themeColor="text1"/>
                <w:szCs w:val="21"/>
                <w14:textFill>
                  <w14:solidFill>
                    <w14:schemeClr w14:val="tx1"/>
                  </w14:solidFill>
                </w14:textFill>
              </w:rPr>
            </w:pPr>
          </w:p>
        </w:tc>
        <w:tc>
          <w:tcPr>
            <w:tcW w:w="1585" w:type="dxa"/>
            <w:shd w:val="clear" w:color="auto" w:fill="auto"/>
            <w:vAlign w:val="center"/>
          </w:tcPr>
          <w:p w14:paraId="7E5B4FB7">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合同履行期限须满足要求</w:t>
            </w:r>
          </w:p>
        </w:tc>
        <w:tc>
          <w:tcPr>
            <w:tcW w:w="3244" w:type="dxa"/>
            <w:shd w:val="clear" w:color="auto" w:fill="auto"/>
            <w:vAlign w:val="center"/>
          </w:tcPr>
          <w:p w14:paraId="54E22F91">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837" w:type="dxa"/>
            <w:shd w:val="clear" w:color="auto" w:fill="auto"/>
            <w:vAlign w:val="center"/>
          </w:tcPr>
          <w:p w14:paraId="06CDD79E">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shd w:val="clear" w:color="auto" w:fill="auto"/>
            <w:vAlign w:val="center"/>
          </w:tcPr>
          <w:p w14:paraId="6BCC4C60">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3B67262E">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789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11A49F2A">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585" w:type="dxa"/>
            <w:vAlign w:val="center"/>
          </w:tcPr>
          <w:p w14:paraId="05376D63">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响应报价未超出报价上限</w:t>
            </w:r>
          </w:p>
        </w:tc>
        <w:tc>
          <w:tcPr>
            <w:tcW w:w="3244" w:type="dxa"/>
            <w:vAlign w:val="center"/>
          </w:tcPr>
          <w:p w14:paraId="07362786">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837" w:type="dxa"/>
            <w:vAlign w:val="center"/>
          </w:tcPr>
          <w:p w14:paraId="6A1F4CCB">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vAlign w:val="center"/>
          </w:tcPr>
          <w:p w14:paraId="6B62EBAA">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092731F8">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0C42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0C25F89B">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585" w:type="dxa"/>
            <w:vAlign w:val="center"/>
          </w:tcPr>
          <w:p w14:paraId="2418896D">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3244" w:type="dxa"/>
            <w:vAlign w:val="center"/>
          </w:tcPr>
          <w:p w14:paraId="1CD554AC">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837" w:type="dxa"/>
            <w:vAlign w:val="center"/>
          </w:tcPr>
          <w:p w14:paraId="07A73028">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1854" w:type="dxa"/>
            <w:vAlign w:val="center"/>
          </w:tcPr>
          <w:p w14:paraId="73B560C8">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35B26E5C">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732D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60FA50FA">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585" w:type="dxa"/>
            <w:vAlign w:val="center"/>
          </w:tcPr>
          <w:p w14:paraId="7F6AA3C5">
            <w:pPr>
              <w:tabs>
                <w:tab w:val="left" w:pos="146"/>
              </w:tabs>
              <w:rPr>
                <w:rFonts w:ascii="宋体" w:hAnsi="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本项目不接受联合体投标</w:t>
            </w:r>
          </w:p>
        </w:tc>
        <w:tc>
          <w:tcPr>
            <w:tcW w:w="3244" w:type="dxa"/>
            <w:vAlign w:val="center"/>
          </w:tcPr>
          <w:p w14:paraId="525C34FA">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按磋商</w:t>
            </w:r>
            <w:r>
              <w:rPr>
                <w:rFonts w:hint="eastAsia" w:ascii="宋体" w:hAnsi="宋体"/>
                <w:bCs/>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要求</w:t>
            </w:r>
          </w:p>
        </w:tc>
        <w:tc>
          <w:tcPr>
            <w:tcW w:w="1837" w:type="dxa"/>
            <w:vAlign w:val="center"/>
          </w:tcPr>
          <w:p w14:paraId="73A1ADFD">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1854" w:type="dxa"/>
            <w:vAlign w:val="center"/>
          </w:tcPr>
          <w:p w14:paraId="5D1A7BF0">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7EDC6884">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14:paraId="0870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08E26D95">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1585" w:type="dxa"/>
            <w:vAlign w:val="center"/>
          </w:tcPr>
          <w:p w14:paraId="2442069C">
            <w:pPr>
              <w:tabs>
                <w:tab w:val="left" w:pos="146"/>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3244" w:type="dxa"/>
            <w:vAlign w:val="center"/>
          </w:tcPr>
          <w:p w14:paraId="5933EFDA">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按响应资料清单中规定提供“必须提交”的文件资料</w:t>
            </w:r>
          </w:p>
        </w:tc>
        <w:tc>
          <w:tcPr>
            <w:tcW w:w="1837" w:type="dxa"/>
            <w:vAlign w:val="center"/>
          </w:tcPr>
          <w:p w14:paraId="2438173E">
            <w:pPr>
              <w:tabs>
                <w:tab w:val="left" w:pos="480"/>
              </w:tabs>
              <w:ind w:left="480" w:hanging="480"/>
              <w:rPr>
                <w:rFonts w:ascii="宋体" w:hAnsi="宋体"/>
                <w:b/>
                <w:bCs/>
                <w:color w:val="000000" w:themeColor="text1"/>
                <w:szCs w:val="21"/>
                <w14:textFill>
                  <w14:solidFill>
                    <w14:schemeClr w14:val="tx1"/>
                  </w14:solidFill>
                </w14:textFill>
              </w:rPr>
            </w:pPr>
          </w:p>
        </w:tc>
        <w:tc>
          <w:tcPr>
            <w:tcW w:w="1854" w:type="dxa"/>
            <w:vAlign w:val="center"/>
          </w:tcPr>
          <w:p w14:paraId="39129340">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见磋商响应文件</w:t>
            </w:r>
          </w:p>
          <w:p w14:paraId="7020DBC7">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14:paraId="31D27AF5">
      <w:pPr>
        <w:tabs>
          <w:tab w:val="center" w:pos="4483"/>
        </w:tabs>
        <w:ind w:left="315" w:leftChars="5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注：1、以上材料将作为供应商资格性和符合性审核的重要内容之一，供应商必须严格按照其内容及序列要求在</w:t>
      </w:r>
      <w:r>
        <w:rPr>
          <w:rFonts w:hint="eastAsia" w:ascii="宋体" w:hAnsi="宋体"/>
          <w:bCs/>
          <w:color w:val="000000" w:themeColor="text1"/>
          <w:szCs w:val="21"/>
          <w14:textFill>
            <w14:solidFill>
              <w14:schemeClr w14:val="tx1"/>
            </w14:solidFill>
          </w14:textFill>
        </w:rPr>
        <w:t>磋商响应文件</w:t>
      </w:r>
      <w:r>
        <w:rPr>
          <w:rFonts w:hint="eastAsia" w:ascii="宋体" w:hAnsi="宋体"/>
          <w:color w:val="000000" w:themeColor="text1"/>
          <w:szCs w:val="21"/>
          <w14:textFill>
            <w14:solidFill>
              <w14:schemeClr w14:val="tx1"/>
            </w14:solidFill>
          </w14:textFill>
        </w:rPr>
        <w:t>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将会直接导致无效响应。</w:t>
      </w:r>
      <w:r>
        <w:rPr>
          <w:rFonts w:hint="eastAsia" w:ascii="宋体" w:hAnsi="宋体"/>
          <w:bCs/>
          <w:color w:val="000000" w:themeColor="text1"/>
          <w:szCs w:val="21"/>
          <w14:textFill>
            <w14:solidFill>
              <w14:schemeClr w14:val="tx1"/>
            </w14:solidFill>
          </w14:textFill>
        </w:rPr>
        <w:t>不能继续参与后续磋商，有效供应商少于3家的将导致废标。废标后，除采购任务取消情形外，应当重新组织采购。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14:paraId="72A5DE42">
      <w:pPr>
        <w:tabs>
          <w:tab w:val="center" w:pos="4483"/>
        </w:tabs>
        <w:ind w:left="315" w:leftChars="50" w:hanging="210" w:hangingChars="1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、供应商的磋商响应文件为法定代表人（负责人）签署并由法定代表人（负责人）亲自递交响应文件和参加磋商会的，可不提供“法定代表人（负责人）授权书”及“代理人身份证”。</w:t>
      </w:r>
    </w:p>
    <w:p w14:paraId="4E6062B3">
      <w:pPr>
        <w:adjustRightInd w:val="0"/>
        <w:snapToGrid w:val="0"/>
        <w:spacing w:line="300" w:lineRule="auto"/>
        <w:rPr>
          <w:rFonts w:ascii="宋体" w:hAnsi="宋体"/>
          <w:color w:val="000000" w:themeColor="text1"/>
          <w:szCs w:val="21"/>
          <w14:textFill>
            <w14:solidFill>
              <w14:schemeClr w14:val="tx1"/>
            </w14:solidFill>
          </w14:textFill>
        </w:rPr>
      </w:pPr>
    </w:p>
    <w:p w14:paraId="25A8E779">
      <w:pPr>
        <w:adjustRightInd w:val="0"/>
        <w:snapToGrid w:val="0"/>
        <w:spacing w:line="300" w:lineRule="auto"/>
        <w:rPr>
          <w:rFonts w:ascii="宋体" w:hAnsi="宋体"/>
          <w:color w:val="000000" w:themeColor="text1"/>
          <w:szCs w:val="21"/>
          <w14:textFill>
            <w14:solidFill>
              <w14:schemeClr w14:val="tx1"/>
            </w14:solidFill>
          </w14:textFill>
        </w:rPr>
      </w:pPr>
    </w:p>
    <w:p w14:paraId="039DFC6D">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供应商法定代表人（负责人）或授权代理人（签字）：</w:t>
      </w:r>
      <w:r>
        <w:rPr>
          <w:rFonts w:hint="eastAsia" w:ascii="宋体" w:hAnsi="宋体"/>
          <w:bCs/>
          <w:color w:val="000000" w:themeColor="text1"/>
          <w:u w:val="single"/>
          <w14:textFill>
            <w14:solidFill>
              <w14:schemeClr w14:val="tx1"/>
            </w14:solidFill>
          </w14:textFill>
        </w:rPr>
        <w:t xml:space="preserve">                            </w:t>
      </w:r>
    </w:p>
    <w:p w14:paraId="6ABB8193">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供应商名称（签章）：</w:t>
      </w:r>
      <w:r>
        <w:rPr>
          <w:rFonts w:hint="eastAsia" w:ascii="宋体" w:hAnsi="宋体"/>
          <w:color w:val="000000" w:themeColor="text1"/>
          <w:szCs w:val="21"/>
          <w:u w:val="single"/>
          <w14:textFill>
            <w14:solidFill>
              <w14:schemeClr w14:val="tx1"/>
            </w14:solidFill>
          </w14:textFill>
        </w:rPr>
        <w:t xml:space="preserve">                        </w:t>
      </w:r>
    </w:p>
    <w:p w14:paraId="17015F86">
      <w:pPr>
        <w:adjustRightInd w:val="0"/>
        <w:snapToGrid w:val="0"/>
        <w:spacing w:line="300" w:lineRule="auto"/>
        <w:rPr>
          <w:rFonts w:ascii="宋体" w:hAnsi="宋体"/>
          <w:b/>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63A7F4A9">
      <w:pPr>
        <w:pStyle w:val="5"/>
        <w:rPr>
          <w:rFonts w:hAnsi="宋体"/>
          <w:color w:val="000000" w:themeColor="text1"/>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14:paraId="3E0C7F81">
      <w:pPr>
        <w:pStyle w:val="3"/>
        <w:numPr>
          <w:ilvl w:val="1"/>
          <w:numId w:val="0"/>
        </w:numPr>
        <w:spacing w:line="360" w:lineRule="auto"/>
        <w:rPr>
          <w:rFonts w:ascii="宋体" w:hAnsi="宋体"/>
          <w:color w:val="000000" w:themeColor="text1"/>
          <w14:textFill>
            <w14:solidFill>
              <w14:schemeClr w14:val="tx1"/>
            </w14:solidFill>
          </w14:textFill>
        </w:rPr>
      </w:pPr>
      <w:bookmarkStart w:id="290" w:name="_Toc200414515"/>
      <w:bookmarkStart w:id="291" w:name="_Toc25700"/>
      <w:bookmarkStart w:id="292" w:name="_Toc469160785"/>
      <w:r>
        <w:rPr>
          <w:rFonts w:hint="eastAsia" w:ascii="宋体" w:hAnsi="宋体"/>
          <w:color w:val="000000" w:themeColor="text1"/>
          <w:sz w:val="28"/>
          <w:szCs w:val="28"/>
          <w14:textFill>
            <w14:solidFill>
              <w14:schemeClr w14:val="tx1"/>
            </w14:solidFill>
          </w14:textFill>
        </w:rPr>
        <w:t>（一）无重大违法记录声明函</w:t>
      </w:r>
      <w:bookmarkEnd w:id="290"/>
      <w:bookmarkEnd w:id="291"/>
      <w:bookmarkEnd w:id="292"/>
    </w:p>
    <w:p w14:paraId="5413A78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致（代理机构）：</w:t>
      </w:r>
    </w:p>
    <w:p w14:paraId="0059A73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针对贵方组织的（项目名称）：</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u w:val="single"/>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w:t>
      </w:r>
      <w:r>
        <w:rPr>
          <w:rFonts w:hint="eastAsia" w:ascii="宋体" w:hAnsi="宋体"/>
          <w:color w:val="000000" w:themeColor="text1"/>
          <w:szCs w:val="21"/>
          <w14:textFill>
            <w14:solidFill>
              <w14:schemeClr w14:val="tx1"/>
            </w14:solidFill>
          </w14:textFill>
        </w:rPr>
        <w:t>，我方郑重承诺：</w:t>
      </w:r>
    </w:p>
    <w:p w14:paraId="0B7A951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参加本次政府采购活动前三年内，在经营活动中没有重大违法记录。</w:t>
      </w:r>
    </w:p>
    <w:p w14:paraId="13AA093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本公司对上述声明的真实性负责。如有虚假，将依法承担相关责任。</w:t>
      </w:r>
    </w:p>
    <w:p w14:paraId="3C65A67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特此声明。</w:t>
      </w:r>
    </w:p>
    <w:p w14:paraId="7411C79D">
      <w:pPr>
        <w:spacing w:line="360" w:lineRule="auto"/>
        <w:ind w:firstLine="660"/>
        <w:rPr>
          <w:rFonts w:ascii="宋体" w:hAnsi="宋体"/>
          <w:color w:val="000000" w:themeColor="text1"/>
          <w:szCs w:val="21"/>
          <w14:textFill>
            <w14:solidFill>
              <w14:schemeClr w14:val="tx1"/>
            </w14:solidFill>
          </w14:textFill>
        </w:rPr>
      </w:pPr>
    </w:p>
    <w:p w14:paraId="10100406">
      <w:pPr>
        <w:spacing w:line="360" w:lineRule="auto"/>
        <w:ind w:firstLine="660"/>
        <w:rPr>
          <w:rFonts w:ascii="宋体" w:hAnsi="宋体"/>
          <w:color w:val="000000" w:themeColor="text1"/>
          <w:szCs w:val="21"/>
          <w14:textFill>
            <w14:solidFill>
              <w14:schemeClr w14:val="tx1"/>
            </w14:solidFill>
          </w14:textFill>
        </w:rPr>
      </w:pPr>
    </w:p>
    <w:p w14:paraId="71D47E48">
      <w:pPr>
        <w:spacing w:line="360" w:lineRule="auto"/>
        <w:ind w:firstLine="660"/>
        <w:rPr>
          <w:rFonts w:ascii="宋体" w:hAnsi="宋体"/>
          <w:color w:val="000000" w:themeColor="text1"/>
          <w:szCs w:val="21"/>
          <w14:textFill>
            <w14:solidFill>
              <w14:schemeClr w14:val="tx1"/>
            </w14:solidFill>
          </w14:textFill>
        </w:rPr>
      </w:pPr>
    </w:p>
    <w:p w14:paraId="02045A35">
      <w:pPr>
        <w:spacing w:line="360" w:lineRule="auto"/>
        <w:ind w:firstLine="660"/>
        <w:rPr>
          <w:rFonts w:ascii="宋体" w:hAnsi="宋体"/>
          <w:color w:val="000000" w:themeColor="text1"/>
          <w:szCs w:val="21"/>
          <w14:textFill>
            <w14:solidFill>
              <w14:schemeClr w14:val="tx1"/>
            </w14:solidFill>
          </w14:textFill>
        </w:rPr>
      </w:pPr>
    </w:p>
    <w:p w14:paraId="7766F578">
      <w:pPr>
        <w:spacing w:line="360" w:lineRule="auto"/>
        <w:ind w:firstLine="660"/>
        <w:rPr>
          <w:rFonts w:ascii="宋体" w:hAnsi="宋体"/>
          <w:color w:val="000000" w:themeColor="text1"/>
          <w:szCs w:val="21"/>
          <w14:textFill>
            <w14:solidFill>
              <w14:schemeClr w14:val="tx1"/>
            </w14:solidFill>
          </w14:textFill>
        </w:rPr>
      </w:pPr>
    </w:p>
    <w:p w14:paraId="344283F7">
      <w:pPr>
        <w:spacing w:line="360" w:lineRule="auto"/>
        <w:ind w:firstLine="660"/>
        <w:rPr>
          <w:rFonts w:ascii="宋体" w:hAnsi="宋体"/>
          <w:color w:val="000000" w:themeColor="text1"/>
          <w:szCs w:val="21"/>
          <w14:textFill>
            <w14:solidFill>
              <w14:schemeClr w14:val="tx1"/>
            </w14:solidFill>
          </w14:textFill>
        </w:rPr>
      </w:pPr>
    </w:p>
    <w:p w14:paraId="52D06ACF">
      <w:pPr>
        <w:spacing w:line="360" w:lineRule="auto"/>
        <w:ind w:firstLine="660"/>
        <w:rPr>
          <w:rFonts w:ascii="宋体" w:hAnsi="宋体"/>
          <w:color w:val="000000" w:themeColor="text1"/>
          <w:szCs w:val="21"/>
          <w14:textFill>
            <w14:solidFill>
              <w14:schemeClr w14:val="tx1"/>
            </w14:solidFill>
          </w14:textFill>
        </w:rPr>
      </w:pPr>
    </w:p>
    <w:p w14:paraId="3E013B14">
      <w:pPr>
        <w:spacing w:line="360" w:lineRule="auto"/>
        <w:ind w:firstLine="660"/>
        <w:rPr>
          <w:rFonts w:ascii="宋体" w:hAnsi="宋体"/>
          <w:color w:val="000000" w:themeColor="text1"/>
          <w:szCs w:val="21"/>
          <w14:textFill>
            <w14:solidFill>
              <w14:schemeClr w14:val="tx1"/>
            </w14:solidFill>
          </w14:textFill>
        </w:rPr>
      </w:pPr>
    </w:p>
    <w:p w14:paraId="5DBC63EB">
      <w:pPr>
        <w:spacing w:line="360" w:lineRule="auto"/>
        <w:ind w:firstLine="660"/>
        <w:rPr>
          <w:rFonts w:ascii="宋体" w:hAnsi="宋体"/>
          <w:color w:val="000000" w:themeColor="text1"/>
          <w:szCs w:val="21"/>
          <w14:textFill>
            <w14:solidFill>
              <w14:schemeClr w14:val="tx1"/>
            </w14:solidFill>
          </w14:textFill>
        </w:rPr>
      </w:pPr>
    </w:p>
    <w:p w14:paraId="5CD6689D">
      <w:pPr>
        <w:spacing w:line="360" w:lineRule="auto"/>
        <w:ind w:firstLine="660"/>
        <w:rPr>
          <w:rFonts w:ascii="宋体" w:hAnsi="宋体"/>
          <w:color w:val="000000" w:themeColor="text1"/>
          <w:szCs w:val="21"/>
          <w14:textFill>
            <w14:solidFill>
              <w14:schemeClr w14:val="tx1"/>
            </w14:solidFill>
          </w14:textFill>
        </w:rPr>
      </w:pPr>
    </w:p>
    <w:p w14:paraId="007ED1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供应商法定代表人（负责人）或授权代理人（签字）：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438501A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15544D0E">
      <w:pPr>
        <w:spacing w:line="360" w:lineRule="auto"/>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xml:space="preserve">                       </w:t>
      </w:r>
    </w:p>
    <w:p w14:paraId="0E453865">
      <w:pPr>
        <w:pStyle w:val="5"/>
        <w:spacing w:line="360" w:lineRule="auto"/>
        <w:ind w:left="420" w:firstLine="0"/>
        <w:rPr>
          <w:rFonts w:hAnsi="宋体"/>
          <w:color w:val="000000" w:themeColor="text1"/>
          <w14:textFill>
            <w14:solidFill>
              <w14:schemeClr w14:val="tx1"/>
            </w14:solidFill>
          </w14:textFill>
        </w:rPr>
      </w:pPr>
    </w:p>
    <w:p w14:paraId="50CBECEE">
      <w:pPr>
        <w:pStyle w:val="5"/>
        <w:spacing w:line="360" w:lineRule="auto"/>
        <w:ind w:left="420" w:firstLine="0"/>
        <w:rPr>
          <w:rFonts w:hAnsi="宋体"/>
          <w:color w:val="000000" w:themeColor="text1"/>
          <w14:textFill>
            <w14:solidFill>
              <w14:schemeClr w14:val="tx1"/>
            </w14:solidFill>
          </w14:textFill>
        </w:rPr>
      </w:pPr>
    </w:p>
    <w:p w14:paraId="12B2796D">
      <w:pPr>
        <w:pStyle w:val="5"/>
        <w:spacing w:line="360" w:lineRule="auto"/>
        <w:ind w:left="420" w:firstLine="0"/>
        <w:rPr>
          <w:rFonts w:hAnsi="宋体"/>
          <w:color w:val="000000" w:themeColor="text1"/>
          <w14:textFill>
            <w14:solidFill>
              <w14:schemeClr w14:val="tx1"/>
            </w14:solidFill>
          </w14:textFill>
        </w:rPr>
      </w:pPr>
    </w:p>
    <w:p w14:paraId="4909CE53">
      <w:pPr>
        <w:pStyle w:val="5"/>
        <w:spacing w:line="360" w:lineRule="auto"/>
        <w:ind w:left="420" w:firstLine="0"/>
        <w:rPr>
          <w:rFonts w:hAnsi="宋体"/>
          <w:color w:val="000000" w:themeColor="text1"/>
          <w14:textFill>
            <w14:solidFill>
              <w14:schemeClr w14:val="tx1"/>
            </w14:solidFill>
          </w14:textFill>
        </w:rPr>
      </w:pPr>
    </w:p>
    <w:p w14:paraId="00345494">
      <w:pPr>
        <w:pStyle w:val="5"/>
        <w:spacing w:line="360" w:lineRule="auto"/>
        <w:ind w:left="420" w:firstLine="0"/>
        <w:rPr>
          <w:rFonts w:hAnsi="宋体"/>
          <w:color w:val="000000" w:themeColor="text1"/>
          <w14:textFill>
            <w14:solidFill>
              <w14:schemeClr w14:val="tx1"/>
            </w14:solidFill>
          </w14:textFill>
        </w:rPr>
      </w:pPr>
    </w:p>
    <w:p w14:paraId="67C9A69F">
      <w:pPr>
        <w:pStyle w:val="5"/>
        <w:spacing w:line="360" w:lineRule="auto"/>
        <w:ind w:left="420" w:firstLine="0"/>
        <w:rPr>
          <w:rFonts w:hAnsi="宋体"/>
          <w:color w:val="000000" w:themeColor="text1"/>
          <w14:textFill>
            <w14:solidFill>
              <w14:schemeClr w14:val="tx1"/>
            </w14:solidFill>
          </w14:textFill>
        </w:rPr>
      </w:pPr>
    </w:p>
    <w:p w14:paraId="6229E1F0">
      <w:pPr>
        <w:pStyle w:val="5"/>
        <w:spacing w:line="360" w:lineRule="auto"/>
        <w:ind w:left="420" w:firstLine="0"/>
        <w:rPr>
          <w:rFonts w:hAnsi="宋体"/>
          <w:color w:val="000000" w:themeColor="text1"/>
          <w14:textFill>
            <w14:solidFill>
              <w14:schemeClr w14:val="tx1"/>
            </w14:solidFill>
          </w14:textFill>
        </w:rPr>
      </w:pPr>
    </w:p>
    <w:p w14:paraId="7C5E406D">
      <w:pPr>
        <w:pStyle w:val="5"/>
        <w:spacing w:line="360" w:lineRule="auto"/>
        <w:ind w:left="420" w:firstLine="0"/>
        <w:rPr>
          <w:rFonts w:hAnsi="宋体"/>
          <w:color w:val="000000" w:themeColor="text1"/>
          <w14:textFill>
            <w14:solidFill>
              <w14:schemeClr w14:val="tx1"/>
            </w14:solidFill>
          </w14:textFill>
        </w:rPr>
      </w:pPr>
    </w:p>
    <w:p w14:paraId="0E8B6CF7">
      <w:pPr>
        <w:pStyle w:val="3"/>
        <w:numPr>
          <w:ilvl w:val="1"/>
          <w:numId w:val="0"/>
        </w:numPr>
        <w:spacing w:line="360" w:lineRule="auto"/>
        <w:rPr>
          <w:rFonts w:ascii="宋体" w:hAnsi="宋体"/>
          <w:color w:val="000000" w:themeColor="text1"/>
          <w:kern w:val="0"/>
          <w:sz w:val="28"/>
          <w:szCs w:val="28"/>
          <w14:textFill>
            <w14:solidFill>
              <w14:schemeClr w14:val="tx1"/>
            </w14:solidFill>
          </w14:textFill>
        </w:rPr>
      </w:pPr>
      <w:bookmarkStart w:id="293" w:name="_Toc469160786"/>
      <w:bookmarkStart w:id="294" w:name="_Toc200414516"/>
      <w:bookmarkStart w:id="295" w:name="_Toc28390"/>
      <w:r>
        <w:rPr>
          <w:rFonts w:hint="eastAsia" w:ascii="宋体" w:hAnsi="宋体"/>
          <w:color w:val="000000" w:themeColor="text1"/>
          <w:kern w:val="0"/>
          <w:sz w:val="28"/>
          <w:szCs w:val="28"/>
          <w14:textFill>
            <w14:solidFill>
              <w14:schemeClr w14:val="tx1"/>
            </w14:solidFill>
          </w14:textFill>
        </w:rPr>
        <w:t>（二）法定代表人（负责人）证明书</w:t>
      </w:r>
      <w:bookmarkEnd w:id="293"/>
      <w:bookmarkEnd w:id="294"/>
      <w:bookmarkEnd w:id="295"/>
    </w:p>
    <w:p w14:paraId="7F8C698C">
      <w:pPr>
        <w:pStyle w:val="5"/>
        <w:spacing w:line="360" w:lineRule="auto"/>
        <w:rPr>
          <w:rFonts w:hAnsi="宋体"/>
          <w:color w:val="000000" w:themeColor="text1"/>
          <w14:textFill>
            <w14:solidFill>
              <w14:schemeClr w14:val="tx1"/>
            </w14:solidFill>
          </w14:textFill>
        </w:rPr>
      </w:pPr>
    </w:p>
    <w:p w14:paraId="28F4AE56">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14:paraId="33C64703">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14:paraId="77BC47D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14:paraId="73E49A58">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14:paraId="0AA205AD">
      <w:pPr>
        <w:spacing w:line="360" w:lineRule="auto"/>
        <w:ind w:firstLine="420" w:firstLineChars="200"/>
        <w:rPr>
          <w:rFonts w:ascii="宋体" w:hAnsi="宋体"/>
          <w:color w:val="000000" w:themeColor="text1"/>
          <w14:textFill>
            <w14:solidFill>
              <w14:schemeClr w14:val="tx1"/>
            </w14:solidFill>
          </w14:textFill>
        </w:rPr>
      </w:pPr>
    </w:p>
    <w:p w14:paraId="0ACC9C0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14:paraId="42E59DDC">
      <w:pPr>
        <w:spacing w:line="360" w:lineRule="auto"/>
        <w:ind w:firstLine="420" w:firstLineChars="200"/>
        <w:rPr>
          <w:rFonts w:ascii="宋体" w:hAnsi="宋体"/>
          <w:color w:val="000000" w:themeColor="text1"/>
          <w14:textFill>
            <w14:solidFill>
              <w14:schemeClr w14:val="tx1"/>
            </w14:solidFill>
          </w14:textFill>
        </w:rPr>
      </w:pPr>
    </w:p>
    <w:p w14:paraId="5BCA9D4A">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14:paraId="5F576325">
      <w:pPr>
        <w:pStyle w:val="5"/>
        <w:spacing w:line="360" w:lineRule="auto"/>
        <w:rPr>
          <w:rFonts w:hAnsi="宋体"/>
          <w:color w:val="000000" w:themeColor="text1"/>
          <w14:textFill>
            <w14:solidFill>
              <w14:schemeClr w14:val="tx1"/>
            </w14:solidFill>
          </w14:textFill>
        </w:rPr>
      </w:pPr>
    </w:p>
    <w:p w14:paraId="67E66769">
      <w:pPr>
        <w:pStyle w:val="5"/>
        <w:spacing w:line="360" w:lineRule="auto"/>
        <w:rPr>
          <w:rFonts w:hAnsi="宋体"/>
          <w:color w:val="000000" w:themeColor="text1"/>
          <w14:textFill>
            <w14:solidFill>
              <w14:schemeClr w14:val="tx1"/>
            </w14:solidFill>
          </w14:textFill>
        </w:rPr>
      </w:pPr>
    </w:p>
    <w:p w14:paraId="656C5071">
      <w:pPr>
        <w:pStyle w:val="5"/>
        <w:spacing w:line="360" w:lineRule="auto"/>
        <w:rPr>
          <w:rFonts w:hAnsi="宋体"/>
          <w:color w:val="000000" w:themeColor="text1"/>
          <w14:textFill>
            <w14:solidFill>
              <w14:schemeClr w14:val="tx1"/>
            </w14:solidFill>
          </w14:textFill>
        </w:rPr>
      </w:pPr>
    </w:p>
    <w:p w14:paraId="446CB811">
      <w:pPr>
        <w:pStyle w:val="5"/>
        <w:spacing w:line="360" w:lineRule="auto"/>
        <w:ind w:firstLine="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自选图形 19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5C9CB8F2">
                            <w:pPr>
                              <w:rPr>
                                <w:rFonts w:ascii="宋体" w:hAnsi="宋体"/>
                                <w:szCs w:val="21"/>
                              </w:rPr>
                            </w:pPr>
                          </w:p>
                          <w:p w14:paraId="18FA94A1">
                            <w:pPr>
                              <w:rPr>
                                <w:rFonts w:ascii="宋体" w:hAnsi="宋体"/>
                                <w:szCs w:val="21"/>
                              </w:rPr>
                            </w:pPr>
                          </w:p>
                          <w:p w14:paraId="69B3AF90">
                            <w:pPr>
                              <w:rPr>
                                <w:rFonts w:ascii="宋体" w:hAnsi="宋体"/>
                                <w:szCs w:val="21"/>
                              </w:rPr>
                            </w:pPr>
                          </w:p>
                          <w:p w14:paraId="630739CD">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3"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013vbX&#10;AAAACgEAAA8AAAAAAAAAAQAgAAAAIgAAAGRycy9kb3ducmV2LnhtbFBLAQIUABQAAAAIAIdO4kBG&#10;xe6UWgIAAKYEAAAOAAAAAAAAAAEAIAAAACYBAABkcnMvZTJvRG9jLnhtbFBLBQYAAAAABgAGAFkB&#10;AADyBQAAAAA=&#10;">
                <v:fill on="t" focussize="0,0"/>
                <v:stroke color="#000000" miterlimit="8" joinstyle="miter"/>
                <v:imagedata o:title=""/>
                <o:lock v:ext="edit" aspectratio="f"/>
                <v:textbox>
                  <w:txbxContent>
                    <w:p w14:paraId="5C9CB8F2">
                      <w:pPr>
                        <w:rPr>
                          <w:rFonts w:ascii="宋体" w:hAnsi="宋体"/>
                          <w:szCs w:val="21"/>
                        </w:rPr>
                      </w:pPr>
                    </w:p>
                    <w:p w14:paraId="18FA94A1">
                      <w:pPr>
                        <w:rPr>
                          <w:rFonts w:ascii="宋体" w:hAnsi="宋体"/>
                          <w:szCs w:val="21"/>
                        </w:rPr>
                      </w:pPr>
                    </w:p>
                    <w:p w14:paraId="69B3AF90">
                      <w:pPr>
                        <w:rPr>
                          <w:rFonts w:ascii="宋体" w:hAnsi="宋体"/>
                          <w:szCs w:val="21"/>
                        </w:rPr>
                      </w:pPr>
                    </w:p>
                    <w:p w14:paraId="630739CD">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14:textFill>
            <w14:solidFill>
              <w14:schemeClr w14:val="tx1"/>
            </w14:solidFill>
          </w14:textFill>
        </w:rPr>
        <w:t xml:space="preserve">    </w:t>
      </w:r>
    </w:p>
    <w:p w14:paraId="75092FB9">
      <w:pPr>
        <w:pStyle w:val="5"/>
        <w:spacing w:line="360" w:lineRule="auto"/>
        <w:ind w:firstLine="0"/>
        <w:rPr>
          <w:rFonts w:hAnsi="宋体"/>
          <w:color w:val="000000" w:themeColor="text1"/>
          <w14:textFill>
            <w14:solidFill>
              <w14:schemeClr w14:val="tx1"/>
            </w14:solidFill>
          </w14:textFill>
        </w:rPr>
      </w:pPr>
    </w:p>
    <w:p w14:paraId="3133DCD8">
      <w:pPr>
        <w:pStyle w:val="5"/>
        <w:spacing w:line="360" w:lineRule="auto"/>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14:paraId="673FB30B">
      <w:pPr>
        <w:pStyle w:val="5"/>
        <w:spacing w:line="360" w:lineRule="auto"/>
        <w:ind w:firstLine="0"/>
        <w:rPr>
          <w:rFonts w:hAnsi="宋体"/>
          <w:color w:val="000000" w:themeColor="text1"/>
          <w14:textFill>
            <w14:solidFill>
              <w14:schemeClr w14:val="tx1"/>
            </w14:solidFill>
          </w14:textFill>
        </w:rPr>
      </w:pPr>
    </w:p>
    <w:p w14:paraId="4C940AC2">
      <w:pPr>
        <w:pStyle w:val="5"/>
        <w:spacing w:line="360" w:lineRule="auto"/>
        <w:rPr>
          <w:rFonts w:hAnsi="宋体"/>
          <w:color w:val="000000" w:themeColor="text1"/>
          <w14:textFill>
            <w14:solidFill>
              <w14:schemeClr w14:val="tx1"/>
            </w14:solidFill>
          </w14:textFill>
        </w:rPr>
      </w:pPr>
    </w:p>
    <w:p w14:paraId="287699CC">
      <w:pPr>
        <w:pStyle w:val="5"/>
        <w:spacing w:line="360" w:lineRule="auto"/>
        <w:rPr>
          <w:rFonts w:hAnsi="宋体"/>
          <w:color w:val="000000" w:themeColor="text1"/>
          <w14:textFill>
            <w14:solidFill>
              <w14:schemeClr w14:val="tx1"/>
            </w14:solidFill>
          </w14:textFill>
        </w:rPr>
      </w:pPr>
    </w:p>
    <w:p w14:paraId="3F651AC5">
      <w:pPr>
        <w:pStyle w:val="5"/>
        <w:spacing w:line="360" w:lineRule="auto"/>
        <w:rPr>
          <w:rFonts w:hAnsi="宋体"/>
          <w:color w:val="000000" w:themeColor="text1"/>
          <w14:textFill>
            <w14:solidFill>
              <w14:schemeClr w14:val="tx1"/>
            </w14:solidFill>
          </w14:textFill>
        </w:rPr>
      </w:pPr>
    </w:p>
    <w:p w14:paraId="7CFC74AB">
      <w:pPr>
        <w:pStyle w:val="5"/>
        <w:spacing w:line="360" w:lineRule="auto"/>
        <w:rPr>
          <w:rFonts w:hAnsi="宋体"/>
          <w:color w:val="000000" w:themeColor="text1"/>
          <w14:textFill>
            <w14:solidFill>
              <w14:schemeClr w14:val="tx1"/>
            </w14:solidFill>
          </w14:textFill>
        </w:rPr>
      </w:pPr>
    </w:p>
    <w:p w14:paraId="59776450">
      <w:pPr>
        <w:pStyle w:val="5"/>
        <w:spacing w:line="360" w:lineRule="auto"/>
        <w:rPr>
          <w:rFonts w:hAnsi="宋体"/>
          <w:color w:val="000000" w:themeColor="text1"/>
          <w14:textFill>
            <w14:solidFill>
              <w14:schemeClr w14:val="tx1"/>
            </w14:solidFill>
          </w14:textFill>
        </w:rPr>
      </w:pPr>
    </w:p>
    <w:p w14:paraId="59FB7744">
      <w:pPr>
        <w:pStyle w:val="5"/>
        <w:spacing w:line="360" w:lineRule="auto"/>
        <w:rPr>
          <w:rFonts w:hAnsi="宋体"/>
          <w:color w:val="000000" w:themeColor="text1"/>
          <w14:textFill>
            <w14:solidFill>
              <w14:schemeClr w14:val="tx1"/>
            </w14:solidFill>
          </w14:textFill>
        </w:rPr>
      </w:pPr>
    </w:p>
    <w:p w14:paraId="1B15495A">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96" w:name="_Toc200414517"/>
      <w:bookmarkStart w:id="297" w:name="_Toc469160787"/>
      <w:bookmarkStart w:id="298" w:name="_Toc17841"/>
      <w:r>
        <w:rPr>
          <w:rFonts w:hint="eastAsia" w:ascii="宋体" w:hAnsi="宋体"/>
          <w:color w:val="000000" w:themeColor="text1"/>
          <w:sz w:val="28"/>
          <w:szCs w:val="28"/>
          <w14:textFill>
            <w14:solidFill>
              <w14:schemeClr w14:val="tx1"/>
            </w14:solidFill>
          </w14:textFill>
        </w:rPr>
        <w:t>（三）法定代表人（负责人）授权书</w:t>
      </w:r>
      <w:bookmarkEnd w:id="296"/>
      <w:bookmarkEnd w:id="297"/>
      <w:bookmarkEnd w:id="298"/>
    </w:p>
    <w:p w14:paraId="7F6BA86A">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（供应商名称）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（供应商名称）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为我公司代理人，以本公司的名义参加广东业信采购招标有限公司组织的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项目名称，由供应商填写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磋商项目（项目编号:</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14:paraId="6594AAC5">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14:paraId="25A14AE3">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14:paraId="50298110">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14:paraId="53EF72B0">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14:paraId="610AADA8">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w:t>
      </w:r>
      <w:r>
        <w:rPr>
          <w:rFonts w:hint="eastAsia" w:ascii="宋体" w:hAnsi="宋体"/>
          <w:bCs/>
          <w:color w:val="000000" w:themeColor="text1"/>
          <w:kern w:val="0"/>
          <w:szCs w:val="21"/>
          <w:u w:val="single"/>
          <w14:textFill>
            <w14:solidFill>
              <w14:schemeClr w14:val="tx1"/>
            </w14:solidFill>
          </w14:textFill>
        </w:rPr>
        <w:t xml:space="preserve">          （名称并加盖公章）                                         </w:t>
      </w:r>
    </w:p>
    <w:p w14:paraId="24E08F0B">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14:paraId="279C6356">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1EBA463F">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14:paraId="2125E4A5">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（注：供应商的磋商响应文件为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亲自递交磋商响应文件和参加磋商的，不须提供该委托书，但需提供法定代表人（负责人）证明书及法定代表人（负责人）的身份证复印件。）</w:t>
      </w:r>
    </w:p>
    <w:p w14:paraId="67C7B00E">
      <w:pPr>
        <w:spacing w:line="360" w:lineRule="auto"/>
        <w:rPr>
          <w:rFonts w:ascii="宋体" w:hAnsi="宋体"/>
          <w:color w:val="000000" w:themeColor="text1"/>
          <w:szCs w:val="21"/>
          <w14:textFill>
            <w14:solidFill>
              <w14:schemeClr w14:val="tx1"/>
            </w14:solidFill>
          </w14:textFill>
        </w:rPr>
      </w:pPr>
    </w:p>
    <w:p w14:paraId="6214F901">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2" name="自选图形 192"/>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14:paraId="248A3C9A">
                            <w:pPr>
                              <w:rPr>
                                <w:rFonts w:ascii="宋体" w:hAnsi="宋体"/>
                                <w:szCs w:val="21"/>
                              </w:rPr>
                            </w:pPr>
                          </w:p>
                          <w:p w14:paraId="2A0819E3">
                            <w:pPr>
                              <w:rPr>
                                <w:rFonts w:ascii="宋体" w:hAnsi="宋体"/>
                                <w:szCs w:val="21"/>
                              </w:rPr>
                            </w:pPr>
                          </w:p>
                          <w:p w14:paraId="51824FF6">
                            <w:pPr>
                              <w:rPr>
                                <w:rFonts w:ascii="宋体" w:hAnsi="宋体"/>
                                <w:szCs w:val="21"/>
                              </w:rPr>
                            </w:pPr>
                          </w:p>
                          <w:p w14:paraId="45D34E30">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192"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qxkB&#10;2AAAAAoBAAAPAAAAAAAAAAEAIAAAACIAAABkcnMvZG93bnJldi54bWxQSwECFAAUAAAACACHTuJA&#10;fAi9BFoCAACmBAAADgAAAAAAAAABACAAAAAnAQAAZHJzL2Uyb0RvYy54bWxQSwUGAAAAAAYABgBZ&#10;AQAA8wUAAAAA&#10;">
                <v:fill on="t" focussize="0,0"/>
                <v:stroke color="#000000" miterlimit="8" joinstyle="miter"/>
                <v:imagedata o:title=""/>
                <o:lock v:ext="edit" aspectratio="f"/>
                <v:textbox>
                  <w:txbxContent>
                    <w:p w14:paraId="248A3C9A">
                      <w:pPr>
                        <w:rPr>
                          <w:rFonts w:ascii="宋体" w:hAnsi="宋体"/>
                          <w:szCs w:val="21"/>
                        </w:rPr>
                      </w:pPr>
                    </w:p>
                    <w:p w14:paraId="2A0819E3">
                      <w:pPr>
                        <w:rPr>
                          <w:rFonts w:ascii="宋体" w:hAnsi="宋体"/>
                          <w:szCs w:val="21"/>
                        </w:rPr>
                      </w:pPr>
                    </w:p>
                    <w:p w14:paraId="51824FF6">
                      <w:pPr>
                        <w:rPr>
                          <w:rFonts w:ascii="宋体" w:hAnsi="宋体"/>
                          <w:szCs w:val="21"/>
                        </w:rPr>
                      </w:pPr>
                    </w:p>
                    <w:p w14:paraId="45D34E30">
                      <w:pPr>
                        <w:jc w:val="center"/>
                        <w:rPr>
                          <w:rFonts w:ascii="宋体" w:hAnsi="宋体"/>
                          <w:szCs w:val="21"/>
                        </w:rPr>
                      </w:pPr>
                      <w:r>
                        <w:rPr>
                          <w:rFonts w:hint="eastAsia" w:ascii="宋体" w:hAnsi="宋体"/>
                          <w:szCs w:val="21"/>
                        </w:rPr>
                        <w:t>身份证正反面复印件</w:t>
                      </w:r>
                    </w:p>
                  </w:txbxContent>
                </v:textbox>
              </v:shape>
            </w:pict>
          </mc:Fallback>
        </mc:AlternateContent>
      </w:r>
    </w:p>
    <w:p w14:paraId="0E0E14BF">
      <w:pPr>
        <w:spacing w:line="360" w:lineRule="auto"/>
        <w:rPr>
          <w:rFonts w:ascii="宋体" w:hAnsi="宋体"/>
          <w:color w:val="000000" w:themeColor="text1"/>
          <w:szCs w:val="21"/>
          <w14:textFill>
            <w14:solidFill>
              <w14:schemeClr w14:val="tx1"/>
            </w14:solidFill>
          </w14:textFill>
        </w:rPr>
      </w:pPr>
    </w:p>
    <w:p w14:paraId="2A5A432B">
      <w:pPr>
        <w:spacing w:line="360" w:lineRule="auto"/>
        <w:rPr>
          <w:rFonts w:ascii="宋体" w:hAnsi="宋体"/>
          <w:color w:val="000000" w:themeColor="text1"/>
          <w:szCs w:val="21"/>
          <w14:textFill>
            <w14:solidFill>
              <w14:schemeClr w14:val="tx1"/>
            </w14:solidFill>
          </w14:textFill>
        </w:rPr>
      </w:pPr>
    </w:p>
    <w:p w14:paraId="07F04472">
      <w:pPr>
        <w:spacing w:line="360" w:lineRule="auto"/>
        <w:rPr>
          <w:rFonts w:ascii="宋体" w:hAnsi="宋体"/>
          <w:color w:val="000000" w:themeColor="text1"/>
          <w:szCs w:val="21"/>
          <w14:textFill>
            <w14:solidFill>
              <w14:schemeClr w14:val="tx1"/>
            </w14:solidFill>
          </w14:textFill>
        </w:rPr>
      </w:pPr>
    </w:p>
    <w:p w14:paraId="5B0B0D9F">
      <w:pPr>
        <w:spacing w:line="360" w:lineRule="auto"/>
        <w:rPr>
          <w:rFonts w:ascii="宋体" w:hAnsi="宋体"/>
          <w:color w:val="000000" w:themeColor="text1"/>
          <w:szCs w:val="21"/>
          <w14:textFill>
            <w14:solidFill>
              <w14:schemeClr w14:val="tx1"/>
            </w14:solidFill>
          </w14:textFill>
        </w:rPr>
      </w:pPr>
    </w:p>
    <w:p w14:paraId="6F0F3B30">
      <w:pPr>
        <w:spacing w:line="360" w:lineRule="auto"/>
        <w:rPr>
          <w:rFonts w:ascii="宋体" w:hAnsi="宋体"/>
          <w:color w:val="000000" w:themeColor="text1"/>
          <w:szCs w:val="21"/>
          <w14:textFill>
            <w14:solidFill>
              <w14:schemeClr w14:val="tx1"/>
            </w14:solidFill>
          </w14:textFill>
        </w:rPr>
      </w:pPr>
    </w:p>
    <w:p w14:paraId="4B1D8103">
      <w:pPr>
        <w:spacing w:line="360" w:lineRule="auto"/>
        <w:rPr>
          <w:rFonts w:ascii="宋体" w:hAnsi="宋体"/>
          <w:color w:val="000000" w:themeColor="text1"/>
          <w:szCs w:val="21"/>
          <w14:textFill>
            <w14:solidFill>
              <w14:schemeClr w14:val="tx1"/>
            </w14:solidFill>
          </w14:textFill>
        </w:rPr>
      </w:pPr>
    </w:p>
    <w:p w14:paraId="4BD2E967">
      <w:pPr>
        <w:spacing w:line="360" w:lineRule="auto"/>
        <w:rPr>
          <w:rFonts w:ascii="宋体" w:hAnsi="宋体"/>
          <w:color w:val="000000" w:themeColor="text1"/>
          <w:szCs w:val="21"/>
          <w14:textFill>
            <w14:solidFill>
              <w14:schemeClr w14:val="tx1"/>
            </w14:solidFill>
          </w14:textFill>
        </w:rPr>
      </w:pPr>
    </w:p>
    <w:p w14:paraId="7EA2BE94">
      <w:pPr>
        <w:spacing w:line="360" w:lineRule="auto"/>
        <w:rPr>
          <w:rFonts w:ascii="宋体" w:hAnsi="宋体"/>
          <w:color w:val="000000" w:themeColor="text1"/>
          <w:szCs w:val="21"/>
          <w14:textFill>
            <w14:solidFill>
              <w14:schemeClr w14:val="tx1"/>
            </w14:solidFill>
          </w14:textFill>
        </w:rPr>
      </w:pPr>
    </w:p>
    <w:p w14:paraId="48DB42C1">
      <w:pPr>
        <w:spacing w:line="360" w:lineRule="auto"/>
        <w:rPr>
          <w:rFonts w:ascii="宋体" w:hAnsi="宋体"/>
          <w:color w:val="000000" w:themeColor="text1"/>
          <w:szCs w:val="21"/>
          <w14:textFill>
            <w14:solidFill>
              <w14:schemeClr w14:val="tx1"/>
            </w14:solidFill>
          </w14:textFill>
        </w:rPr>
      </w:pPr>
    </w:p>
    <w:p w14:paraId="6B3F59D2">
      <w:pPr>
        <w:spacing w:line="360" w:lineRule="auto"/>
        <w:rPr>
          <w:rFonts w:ascii="宋体" w:hAnsi="宋体"/>
          <w:color w:val="000000" w:themeColor="text1"/>
          <w14:textFill>
            <w14:solidFill>
              <w14:schemeClr w14:val="tx1"/>
            </w14:solidFill>
          </w14:textFill>
        </w:rPr>
      </w:pPr>
    </w:p>
    <w:p w14:paraId="5C09536B">
      <w:pPr>
        <w:spacing w:line="360" w:lineRule="auto"/>
        <w:rPr>
          <w:rFonts w:ascii="宋体" w:hAnsi="宋体"/>
          <w:color w:val="000000" w:themeColor="text1"/>
          <w14:textFill>
            <w14:solidFill>
              <w14:schemeClr w14:val="tx1"/>
            </w14:solidFill>
          </w14:textFill>
        </w:rPr>
      </w:pPr>
    </w:p>
    <w:p w14:paraId="56CD9054">
      <w:pPr>
        <w:spacing w:line="360" w:lineRule="auto"/>
        <w:rPr>
          <w:rFonts w:ascii="宋体" w:hAnsi="宋体"/>
          <w:color w:val="000000" w:themeColor="text1"/>
          <w14:textFill>
            <w14:solidFill>
              <w14:schemeClr w14:val="tx1"/>
            </w14:solidFill>
          </w14:textFill>
        </w:rPr>
      </w:pPr>
    </w:p>
    <w:p w14:paraId="6CA6C6F1">
      <w:pPr>
        <w:spacing w:line="360" w:lineRule="auto"/>
        <w:rPr>
          <w:rFonts w:ascii="宋体" w:hAnsi="宋体"/>
          <w:color w:val="000000" w:themeColor="text1"/>
          <w14:textFill>
            <w14:solidFill>
              <w14:schemeClr w14:val="tx1"/>
            </w14:solidFill>
          </w14:textFill>
        </w:rPr>
      </w:pPr>
    </w:p>
    <w:p w14:paraId="2BADE4D9">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99" w:name="_Toc6326"/>
      <w:bookmarkStart w:id="300" w:name="_Toc27211"/>
      <w:bookmarkStart w:id="301" w:name="_Toc469160793"/>
      <w:bookmarkStart w:id="302" w:name="_Toc200414523"/>
      <w:r>
        <w:rPr>
          <w:rFonts w:hint="eastAsia" w:ascii="宋体" w:hAnsi="宋体"/>
          <w:color w:val="000000" w:themeColor="text1"/>
          <w:sz w:val="28"/>
          <w:szCs w:val="28"/>
          <w14:textFill>
            <w14:solidFill>
              <w14:schemeClr w14:val="tx1"/>
            </w14:solidFill>
          </w14:textFill>
        </w:rPr>
        <w:t>（四） 资格审查文件要求提交的其它有效证明文件</w:t>
      </w:r>
      <w:bookmarkEnd w:id="299"/>
      <w:bookmarkEnd w:id="300"/>
    </w:p>
    <w:p w14:paraId="6464DA7A">
      <w:pPr>
        <w:tabs>
          <w:tab w:val="center" w:pos="4483"/>
        </w:tabs>
        <w:spacing w:line="360" w:lineRule="auto"/>
        <w:ind w:firstLine="840" w:firstLineChars="4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1、合法有效的企业法人营业执照副本复印件加盖公章；</w:t>
      </w:r>
    </w:p>
    <w:p w14:paraId="4AE7B8E6">
      <w:pPr>
        <w:tabs>
          <w:tab w:val="center" w:pos="4483"/>
        </w:tabs>
        <w:spacing w:line="360" w:lineRule="auto"/>
        <w:ind w:firstLine="840" w:firstLineChars="4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2、无重大违法记录声明函；</w:t>
      </w:r>
    </w:p>
    <w:p w14:paraId="65726D67">
      <w:pPr>
        <w:tabs>
          <w:tab w:val="center" w:pos="4483"/>
        </w:tabs>
        <w:spacing w:line="360" w:lineRule="auto"/>
        <w:ind w:firstLine="840" w:firstLineChars="4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3、财务报表复印件加盖公章；</w:t>
      </w:r>
    </w:p>
    <w:p w14:paraId="191702A4">
      <w:pPr>
        <w:tabs>
          <w:tab w:val="center" w:pos="4483"/>
        </w:tabs>
        <w:spacing w:line="360" w:lineRule="auto"/>
        <w:ind w:firstLine="840" w:firstLineChars="4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4、社会保险证明复印件加盖公章；</w:t>
      </w:r>
    </w:p>
    <w:p w14:paraId="0573D507">
      <w:pPr>
        <w:tabs>
          <w:tab w:val="center" w:pos="4483"/>
        </w:tabs>
        <w:spacing w:line="360" w:lineRule="auto"/>
        <w:ind w:firstLine="840" w:firstLineChars="4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5、缴税证明复印件加盖公章；</w:t>
      </w:r>
    </w:p>
    <w:p w14:paraId="70BAFB88">
      <w:pPr>
        <w:tabs>
          <w:tab w:val="center" w:pos="4483"/>
        </w:tabs>
        <w:spacing w:line="360" w:lineRule="auto"/>
        <w:ind w:firstLine="1260" w:firstLineChars="600"/>
        <w:rPr>
          <w:rFonts w:ascii="宋体" w:hAnsi="宋体"/>
          <w:bCs/>
          <w:color w:val="000000" w:themeColor="text1"/>
          <w:kern w:val="0"/>
          <w:szCs w:val="21"/>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14:textFill>
            <w14:solidFill>
              <w14:schemeClr w14:val="tx1"/>
            </w14:solidFill>
          </w14:textFill>
        </w:rPr>
        <w:t>……</w:t>
      </w:r>
    </w:p>
    <w:bookmarkEnd w:id="301"/>
    <w:bookmarkEnd w:id="302"/>
    <w:p w14:paraId="14E08ADE">
      <w:pPr>
        <w:pStyle w:val="3"/>
        <w:numPr>
          <w:ilvl w:val="1"/>
          <w:numId w:val="0"/>
        </w:numPr>
        <w:spacing w:line="360" w:lineRule="auto"/>
        <w:ind w:firstLine="2249" w:firstLineChars="800"/>
        <w:jc w:val="both"/>
        <w:rPr>
          <w:rFonts w:ascii="宋体" w:hAnsi="宋体"/>
          <w:color w:val="000000" w:themeColor="text1"/>
          <w:sz w:val="28"/>
          <w:szCs w:val="28"/>
          <w14:textFill>
            <w14:solidFill>
              <w14:schemeClr w14:val="tx1"/>
            </w14:solidFill>
          </w14:textFill>
        </w:rPr>
      </w:pPr>
      <w:bookmarkStart w:id="303" w:name="_Toc200414524"/>
      <w:bookmarkStart w:id="304" w:name="_Toc469160794"/>
      <w:bookmarkStart w:id="305" w:name="_Toc7617"/>
      <w:r>
        <w:rPr>
          <w:rFonts w:hint="eastAsia" w:ascii="宋体" w:hAnsi="宋体"/>
          <w:color w:val="000000" w:themeColor="text1"/>
          <w:sz w:val="28"/>
          <w:szCs w:val="28"/>
          <w14:textFill>
            <w14:solidFill>
              <w14:schemeClr w14:val="tx1"/>
            </w14:solidFill>
          </w14:textFill>
        </w:rPr>
        <w:t>第二章  磋商响应文件商务及技术部分</w:t>
      </w:r>
      <w:bookmarkEnd w:id="303"/>
      <w:bookmarkEnd w:id="304"/>
      <w:bookmarkEnd w:id="305"/>
    </w:p>
    <w:p w14:paraId="28CF19D1">
      <w:pPr>
        <w:pStyle w:val="3"/>
        <w:numPr>
          <w:ilvl w:val="1"/>
          <w:numId w:val="0"/>
        </w:numPr>
        <w:spacing w:line="360" w:lineRule="auto"/>
        <w:ind w:firstLine="3373" w:firstLineChars="1200"/>
        <w:jc w:val="both"/>
        <w:rPr>
          <w:rFonts w:ascii="宋体" w:hAnsi="宋体"/>
          <w:color w:val="000000" w:themeColor="text1"/>
          <w:sz w:val="28"/>
          <w:szCs w:val="28"/>
          <w14:textFill>
            <w14:solidFill>
              <w14:schemeClr w14:val="tx1"/>
            </w14:solidFill>
          </w14:textFill>
        </w:rPr>
      </w:pPr>
      <w:bookmarkStart w:id="306" w:name="_Toc200414525"/>
      <w:bookmarkStart w:id="307" w:name="_Toc2818"/>
      <w:bookmarkStart w:id="308" w:name="_Toc469160795"/>
      <w:r>
        <w:rPr>
          <w:rFonts w:hint="eastAsia" w:ascii="宋体" w:hAnsi="宋体"/>
          <w:color w:val="000000" w:themeColor="text1"/>
          <w:sz w:val="28"/>
          <w:szCs w:val="28"/>
          <w14:textFill>
            <w14:solidFill>
              <w14:schemeClr w14:val="tx1"/>
            </w14:solidFill>
          </w14:textFill>
        </w:rPr>
        <w:t>附件一：磋商邀请函</w:t>
      </w:r>
      <w:bookmarkEnd w:id="306"/>
      <w:bookmarkEnd w:id="307"/>
      <w:bookmarkEnd w:id="308"/>
    </w:p>
    <w:p w14:paraId="389B9B2C">
      <w:pPr>
        <w:widowControl/>
        <w:spacing w:line="360" w:lineRule="auto"/>
        <w:jc w:val="left"/>
        <w:rPr>
          <w:rFonts w:ascii="宋体" w:hAnsi="宋体" w:cs="宋体"/>
          <w:color w:val="000000" w:themeColor="text1"/>
          <w:kern w:val="0"/>
          <w:sz w:val="24"/>
          <w:u w:val="single"/>
          <w14:textFill>
            <w14:solidFill>
              <w14:schemeClr w14:val="tx1"/>
            </w14:solidFill>
          </w14:textFill>
        </w:rPr>
      </w:pPr>
      <w:r>
        <w:rPr>
          <w:rFonts w:ascii="宋体" w:hAnsi="宋体" w:cs="宋体"/>
          <w:color w:val="000000" w:themeColor="text1"/>
          <w:kern w:val="0"/>
          <w:sz w:val="24"/>
          <w:u w:val="single"/>
          <w14:textFill>
            <w14:solidFill>
              <w14:schemeClr w14:val="tx1"/>
            </w14:solidFill>
          </w14:textFill>
        </w:rPr>
        <w:t>致（采购人</w:t>
      </w:r>
      <w:r>
        <w:rPr>
          <w:rFonts w:hint="eastAsia" w:ascii="宋体" w:hAnsi="宋体" w:cs="宋体"/>
          <w:color w:val="000000" w:themeColor="text1"/>
          <w:kern w:val="0"/>
          <w:sz w:val="24"/>
          <w:u w:val="single"/>
          <w14:textFill>
            <w14:solidFill>
              <w14:schemeClr w14:val="tx1"/>
            </w14:solidFill>
          </w14:textFill>
        </w:rPr>
        <w:t>名称</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 xml:space="preserve">： </w:t>
      </w:r>
    </w:p>
    <w:p w14:paraId="7610F712">
      <w:pPr>
        <w:adjustRightInd w:val="0"/>
        <w:snapToGrid w:val="0"/>
        <w:spacing w:before="120" w:beforeLines="50"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项目名称，由供应商填写      </w:t>
      </w:r>
      <w:r>
        <w:rPr>
          <w:rFonts w:hint="eastAsia" w:ascii="宋体" w:hAnsi="宋体"/>
          <w:bCs/>
          <w:color w:val="000000" w:themeColor="text1"/>
          <w:szCs w:val="21"/>
          <w14:textFill>
            <w14:solidFill>
              <w14:schemeClr w14:val="tx1"/>
            </w14:solidFill>
          </w14:textFill>
        </w:rPr>
        <w:t>的磋商邀请（项目编号：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，我方正式响应磋商文件内容并提交磋商响应文件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14:textFill>
            <w14:solidFill>
              <w14:schemeClr w14:val="tx1"/>
            </w14:solidFill>
          </w14:textFill>
        </w:rPr>
        <w:t>2份副本</w:t>
      </w:r>
      <w:r>
        <w:rPr>
          <w:rFonts w:hint="eastAsia" w:ascii="宋体" w:hAnsi="宋体"/>
          <w:b/>
          <w:bCs/>
          <w:color w:val="000000" w:themeColor="text1"/>
          <w:szCs w:val="21"/>
          <w14:textFill>
            <w14:solidFill>
              <w14:schemeClr w14:val="tx1"/>
            </w14:solidFill>
          </w14:textFill>
        </w:rPr>
        <w:t>及</w:t>
      </w:r>
      <w:r>
        <w:rPr>
          <w:rFonts w:hint="eastAsia" w:ascii="宋体" w:hAnsi="宋体"/>
          <w:b/>
          <w:bCs/>
          <w:color w:val="000000" w:themeColor="text1"/>
          <w:szCs w:val="21"/>
          <w:u w:val="single"/>
          <w14:textFill>
            <w14:solidFill>
              <w14:schemeClr w14:val="tx1"/>
            </w14:solidFill>
          </w14:textFill>
        </w:rPr>
        <w:t>电子文件1份</w:t>
      </w:r>
      <w:r>
        <w:rPr>
          <w:rFonts w:hint="eastAsia" w:ascii="宋体" w:hAnsi="宋体"/>
          <w:bCs/>
          <w:color w:val="000000" w:themeColor="text1"/>
          <w:szCs w:val="21"/>
          <w14:textFill>
            <w14:solidFill>
              <w14:schemeClr w14:val="tx1"/>
            </w14:solidFill>
          </w14:textFill>
        </w:rPr>
        <w:t>：</w:t>
      </w:r>
    </w:p>
    <w:p w14:paraId="64B762BA">
      <w:pPr>
        <w:widowControl/>
        <w:tabs>
          <w:tab w:val="left" w:pos="502"/>
        </w:tabs>
        <w:adjustRightInd w:val="0"/>
        <w:snapToGrid w:val="0"/>
        <w:spacing w:line="36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14:paraId="3FC4A7F8">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所附响应价格表中规定的应提交和交付的服务响应报价为人民币：</w:t>
      </w:r>
      <w:r>
        <w:rPr>
          <w:rFonts w:hint="eastAsia" w:ascii="宋体" w:hAnsi="宋体"/>
          <w:color w:val="000000" w:themeColor="text1"/>
          <w:szCs w:val="21"/>
          <w:u w:val="single"/>
          <w14:textFill>
            <w14:solidFill>
              <w14:schemeClr w14:val="tx1"/>
            </w14:solidFill>
          </w14:textFill>
        </w:rPr>
        <w:t xml:space="preserve"> （用文字和数字表示的磋商报价）  </w:t>
      </w:r>
      <w:r>
        <w:rPr>
          <w:rFonts w:hint="eastAsia" w:ascii="宋体" w:hAnsi="宋体"/>
          <w:color w:val="000000" w:themeColor="text1"/>
          <w:szCs w:val="21"/>
          <w14:textFill>
            <w14:solidFill>
              <w14:schemeClr w14:val="tx1"/>
            </w14:solidFill>
          </w14:textFill>
        </w:rPr>
        <w:t>。</w:t>
      </w:r>
    </w:p>
    <w:p w14:paraId="716BEBBB">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单位负责人为同一人或者存在直接控股、管理关系的不同供应商，不得参加同一合同项下的政府采购活动。</w:t>
      </w:r>
    </w:p>
    <w:p w14:paraId="2D48E5BD">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为采购项目提供整体设计、规范编制或者项目管理、监理、检测等服务的供应商，不得再参加采购项目的其他采购活动。</w:t>
      </w:r>
    </w:p>
    <w:p w14:paraId="41B4B170">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本次响应所报内容完全按照磋商文件要求填报，所有内容都是真实、准确的。</w:t>
      </w:r>
    </w:p>
    <w:p w14:paraId="71D63D88">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供应商将按磋商文件的规定履行全部合同责任和义务。</w:t>
      </w:r>
    </w:p>
    <w:p w14:paraId="6EDA0D2B">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供应商已详细审查全部磋商文件，包括修改文件（如有的话）以及全部参考资料和有关附件。我们完全理解并同意放弃对这方面有不明及误解的权利。</w:t>
      </w:r>
    </w:p>
    <w:p w14:paraId="6A93FBB1">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本次响应自递交磋商响应文件截止之日起有效期为90天。</w:t>
      </w:r>
    </w:p>
    <w:p w14:paraId="1BD90240">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如果在规定的递交磋商响应文件截止之日后，供应商在磋商有效期内撤回文件，磋商保证金将被贵方没收。</w:t>
      </w:r>
    </w:p>
    <w:p w14:paraId="5D28F968">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供应商同意提供按照贵方可能要求与其响应有关的一切数据或资料。</w:t>
      </w:r>
    </w:p>
    <w:p w14:paraId="00A16423">
      <w:pPr>
        <w:widowControl/>
        <w:numPr>
          <w:ilvl w:val="0"/>
          <w:numId w:val="24"/>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与本投标有关的一切正式往来通讯请寄至磋商响应文件封面指定地址、联系方式。</w:t>
      </w:r>
    </w:p>
    <w:p w14:paraId="781AEFE6">
      <w:pPr>
        <w:adjustRightInd w:val="0"/>
        <w:snapToGrid w:val="0"/>
        <w:spacing w:line="360" w:lineRule="auto"/>
        <w:rPr>
          <w:rFonts w:ascii="宋体" w:hAnsi="宋体"/>
          <w:bCs/>
          <w:color w:val="000000" w:themeColor="text1"/>
          <w:szCs w:val="21"/>
          <w14:textFill>
            <w14:solidFill>
              <w14:schemeClr w14:val="tx1"/>
            </w14:solidFill>
          </w14:textFill>
        </w:rPr>
      </w:pPr>
    </w:p>
    <w:p w14:paraId="3EE95E6A">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4D39E74C">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035DC620">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14:paraId="659D7B30">
      <w:pPr>
        <w:pStyle w:val="25"/>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注：本磋商邀请函为供应商响应本次磋商项目的郑重承诺，供应商不得改动且必须满足。</w:t>
      </w:r>
    </w:p>
    <w:p w14:paraId="4FD9A4C6">
      <w:pPr>
        <w:pStyle w:val="25"/>
        <w:spacing w:line="360" w:lineRule="auto"/>
        <w:rPr>
          <w:rFonts w:hAnsi="宋体"/>
          <w:color w:val="000000" w:themeColor="text1"/>
          <w14:textFill>
            <w14:solidFill>
              <w14:schemeClr w14:val="tx1"/>
            </w14:solidFill>
          </w14:textFill>
        </w:rPr>
      </w:pPr>
    </w:p>
    <w:p w14:paraId="1103D19E">
      <w:pPr>
        <w:pStyle w:val="25"/>
        <w:spacing w:line="360" w:lineRule="auto"/>
        <w:rPr>
          <w:rFonts w:hAnsi="宋体"/>
          <w:color w:val="000000" w:themeColor="text1"/>
          <w14:textFill>
            <w14:solidFill>
              <w14:schemeClr w14:val="tx1"/>
            </w14:solidFill>
          </w14:textFill>
        </w:rPr>
      </w:pPr>
    </w:p>
    <w:p w14:paraId="6A9A07B3">
      <w:pPr>
        <w:pStyle w:val="25"/>
        <w:spacing w:line="360" w:lineRule="auto"/>
        <w:rPr>
          <w:rFonts w:hAnsi="宋体"/>
          <w:color w:val="000000" w:themeColor="text1"/>
          <w14:textFill>
            <w14:solidFill>
              <w14:schemeClr w14:val="tx1"/>
            </w14:solidFill>
          </w14:textFill>
        </w:rPr>
      </w:pPr>
    </w:p>
    <w:p w14:paraId="04EC6FCD">
      <w:pPr>
        <w:pStyle w:val="25"/>
        <w:spacing w:line="360" w:lineRule="auto"/>
        <w:rPr>
          <w:rFonts w:hAnsi="宋体"/>
          <w:color w:val="000000" w:themeColor="text1"/>
          <w14:textFill>
            <w14:solidFill>
              <w14:schemeClr w14:val="tx1"/>
            </w14:solidFill>
          </w14:textFill>
        </w:rPr>
      </w:pPr>
    </w:p>
    <w:p w14:paraId="566C836E">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309" w:name="_Toc469160796"/>
      <w:bookmarkStart w:id="310" w:name="_Toc10757"/>
      <w:bookmarkStart w:id="311" w:name="_Toc200414526"/>
      <w:r>
        <w:rPr>
          <w:rFonts w:hint="eastAsia" w:ascii="宋体" w:hAnsi="宋体"/>
          <w:color w:val="000000" w:themeColor="text1"/>
          <w:sz w:val="28"/>
          <w:szCs w:val="28"/>
          <w14:textFill>
            <w14:solidFill>
              <w14:schemeClr w14:val="tx1"/>
            </w14:solidFill>
          </w14:textFill>
        </w:rPr>
        <w:t>附件二：第一次报价一览表</w:t>
      </w:r>
      <w:bookmarkEnd w:id="309"/>
      <w:bookmarkEnd w:id="310"/>
      <w:bookmarkEnd w:id="311"/>
    </w:p>
    <w:p w14:paraId="27AED0B5">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YXCG-20260521</w:t>
      </w:r>
      <w:r>
        <w:rPr>
          <w:rFonts w:hint="eastAsia" w:ascii="宋体" w:hAnsi="宋体"/>
          <w:b/>
          <w:bCs/>
          <w:caps/>
          <w:color w:val="000000" w:themeColor="text1"/>
          <w:szCs w:val="21"/>
          <w:u w:val="single"/>
          <w14:textFill>
            <w14:solidFill>
              <w14:schemeClr w14:val="tx1"/>
            </w14:solidFill>
          </w14:textFill>
        </w:rPr>
        <w:t xml:space="preserve"> </w:t>
      </w:r>
    </w:p>
    <w:p w14:paraId="59F903B9">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14:textFill>
            <w14:solidFill>
              <w14:schemeClr w14:val="tx1"/>
            </w14:solidFill>
          </w14:textFill>
        </w:rPr>
        <w:t xml:space="preserve">菩堤海风场2026年防雷检测交通船租赁采购项目 </w:t>
      </w:r>
      <w:r>
        <w:rPr>
          <w:rFonts w:hint="eastAsia" w:ascii="宋体" w:hAnsi="宋体"/>
          <w:color w:val="000000" w:themeColor="text1"/>
          <w:spacing w:val="10"/>
          <w:szCs w:val="21"/>
          <w14:textFill>
            <w14:solidFill>
              <w14:schemeClr w14:val="tx1"/>
            </w14:solidFill>
          </w14:textFill>
        </w:rPr>
        <w:t xml:space="preserve">  </w:t>
      </w:r>
    </w:p>
    <w:p w14:paraId="688F1863">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51"/>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3713"/>
        <w:gridCol w:w="1501"/>
        <w:gridCol w:w="1476"/>
      </w:tblGrid>
      <w:tr w14:paraId="09F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08" w:type="dxa"/>
            <w:vAlign w:val="center"/>
          </w:tcPr>
          <w:p w14:paraId="5BF3D986">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713" w:type="dxa"/>
            <w:vAlign w:val="center"/>
          </w:tcPr>
          <w:p w14:paraId="12CC278B">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501" w:type="dxa"/>
            <w:vAlign w:val="center"/>
          </w:tcPr>
          <w:p w14:paraId="62FA1188">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服务期</w:t>
            </w:r>
          </w:p>
        </w:tc>
        <w:tc>
          <w:tcPr>
            <w:tcW w:w="1476" w:type="dxa"/>
            <w:vAlign w:val="center"/>
          </w:tcPr>
          <w:p w14:paraId="61B5D251">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14:paraId="1168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2208" w:type="dxa"/>
            <w:vAlign w:val="center"/>
          </w:tcPr>
          <w:p w14:paraId="39C4B158">
            <w:pPr>
              <w:spacing w:line="360" w:lineRule="auto"/>
              <w:jc w:val="center"/>
              <w:rPr>
                <w:rFonts w:ascii="宋体" w:hAnsi="宋体"/>
                <w:bCs/>
                <w:color w:val="000000" w:themeColor="text1"/>
                <w14:textFill>
                  <w14:solidFill>
                    <w14:schemeClr w14:val="tx1"/>
                  </w14:solidFill>
                </w14:textFill>
              </w:rPr>
            </w:pPr>
          </w:p>
        </w:tc>
        <w:tc>
          <w:tcPr>
            <w:tcW w:w="3713" w:type="dxa"/>
            <w:vAlign w:val="center"/>
          </w:tcPr>
          <w:p w14:paraId="367A2DAD">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14:paraId="324E9C61">
            <w:pPr>
              <w:spacing w:line="360" w:lineRule="auto"/>
              <w:rPr>
                <w:rFonts w:ascii="宋体" w:hAnsi="宋体"/>
                <w:bCs/>
                <w:color w:val="000000" w:themeColor="text1"/>
                <w14:textFill>
                  <w14:solidFill>
                    <w14:schemeClr w14:val="tx1"/>
                  </w14:solidFill>
                </w14:textFill>
              </w:rPr>
            </w:pPr>
          </w:p>
          <w:p w14:paraId="44B8E3A2">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tc>
        <w:tc>
          <w:tcPr>
            <w:tcW w:w="1501" w:type="dxa"/>
            <w:vAlign w:val="center"/>
          </w:tcPr>
          <w:p w14:paraId="656A0773">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14:paraId="3B8716BB">
            <w:pPr>
              <w:spacing w:line="360" w:lineRule="auto"/>
              <w:rPr>
                <w:rFonts w:ascii="宋体" w:hAnsi="宋体"/>
                <w:bCs/>
                <w:color w:val="000000" w:themeColor="text1"/>
                <w:szCs w:val="21"/>
                <w14:textFill>
                  <w14:solidFill>
                    <w14:schemeClr w14:val="tx1"/>
                  </w14:solidFill>
                </w14:textFill>
              </w:rPr>
            </w:pPr>
          </w:p>
        </w:tc>
      </w:tr>
    </w:tbl>
    <w:p w14:paraId="23C650F7">
      <w:pPr>
        <w:spacing w:line="360" w:lineRule="auto"/>
        <w:rPr>
          <w:rFonts w:ascii="宋体" w:hAnsi="宋体"/>
          <w:bCs/>
          <w:color w:val="000000" w:themeColor="text1"/>
          <w:u w:val="single"/>
          <w14:textFill>
            <w14:solidFill>
              <w14:schemeClr w14:val="tx1"/>
            </w14:solidFill>
          </w14:textFill>
        </w:rPr>
      </w:pPr>
    </w:p>
    <w:p w14:paraId="02190694">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14:paraId="5F8B52B4">
      <w:pPr>
        <w:numPr>
          <w:ilvl w:val="0"/>
          <w:numId w:val="25"/>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填写此表时不得改变表格的形式。</w:t>
      </w:r>
    </w:p>
    <w:p w14:paraId="57060FDC">
      <w:pPr>
        <w:numPr>
          <w:ilvl w:val="0"/>
          <w:numId w:val="25"/>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本报价表为供应商的第一次报价，磋商后，代理采购机构将向合格的供应商发最终报价表。</w:t>
      </w:r>
    </w:p>
    <w:p w14:paraId="29E35105">
      <w:pPr>
        <w:numPr>
          <w:ilvl w:val="0"/>
          <w:numId w:val="25"/>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所投项目的内容必须填写完整。</w:t>
      </w:r>
    </w:p>
    <w:p w14:paraId="012D8FE8">
      <w:pPr>
        <w:numPr>
          <w:ilvl w:val="0"/>
          <w:numId w:val="25"/>
        </w:numPr>
        <w:tabs>
          <w:tab w:val="left" w:pos="84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如果供应商认为有应当说明而本表中无相应栏目的内容，请在“备注”栏中说明添加说明。</w:t>
      </w:r>
    </w:p>
    <w:p w14:paraId="2C49C8C0">
      <w:pPr>
        <w:tabs>
          <w:tab w:val="left" w:pos="845"/>
        </w:tabs>
        <w:spacing w:line="360" w:lineRule="auto"/>
        <w:rPr>
          <w:rFonts w:ascii="宋体" w:hAnsi="宋体"/>
          <w:bCs/>
          <w:color w:val="000000" w:themeColor="text1"/>
          <w14:textFill>
            <w14:solidFill>
              <w14:schemeClr w14:val="tx1"/>
            </w14:solidFill>
          </w14:textFill>
        </w:rPr>
      </w:pPr>
    </w:p>
    <w:p w14:paraId="5246B03C">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27F24A13">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149BBCC3">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14:paraId="0A874383">
      <w:pPr>
        <w:widowControl/>
        <w:adjustRightInd w:val="0"/>
        <w:snapToGrid w:val="0"/>
        <w:spacing w:line="360" w:lineRule="auto"/>
        <w:rPr>
          <w:rFonts w:ascii="宋体" w:hAnsi="宋体"/>
          <w:bCs/>
          <w:color w:val="000000" w:themeColor="text1"/>
          <w:u w:val="single"/>
          <w14:textFill>
            <w14:solidFill>
              <w14:schemeClr w14:val="tx1"/>
            </w14:solidFill>
          </w14:textFill>
        </w:rPr>
      </w:pPr>
    </w:p>
    <w:p w14:paraId="5A485B0D">
      <w:pPr>
        <w:pStyle w:val="25"/>
        <w:spacing w:line="360" w:lineRule="auto"/>
        <w:rPr>
          <w:rFonts w:hAnsi="宋体"/>
          <w:color w:val="000000" w:themeColor="text1"/>
          <w14:textFill>
            <w14:solidFill>
              <w14:schemeClr w14:val="tx1"/>
            </w14:solidFill>
          </w14:textFill>
        </w:rPr>
      </w:pPr>
    </w:p>
    <w:p w14:paraId="71522B34">
      <w:pPr>
        <w:pStyle w:val="25"/>
        <w:spacing w:line="360" w:lineRule="auto"/>
        <w:rPr>
          <w:rFonts w:hAnsi="宋体"/>
          <w:color w:val="000000" w:themeColor="text1"/>
          <w14:textFill>
            <w14:solidFill>
              <w14:schemeClr w14:val="tx1"/>
            </w14:solidFill>
          </w14:textFill>
        </w:rPr>
      </w:pPr>
    </w:p>
    <w:p w14:paraId="5426E429">
      <w:pPr>
        <w:pStyle w:val="25"/>
        <w:spacing w:line="360" w:lineRule="auto"/>
        <w:rPr>
          <w:rFonts w:hAnsi="宋体"/>
          <w:color w:val="000000" w:themeColor="text1"/>
          <w14:textFill>
            <w14:solidFill>
              <w14:schemeClr w14:val="tx1"/>
            </w14:solidFill>
          </w14:textFill>
        </w:rPr>
      </w:pPr>
    </w:p>
    <w:p w14:paraId="5E3DF03B">
      <w:pPr>
        <w:pStyle w:val="25"/>
        <w:spacing w:line="360" w:lineRule="auto"/>
        <w:rPr>
          <w:rFonts w:hAnsi="宋体"/>
          <w:color w:val="000000" w:themeColor="text1"/>
          <w14:textFill>
            <w14:solidFill>
              <w14:schemeClr w14:val="tx1"/>
            </w14:solidFill>
          </w14:textFill>
        </w:rPr>
      </w:pPr>
    </w:p>
    <w:p w14:paraId="16D2B972">
      <w:pPr>
        <w:pStyle w:val="25"/>
        <w:spacing w:line="360" w:lineRule="auto"/>
        <w:rPr>
          <w:rFonts w:hAnsi="宋体"/>
          <w:color w:val="000000" w:themeColor="text1"/>
          <w14:textFill>
            <w14:solidFill>
              <w14:schemeClr w14:val="tx1"/>
            </w14:solidFill>
          </w14:textFill>
        </w:rPr>
        <w:sectPr>
          <w:headerReference r:id="rId15" w:type="default"/>
          <w:pgSz w:w="11906" w:h="16838"/>
          <w:pgMar w:top="1418" w:right="1474" w:bottom="1418" w:left="1474" w:header="851" w:footer="851" w:gutter="0"/>
          <w:cols w:space="720" w:num="1"/>
          <w:titlePg/>
          <w:docGrid w:linePitch="462" w:charSpace="0"/>
        </w:sectPr>
      </w:pPr>
    </w:p>
    <w:p w14:paraId="6B92DC56">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312" w:name="_Toc200414527"/>
      <w:bookmarkStart w:id="313" w:name="_Toc11866826"/>
      <w:bookmarkStart w:id="314" w:name="_Toc24476"/>
      <w:bookmarkStart w:id="315" w:name="_Toc469160797"/>
      <w:bookmarkStart w:id="316" w:name="_Toc200414528"/>
      <w:bookmarkStart w:id="317" w:name="_Toc469160798"/>
      <w:r>
        <w:rPr>
          <w:rFonts w:hint="eastAsia" w:ascii="宋体" w:hAnsi="宋体"/>
          <w:color w:val="000000" w:themeColor="text1"/>
          <w:sz w:val="28"/>
          <w:szCs w:val="28"/>
          <w14:textFill>
            <w14:solidFill>
              <w14:schemeClr w14:val="tx1"/>
            </w14:solidFill>
          </w14:textFill>
        </w:rPr>
        <w:t>附件三：磋商分项报价</w:t>
      </w:r>
      <w:r>
        <w:rPr>
          <w:rFonts w:ascii="宋体" w:hAnsi="宋体"/>
          <w:color w:val="000000" w:themeColor="text1"/>
          <w:sz w:val="28"/>
          <w:szCs w:val="28"/>
          <w14:textFill>
            <w14:solidFill>
              <w14:schemeClr w14:val="tx1"/>
            </w14:solidFill>
          </w14:textFill>
        </w:rPr>
        <w:t>表</w:t>
      </w:r>
      <w:bookmarkEnd w:id="312"/>
      <w:bookmarkEnd w:id="313"/>
      <w:bookmarkEnd w:id="314"/>
      <w:bookmarkEnd w:id="315"/>
    </w:p>
    <w:p w14:paraId="681D8B40">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YXCG-20260521</w:t>
      </w:r>
      <w:r>
        <w:rPr>
          <w:rFonts w:hint="eastAsia" w:ascii="宋体" w:hAnsi="宋体"/>
          <w:b/>
          <w:bCs/>
          <w:caps/>
          <w:color w:val="000000" w:themeColor="text1"/>
          <w:szCs w:val="21"/>
          <w:u w:val="single"/>
          <w14:textFill>
            <w14:solidFill>
              <w14:schemeClr w14:val="tx1"/>
            </w14:solidFill>
          </w14:textFill>
        </w:rPr>
        <w:t xml:space="preserve"> </w:t>
      </w:r>
    </w:p>
    <w:p w14:paraId="5916D640">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14:textFill>
            <w14:solidFill>
              <w14:schemeClr w14:val="tx1"/>
            </w14:solidFill>
          </w14:textFill>
        </w:rPr>
        <w:t xml:space="preserve">菩堤海风场2026年防雷检测交通船租赁采购项目 </w:t>
      </w:r>
      <w:r>
        <w:rPr>
          <w:rFonts w:hint="eastAsia" w:ascii="宋体" w:hAnsi="宋体"/>
          <w:color w:val="000000" w:themeColor="text1"/>
          <w:spacing w:val="10"/>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2DA1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6F62D12">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序号</w:t>
            </w:r>
          </w:p>
        </w:tc>
        <w:tc>
          <w:tcPr>
            <w:tcW w:w="1842" w:type="dxa"/>
            <w:vAlign w:val="center"/>
          </w:tcPr>
          <w:p w14:paraId="63E24F30">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内容</w:t>
            </w:r>
          </w:p>
        </w:tc>
        <w:tc>
          <w:tcPr>
            <w:tcW w:w="1281" w:type="dxa"/>
            <w:vAlign w:val="center"/>
          </w:tcPr>
          <w:p w14:paraId="6A93EE09">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p>
        </w:tc>
        <w:tc>
          <w:tcPr>
            <w:tcW w:w="1281" w:type="dxa"/>
            <w:vAlign w:val="center"/>
          </w:tcPr>
          <w:p w14:paraId="0C2C1EE5">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p>
        </w:tc>
        <w:tc>
          <w:tcPr>
            <w:tcW w:w="1282" w:type="dxa"/>
            <w:gridSpan w:val="2"/>
            <w:vAlign w:val="center"/>
          </w:tcPr>
          <w:p w14:paraId="70A566FD">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3</w:t>
            </w:r>
          </w:p>
        </w:tc>
        <w:tc>
          <w:tcPr>
            <w:tcW w:w="1281" w:type="dxa"/>
            <w:vAlign w:val="center"/>
          </w:tcPr>
          <w:p w14:paraId="4A789B8A">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4</w:t>
            </w:r>
          </w:p>
        </w:tc>
        <w:tc>
          <w:tcPr>
            <w:tcW w:w="1287" w:type="dxa"/>
            <w:vAlign w:val="center"/>
          </w:tcPr>
          <w:p w14:paraId="767E4F25">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5</w:t>
            </w:r>
          </w:p>
        </w:tc>
      </w:tr>
      <w:tr w14:paraId="5E9E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0E494E9">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w:t>
            </w:r>
          </w:p>
        </w:tc>
        <w:tc>
          <w:tcPr>
            <w:tcW w:w="1842" w:type="dxa"/>
            <w:vAlign w:val="center"/>
          </w:tcPr>
          <w:p w14:paraId="1352EF4C">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服务内容</w:t>
            </w:r>
          </w:p>
        </w:tc>
        <w:tc>
          <w:tcPr>
            <w:tcW w:w="1281" w:type="dxa"/>
            <w:vAlign w:val="center"/>
          </w:tcPr>
          <w:p w14:paraId="6C7D656C">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2181902E">
            <w:pPr>
              <w:pStyle w:val="5"/>
              <w:snapToGrid w:val="0"/>
              <w:ind w:firstLine="0"/>
              <w:jc w:val="center"/>
              <w:rPr>
                <w:rFonts w:hAnsi="宋体"/>
                <w:color w:val="000000" w:themeColor="text1"/>
                <w:sz w:val="21"/>
                <w:szCs w:val="21"/>
                <w14:textFill>
                  <w14:solidFill>
                    <w14:schemeClr w14:val="tx1"/>
                  </w14:solidFill>
                </w14:textFill>
              </w:rPr>
            </w:pPr>
          </w:p>
        </w:tc>
        <w:tc>
          <w:tcPr>
            <w:tcW w:w="1282" w:type="dxa"/>
            <w:gridSpan w:val="2"/>
            <w:vAlign w:val="center"/>
          </w:tcPr>
          <w:p w14:paraId="44228D15">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75C30678">
            <w:pPr>
              <w:pStyle w:val="5"/>
              <w:snapToGrid w:val="0"/>
              <w:ind w:firstLine="0"/>
              <w:jc w:val="center"/>
              <w:rPr>
                <w:rFonts w:hAnsi="宋体"/>
                <w:color w:val="000000" w:themeColor="text1"/>
                <w:sz w:val="21"/>
                <w:szCs w:val="21"/>
                <w14:textFill>
                  <w14:solidFill>
                    <w14:schemeClr w14:val="tx1"/>
                  </w14:solidFill>
                </w14:textFill>
              </w:rPr>
            </w:pPr>
          </w:p>
        </w:tc>
        <w:tc>
          <w:tcPr>
            <w:tcW w:w="1287" w:type="dxa"/>
            <w:vAlign w:val="center"/>
          </w:tcPr>
          <w:p w14:paraId="633B8C64">
            <w:pPr>
              <w:pStyle w:val="5"/>
              <w:snapToGrid w:val="0"/>
              <w:ind w:firstLine="0"/>
              <w:jc w:val="center"/>
              <w:rPr>
                <w:rFonts w:hAnsi="宋体"/>
                <w:color w:val="000000" w:themeColor="text1"/>
                <w:sz w:val="21"/>
                <w:szCs w:val="21"/>
                <w14:textFill>
                  <w14:solidFill>
                    <w14:schemeClr w14:val="tx1"/>
                  </w14:solidFill>
                </w14:textFill>
              </w:rPr>
            </w:pPr>
          </w:p>
        </w:tc>
      </w:tr>
      <w:tr w14:paraId="6DFC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851E22A">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2</w:t>
            </w:r>
          </w:p>
        </w:tc>
        <w:tc>
          <w:tcPr>
            <w:tcW w:w="1842" w:type="dxa"/>
            <w:vAlign w:val="center"/>
          </w:tcPr>
          <w:p w14:paraId="08E7E9F2">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服务时间</w:t>
            </w:r>
          </w:p>
        </w:tc>
        <w:tc>
          <w:tcPr>
            <w:tcW w:w="1281" w:type="dxa"/>
            <w:vAlign w:val="center"/>
          </w:tcPr>
          <w:p w14:paraId="0A9B26E4">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16C73E88">
            <w:pPr>
              <w:pStyle w:val="5"/>
              <w:snapToGrid w:val="0"/>
              <w:ind w:firstLine="0"/>
              <w:jc w:val="center"/>
              <w:rPr>
                <w:rFonts w:hAnsi="宋体"/>
                <w:color w:val="000000" w:themeColor="text1"/>
                <w:sz w:val="21"/>
                <w:szCs w:val="21"/>
                <w14:textFill>
                  <w14:solidFill>
                    <w14:schemeClr w14:val="tx1"/>
                  </w14:solidFill>
                </w14:textFill>
              </w:rPr>
            </w:pPr>
          </w:p>
        </w:tc>
        <w:tc>
          <w:tcPr>
            <w:tcW w:w="1282" w:type="dxa"/>
            <w:gridSpan w:val="2"/>
            <w:vAlign w:val="center"/>
          </w:tcPr>
          <w:p w14:paraId="7EBB5ECC">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34484D1E">
            <w:pPr>
              <w:pStyle w:val="5"/>
              <w:snapToGrid w:val="0"/>
              <w:ind w:firstLine="0"/>
              <w:jc w:val="center"/>
              <w:rPr>
                <w:rFonts w:hAnsi="宋体"/>
                <w:color w:val="000000" w:themeColor="text1"/>
                <w:sz w:val="21"/>
                <w:szCs w:val="21"/>
                <w14:textFill>
                  <w14:solidFill>
                    <w14:schemeClr w14:val="tx1"/>
                  </w14:solidFill>
                </w14:textFill>
              </w:rPr>
            </w:pPr>
          </w:p>
        </w:tc>
        <w:tc>
          <w:tcPr>
            <w:tcW w:w="1287" w:type="dxa"/>
            <w:vAlign w:val="center"/>
          </w:tcPr>
          <w:p w14:paraId="3D8AA869">
            <w:pPr>
              <w:pStyle w:val="5"/>
              <w:snapToGrid w:val="0"/>
              <w:ind w:firstLine="0"/>
              <w:jc w:val="center"/>
              <w:rPr>
                <w:rFonts w:hAnsi="宋体"/>
                <w:color w:val="000000" w:themeColor="text1"/>
                <w:sz w:val="21"/>
                <w:szCs w:val="21"/>
                <w14:textFill>
                  <w14:solidFill>
                    <w14:schemeClr w14:val="tx1"/>
                  </w14:solidFill>
                </w14:textFill>
              </w:rPr>
            </w:pPr>
          </w:p>
        </w:tc>
      </w:tr>
      <w:tr w14:paraId="47BD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33CBD7F">
            <w:pPr>
              <w:pStyle w:val="5"/>
              <w:snapToGrid w:val="0"/>
              <w:ind w:firstLine="0"/>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3</w:t>
            </w:r>
          </w:p>
        </w:tc>
        <w:tc>
          <w:tcPr>
            <w:tcW w:w="1842" w:type="dxa"/>
            <w:vAlign w:val="center"/>
          </w:tcPr>
          <w:p w14:paraId="5912CBC1">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单价</w:t>
            </w:r>
          </w:p>
        </w:tc>
        <w:tc>
          <w:tcPr>
            <w:tcW w:w="1281" w:type="dxa"/>
            <w:vAlign w:val="center"/>
          </w:tcPr>
          <w:p w14:paraId="28B5A683">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416C6852">
            <w:pPr>
              <w:pStyle w:val="5"/>
              <w:snapToGrid w:val="0"/>
              <w:ind w:firstLine="0"/>
              <w:jc w:val="center"/>
              <w:rPr>
                <w:rFonts w:hAnsi="宋体"/>
                <w:color w:val="000000" w:themeColor="text1"/>
                <w:sz w:val="21"/>
                <w:szCs w:val="21"/>
                <w14:textFill>
                  <w14:solidFill>
                    <w14:schemeClr w14:val="tx1"/>
                  </w14:solidFill>
                </w14:textFill>
              </w:rPr>
            </w:pPr>
          </w:p>
        </w:tc>
        <w:tc>
          <w:tcPr>
            <w:tcW w:w="1282" w:type="dxa"/>
            <w:gridSpan w:val="2"/>
            <w:vAlign w:val="center"/>
          </w:tcPr>
          <w:p w14:paraId="62DD84DB">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6CCC5956">
            <w:pPr>
              <w:pStyle w:val="5"/>
              <w:snapToGrid w:val="0"/>
              <w:ind w:firstLine="0"/>
              <w:jc w:val="center"/>
              <w:rPr>
                <w:rFonts w:hAnsi="宋体"/>
                <w:color w:val="000000" w:themeColor="text1"/>
                <w:sz w:val="21"/>
                <w:szCs w:val="21"/>
                <w14:textFill>
                  <w14:solidFill>
                    <w14:schemeClr w14:val="tx1"/>
                  </w14:solidFill>
                </w14:textFill>
              </w:rPr>
            </w:pPr>
          </w:p>
        </w:tc>
        <w:tc>
          <w:tcPr>
            <w:tcW w:w="1287" w:type="dxa"/>
            <w:vAlign w:val="center"/>
          </w:tcPr>
          <w:p w14:paraId="749CD2AD">
            <w:pPr>
              <w:pStyle w:val="5"/>
              <w:snapToGrid w:val="0"/>
              <w:ind w:firstLine="0"/>
              <w:jc w:val="center"/>
              <w:rPr>
                <w:rFonts w:hAnsi="宋体"/>
                <w:color w:val="000000" w:themeColor="text1"/>
                <w:sz w:val="21"/>
                <w:szCs w:val="21"/>
                <w14:textFill>
                  <w14:solidFill>
                    <w14:schemeClr w14:val="tx1"/>
                  </w14:solidFill>
                </w14:textFill>
              </w:rPr>
            </w:pPr>
          </w:p>
        </w:tc>
      </w:tr>
      <w:tr w14:paraId="3941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5595B1B">
            <w:pPr>
              <w:pStyle w:val="5"/>
              <w:snapToGrid w:val="0"/>
              <w:ind w:firstLine="0"/>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4</w:t>
            </w:r>
          </w:p>
        </w:tc>
        <w:tc>
          <w:tcPr>
            <w:tcW w:w="1842" w:type="dxa"/>
            <w:vAlign w:val="center"/>
          </w:tcPr>
          <w:p w14:paraId="36322559">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总价</w:t>
            </w:r>
          </w:p>
        </w:tc>
        <w:tc>
          <w:tcPr>
            <w:tcW w:w="1281" w:type="dxa"/>
            <w:vAlign w:val="center"/>
          </w:tcPr>
          <w:p w14:paraId="6C4F6305">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58FFBA02">
            <w:pPr>
              <w:pStyle w:val="5"/>
              <w:snapToGrid w:val="0"/>
              <w:ind w:firstLine="0"/>
              <w:jc w:val="center"/>
              <w:rPr>
                <w:rFonts w:hAnsi="宋体"/>
                <w:color w:val="000000" w:themeColor="text1"/>
                <w:sz w:val="21"/>
                <w:szCs w:val="21"/>
                <w14:textFill>
                  <w14:solidFill>
                    <w14:schemeClr w14:val="tx1"/>
                  </w14:solidFill>
                </w14:textFill>
              </w:rPr>
            </w:pPr>
          </w:p>
        </w:tc>
        <w:tc>
          <w:tcPr>
            <w:tcW w:w="1282" w:type="dxa"/>
            <w:gridSpan w:val="2"/>
            <w:vAlign w:val="center"/>
          </w:tcPr>
          <w:p w14:paraId="2B121D12">
            <w:pPr>
              <w:pStyle w:val="5"/>
              <w:snapToGrid w:val="0"/>
              <w:ind w:firstLine="0"/>
              <w:jc w:val="center"/>
              <w:rPr>
                <w:rFonts w:hAnsi="宋体"/>
                <w:color w:val="000000" w:themeColor="text1"/>
                <w:sz w:val="21"/>
                <w:szCs w:val="21"/>
                <w14:textFill>
                  <w14:solidFill>
                    <w14:schemeClr w14:val="tx1"/>
                  </w14:solidFill>
                </w14:textFill>
              </w:rPr>
            </w:pPr>
          </w:p>
        </w:tc>
        <w:tc>
          <w:tcPr>
            <w:tcW w:w="1281" w:type="dxa"/>
            <w:vAlign w:val="center"/>
          </w:tcPr>
          <w:p w14:paraId="047C7544">
            <w:pPr>
              <w:pStyle w:val="5"/>
              <w:snapToGrid w:val="0"/>
              <w:ind w:firstLine="0"/>
              <w:jc w:val="center"/>
              <w:rPr>
                <w:rFonts w:hAnsi="宋体"/>
                <w:color w:val="000000" w:themeColor="text1"/>
                <w:sz w:val="21"/>
                <w:szCs w:val="21"/>
                <w14:textFill>
                  <w14:solidFill>
                    <w14:schemeClr w14:val="tx1"/>
                  </w14:solidFill>
                </w14:textFill>
              </w:rPr>
            </w:pPr>
          </w:p>
        </w:tc>
        <w:tc>
          <w:tcPr>
            <w:tcW w:w="1287" w:type="dxa"/>
            <w:vAlign w:val="center"/>
          </w:tcPr>
          <w:p w14:paraId="740E3950">
            <w:pPr>
              <w:pStyle w:val="5"/>
              <w:snapToGrid w:val="0"/>
              <w:ind w:firstLine="0"/>
              <w:jc w:val="center"/>
              <w:rPr>
                <w:rFonts w:hAnsi="宋体"/>
                <w:color w:val="000000" w:themeColor="text1"/>
                <w:sz w:val="21"/>
                <w:szCs w:val="21"/>
                <w14:textFill>
                  <w14:solidFill>
                    <w14:schemeClr w14:val="tx1"/>
                  </w14:solidFill>
                </w14:textFill>
              </w:rPr>
            </w:pPr>
          </w:p>
        </w:tc>
      </w:tr>
      <w:tr w14:paraId="2314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77842369">
            <w:pPr>
              <w:pStyle w:val="5"/>
              <w:snapToGrid w:val="0"/>
              <w:ind w:firstLine="0"/>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5</w:t>
            </w:r>
          </w:p>
        </w:tc>
        <w:tc>
          <w:tcPr>
            <w:tcW w:w="1842" w:type="dxa"/>
            <w:vAlign w:val="center"/>
          </w:tcPr>
          <w:p w14:paraId="649FC988">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保险费</w:t>
            </w:r>
          </w:p>
        </w:tc>
        <w:tc>
          <w:tcPr>
            <w:tcW w:w="6412" w:type="dxa"/>
            <w:gridSpan w:val="6"/>
            <w:vAlign w:val="center"/>
          </w:tcPr>
          <w:p w14:paraId="3E027A73">
            <w:pPr>
              <w:pStyle w:val="5"/>
              <w:snapToGrid w:val="0"/>
              <w:ind w:firstLine="0"/>
              <w:jc w:val="center"/>
              <w:rPr>
                <w:rFonts w:hAnsi="宋体"/>
                <w:color w:val="000000" w:themeColor="text1"/>
                <w:sz w:val="21"/>
                <w:szCs w:val="21"/>
                <w14:textFill>
                  <w14:solidFill>
                    <w14:schemeClr w14:val="tx1"/>
                  </w14:solidFill>
                </w14:textFill>
              </w:rPr>
            </w:pPr>
          </w:p>
        </w:tc>
      </w:tr>
      <w:tr w14:paraId="5D0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3E372CF">
            <w:pPr>
              <w:pStyle w:val="5"/>
              <w:snapToGrid w:val="0"/>
              <w:ind w:firstLine="0"/>
              <w:jc w:val="center"/>
              <w:rPr>
                <w:rFonts w:hAnsi="宋体"/>
                <w:color w:val="000000" w:themeColor="text1"/>
                <w:sz w:val="21"/>
                <w:szCs w:val="21"/>
                <w14:textFill>
                  <w14:solidFill>
                    <w14:schemeClr w14:val="tx1"/>
                  </w14:solidFill>
                </w14:textFill>
              </w:rPr>
            </w:pPr>
            <w:r>
              <w:rPr>
                <w:rFonts w:hAnsi="宋体"/>
                <w:color w:val="000000" w:themeColor="text1"/>
                <w:sz w:val="21"/>
                <w:szCs w:val="21"/>
                <w14:textFill>
                  <w14:solidFill>
                    <w14:schemeClr w14:val="tx1"/>
                  </w14:solidFill>
                </w14:textFill>
              </w:rPr>
              <w:t>6</w:t>
            </w:r>
          </w:p>
        </w:tc>
        <w:tc>
          <w:tcPr>
            <w:tcW w:w="1842" w:type="dxa"/>
            <w:vAlign w:val="center"/>
          </w:tcPr>
          <w:p w14:paraId="2C4629AD">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税金</w:t>
            </w:r>
          </w:p>
        </w:tc>
        <w:tc>
          <w:tcPr>
            <w:tcW w:w="6412" w:type="dxa"/>
            <w:gridSpan w:val="6"/>
            <w:vAlign w:val="center"/>
          </w:tcPr>
          <w:p w14:paraId="1869B39E">
            <w:pPr>
              <w:pStyle w:val="5"/>
              <w:snapToGrid w:val="0"/>
              <w:ind w:firstLine="0"/>
              <w:jc w:val="center"/>
              <w:rPr>
                <w:rFonts w:hAnsi="宋体"/>
                <w:color w:val="000000" w:themeColor="text1"/>
                <w:sz w:val="21"/>
                <w:szCs w:val="21"/>
                <w14:textFill>
                  <w14:solidFill>
                    <w14:schemeClr w14:val="tx1"/>
                  </w14:solidFill>
                </w14:textFill>
              </w:rPr>
            </w:pPr>
          </w:p>
        </w:tc>
      </w:tr>
      <w:tr w14:paraId="342C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CCE3CE9">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7</w:t>
            </w:r>
          </w:p>
        </w:tc>
        <w:tc>
          <w:tcPr>
            <w:tcW w:w="1842" w:type="dxa"/>
            <w:vAlign w:val="center"/>
          </w:tcPr>
          <w:p w14:paraId="5867634C">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技术服务费</w:t>
            </w:r>
          </w:p>
        </w:tc>
        <w:tc>
          <w:tcPr>
            <w:tcW w:w="6412" w:type="dxa"/>
            <w:gridSpan w:val="6"/>
            <w:vAlign w:val="center"/>
          </w:tcPr>
          <w:p w14:paraId="543B5374">
            <w:pPr>
              <w:pStyle w:val="5"/>
              <w:snapToGrid w:val="0"/>
              <w:ind w:firstLine="0"/>
              <w:jc w:val="center"/>
              <w:rPr>
                <w:rFonts w:hAnsi="宋体"/>
                <w:color w:val="000000" w:themeColor="text1"/>
                <w:sz w:val="21"/>
                <w:szCs w:val="21"/>
                <w14:textFill>
                  <w14:solidFill>
                    <w14:schemeClr w14:val="tx1"/>
                  </w14:solidFill>
                </w14:textFill>
              </w:rPr>
            </w:pPr>
          </w:p>
        </w:tc>
      </w:tr>
      <w:tr w14:paraId="04EB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553CC82">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8</w:t>
            </w:r>
          </w:p>
        </w:tc>
        <w:tc>
          <w:tcPr>
            <w:tcW w:w="1842" w:type="dxa"/>
            <w:vAlign w:val="center"/>
          </w:tcPr>
          <w:p w14:paraId="269FF58A">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培训费</w:t>
            </w:r>
          </w:p>
        </w:tc>
        <w:tc>
          <w:tcPr>
            <w:tcW w:w="6412" w:type="dxa"/>
            <w:gridSpan w:val="6"/>
            <w:vAlign w:val="center"/>
          </w:tcPr>
          <w:p w14:paraId="03CA85B6">
            <w:pPr>
              <w:pStyle w:val="5"/>
              <w:snapToGrid w:val="0"/>
              <w:ind w:firstLine="0"/>
              <w:jc w:val="center"/>
              <w:rPr>
                <w:rFonts w:hAnsi="宋体"/>
                <w:color w:val="000000" w:themeColor="text1"/>
                <w:sz w:val="21"/>
                <w:szCs w:val="21"/>
                <w14:textFill>
                  <w14:solidFill>
                    <w14:schemeClr w14:val="tx1"/>
                  </w14:solidFill>
                </w14:textFill>
              </w:rPr>
            </w:pPr>
          </w:p>
        </w:tc>
      </w:tr>
      <w:tr w14:paraId="2666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3F66288">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9</w:t>
            </w:r>
          </w:p>
        </w:tc>
        <w:tc>
          <w:tcPr>
            <w:tcW w:w="1842" w:type="dxa"/>
            <w:vAlign w:val="center"/>
          </w:tcPr>
          <w:p w14:paraId="27479E77">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质量保证期内的服务费用</w:t>
            </w:r>
          </w:p>
        </w:tc>
        <w:tc>
          <w:tcPr>
            <w:tcW w:w="6412" w:type="dxa"/>
            <w:gridSpan w:val="6"/>
            <w:vAlign w:val="center"/>
          </w:tcPr>
          <w:p w14:paraId="48565D63">
            <w:pPr>
              <w:pStyle w:val="5"/>
              <w:snapToGrid w:val="0"/>
              <w:ind w:firstLine="0"/>
              <w:jc w:val="center"/>
              <w:rPr>
                <w:rFonts w:hAnsi="宋体"/>
                <w:color w:val="000000" w:themeColor="text1"/>
                <w:sz w:val="21"/>
                <w:szCs w:val="21"/>
                <w14:textFill>
                  <w14:solidFill>
                    <w14:schemeClr w14:val="tx1"/>
                  </w14:solidFill>
                </w14:textFill>
              </w:rPr>
            </w:pPr>
          </w:p>
        </w:tc>
      </w:tr>
      <w:tr w14:paraId="3021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24B0621A">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10</w:t>
            </w:r>
          </w:p>
        </w:tc>
        <w:tc>
          <w:tcPr>
            <w:tcW w:w="1842" w:type="dxa"/>
            <w:vAlign w:val="center"/>
          </w:tcPr>
          <w:p w14:paraId="2A3EA725">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其他费用</w:t>
            </w:r>
          </w:p>
          <w:p w14:paraId="11201E71">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（该表中无体现的费用但本项目有产生的其他费用）</w:t>
            </w:r>
          </w:p>
        </w:tc>
        <w:tc>
          <w:tcPr>
            <w:tcW w:w="6412" w:type="dxa"/>
            <w:gridSpan w:val="6"/>
            <w:vAlign w:val="center"/>
          </w:tcPr>
          <w:p w14:paraId="62CB65EC">
            <w:pPr>
              <w:pStyle w:val="5"/>
              <w:snapToGrid w:val="0"/>
              <w:ind w:firstLine="0"/>
              <w:jc w:val="center"/>
              <w:rPr>
                <w:rFonts w:hAnsi="宋体"/>
                <w:color w:val="000000" w:themeColor="text1"/>
                <w:sz w:val="21"/>
                <w:szCs w:val="21"/>
                <w14:textFill>
                  <w14:solidFill>
                    <w14:schemeClr w14:val="tx1"/>
                  </w14:solidFill>
                </w14:textFill>
              </w:rPr>
            </w:pPr>
          </w:p>
        </w:tc>
      </w:tr>
      <w:tr w14:paraId="3D41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1E15499">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11</w:t>
            </w:r>
          </w:p>
        </w:tc>
        <w:tc>
          <w:tcPr>
            <w:tcW w:w="1842" w:type="dxa"/>
            <w:vAlign w:val="center"/>
          </w:tcPr>
          <w:p w14:paraId="4A7B2009">
            <w:pPr>
              <w:pStyle w:val="5"/>
              <w:snapToGrid w:val="0"/>
              <w:ind w:firstLine="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报价总价</w:t>
            </w:r>
          </w:p>
        </w:tc>
        <w:tc>
          <w:tcPr>
            <w:tcW w:w="3208" w:type="dxa"/>
            <w:gridSpan w:val="3"/>
            <w:vAlign w:val="center"/>
          </w:tcPr>
          <w:p w14:paraId="1AF0B124">
            <w:pPr>
              <w:pStyle w:val="5"/>
              <w:snapToGrid w:val="0"/>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（大写）人民币</w:t>
            </w:r>
          </w:p>
        </w:tc>
        <w:tc>
          <w:tcPr>
            <w:tcW w:w="3204" w:type="dxa"/>
            <w:gridSpan w:val="3"/>
            <w:vAlign w:val="center"/>
          </w:tcPr>
          <w:p w14:paraId="03A3D594">
            <w:pPr>
              <w:pStyle w:val="5"/>
              <w:snapToGrid w:val="0"/>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（小写）￥</w:t>
            </w:r>
          </w:p>
        </w:tc>
      </w:tr>
      <w:tr w14:paraId="11E9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9B8DBAE">
            <w:pPr>
              <w:pStyle w:val="5"/>
              <w:snapToGrid w:val="0"/>
              <w:ind w:firstLine="0"/>
              <w:jc w:val="center"/>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12</w:t>
            </w:r>
          </w:p>
        </w:tc>
        <w:tc>
          <w:tcPr>
            <w:tcW w:w="1842" w:type="dxa"/>
            <w:vAlign w:val="center"/>
          </w:tcPr>
          <w:p w14:paraId="6B6C3DF2">
            <w:pPr>
              <w:pStyle w:val="5"/>
              <w:snapToGrid w:val="0"/>
              <w:ind w:firstLine="0"/>
              <w:jc w:val="center"/>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备注</w:t>
            </w:r>
          </w:p>
        </w:tc>
        <w:tc>
          <w:tcPr>
            <w:tcW w:w="6412" w:type="dxa"/>
            <w:gridSpan w:val="6"/>
            <w:vAlign w:val="center"/>
          </w:tcPr>
          <w:p w14:paraId="5A84CF82">
            <w:pPr>
              <w:pStyle w:val="5"/>
              <w:snapToGrid w:val="0"/>
              <w:ind w:firstLine="0"/>
              <w:jc w:val="center"/>
              <w:rPr>
                <w:rFonts w:hAnsi="宋体"/>
                <w:bCs/>
                <w:color w:val="000000" w:themeColor="text1"/>
                <w:sz w:val="21"/>
                <w:szCs w:val="21"/>
                <w14:textFill>
                  <w14:solidFill>
                    <w14:schemeClr w14:val="tx1"/>
                  </w14:solidFill>
                </w14:textFill>
              </w:rPr>
            </w:pPr>
          </w:p>
        </w:tc>
      </w:tr>
    </w:tbl>
    <w:p w14:paraId="29A544DB">
      <w:pPr>
        <w:spacing w:line="4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注：1、若最终报价在第一次报价的基础上有浮动，则最终报价中的各分项报价须按比例统一浮动。</w:t>
      </w:r>
    </w:p>
    <w:p w14:paraId="10FAFA5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2、如本表格式内容不能满足需要，供应商可自行划表填写。</w:t>
      </w:r>
    </w:p>
    <w:p w14:paraId="603755E8">
      <w:pPr>
        <w:adjustRightInd w:val="0"/>
        <w:snapToGrid w:val="0"/>
        <w:spacing w:line="360" w:lineRule="auto"/>
        <w:rPr>
          <w:rFonts w:ascii="宋体" w:hAnsi="宋体"/>
          <w:bCs/>
          <w:color w:val="000000" w:themeColor="text1"/>
          <w:szCs w:val="21"/>
          <w14:textFill>
            <w14:solidFill>
              <w14:schemeClr w14:val="tx1"/>
            </w14:solidFill>
          </w14:textFill>
        </w:rPr>
      </w:pPr>
    </w:p>
    <w:p w14:paraId="78C91621">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6052835A">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44666679">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14:paraId="11A5E633">
      <w:pP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br w:type="page"/>
      </w:r>
    </w:p>
    <w:p w14:paraId="35D36E25">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318" w:name="_Toc29219"/>
      <w:r>
        <w:rPr>
          <w:rFonts w:hint="eastAsia" w:ascii="宋体" w:hAnsi="宋体"/>
          <w:color w:val="000000" w:themeColor="text1"/>
          <w:sz w:val="28"/>
          <w:szCs w:val="28"/>
          <w14:textFill>
            <w14:solidFill>
              <w14:schemeClr w14:val="tx1"/>
            </w14:solidFill>
          </w14:textFill>
        </w:rPr>
        <w:t>附件四：商务条款偏离一览表</w:t>
      </w:r>
      <w:bookmarkEnd w:id="316"/>
      <w:bookmarkEnd w:id="317"/>
      <w:bookmarkEnd w:id="318"/>
    </w:p>
    <w:p w14:paraId="38230411">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YXCG-20260521</w:t>
      </w:r>
    </w:p>
    <w:p w14:paraId="145522D6">
      <w:pPr>
        <w:adjustRightInd w:val="0"/>
        <w:snapToGrid w:val="0"/>
        <w:spacing w:line="360" w:lineRule="auto"/>
        <w:jc w:val="left"/>
        <w:rPr>
          <w:rFonts w:ascii="宋体" w:hAnsi="宋体"/>
          <w:color w:val="000000" w:themeColor="text1"/>
          <w:spacing w:val="10"/>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14:textFill>
            <w14:solidFill>
              <w14:schemeClr w14:val="tx1"/>
            </w14:solidFill>
          </w14:textFill>
        </w:rPr>
        <w:t xml:space="preserve">菩堤海风场2026年防雷检测交通船租赁采购项目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2C7A4D4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41C75B2">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25943CFD">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E8AEFF5">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6B53F65C">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7D0197AA">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14:paraId="51A5A156">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0232165F">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14:paraId="25BECE2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9AA97A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74E7F9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6040F5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AFEBA1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9E777D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6FEC8D8">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01CF872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1EC776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E04D04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C0D178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DC20A7">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62AAB3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D18A667">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1A2F78E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1C6CFF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1881B2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84FF4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F91A41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EC7B65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A11D3B5">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58A7EC7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C99E4C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7646CC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0E386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29B0F6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33DA1B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C04F360">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5AAF733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11716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F760B4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30CAD7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118ABA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3A4704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5605C86">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00EF8D0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41439A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698305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61E56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2723785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FC12AA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4DE08DB">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5FF1D6E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EAB621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5F0C4B1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C03E18">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7C66F27">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F6FDF28">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0C955AC">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3346E7E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0E57F4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67D4C587">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ABFACF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1DB014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AA882F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39AA7D50">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0CDA468E">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F771A37">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FF44BB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EE9D7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FD1A64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C34053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C4E38B9">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1B7EF65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1A50C7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A93E5F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D4CECB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B6F644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7CAF402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8880896">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1BE1822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094399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7C1E6D97">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E662E7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B6D0CD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B8F90C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23CF029">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17F09B2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14F39D78">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13F824C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197197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300AEA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7740B0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B937F07">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4CE1496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0806C1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47F6027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2AF1A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53951C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FA43967">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41C6B05">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2EF580F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BF608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03F8CBA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0F827E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F25C66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04B1BD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9FA1199">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58330B6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7C3B64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14:paraId="3626ED1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1DA60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5481EF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02ADFA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06C6E246">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14:paraId="20BB590D">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14:paraId="49CAAF97">
      <w:pPr>
        <w:adjustRightInd w:val="0"/>
        <w:snapToGrid w:val="0"/>
        <w:spacing w:line="360" w:lineRule="auto"/>
        <w:ind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2）对磋商文件中商务条款按上列格式逐条说明。</w:t>
      </w:r>
    </w:p>
    <w:p w14:paraId="082F59BE">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供应商声明：表中未列全的商务条款，我方均表示完全响应磋商文件商务条款的所有要求。</w:t>
      </w:r>
    </w:p>
    <w:p w14:paraId="0EB7EB99">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14:paraId="54F9B015">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7BD4FA5D">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782D9320">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3B6F3B4C">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319" w:name="_Toc200414529"/>
      <w:bookmarkStart w:id="320" w:name="_Toc7960"/>
      <w:bookmarkStart w:id="321" w:name="_Toc469160799"/>
      <w:r>
        <w:rPr>
          <w:rFonts w:hint="eastAsia" w:ascii="宋体" w:hAnsi="宋体"/>
          <w:color w:val="000000" w:themeColor="text1"/>
          <w:sz w:val="28"/>
          <w:szCs w:val="28"/>
          <w14:textFill>
            <w14:solidFill>
              <w14:schemeClr w14:val="tx1"/>
            </w14:solidFill>
          </w14:textFill>
        </w:rPr>
        <w:t>附件五：技术条款偏离一览表</w:t>
      </w:r>
      <w:bookmarkEnd w:id="319"/>
      <w:bookmarkEnd w:id="320"/>
      <w:bookmarkEnd w:id="321"/>
    </w:p>
    <w:p w14:paraId="194393E3">
      <w:pPr>
        <w:adjustRightInd w:val="0"/>
        <w:snapToGrid w:val="0"/>
        <w:spacing w:line="36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YXCG-20260521</w:t>
      </w:r>
      <w:r>
        <w:rPr>
          <w:rFonts w:hint="eastAsia" w:ascii="宋体" w:hAnsi="宋体"/>
          <w:color w:val="000000" w:themeColor="text1"/>
          <w:szCs w:val="21"/>
          <w:u w:val="single"/>
          <w14:textFill>
            <w14:solidFill>
              <w14:schemeClr w14:val="tx1"/>
            </w14:solidFill>
          </w14:textFill>
        </w:rPr>
        <w:t xml:space="preserve"> </w:t>
      </w:r>
    </w:p>
    <w:p w14:paraId="777B305F">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14:textFill>
            <w14:solidFill>
              <w14:schemeClr w14:val="tx1"/>
            </w14:solidFill>
          </w14:textFill>
        </w:rPr>
        <w:t xml:space="preserve">菩堤海风场2026年防雷检测交通船租赁采购项目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2A1F1FB4">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59DA745">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1EE66A46">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6FAF2CF7">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A76C46E">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6A8F937D">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14:paraId="29D8B78F">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580F1A3">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14:paraId="56C1942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83B393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F0FF59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A77582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29170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30919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4CF7000">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6A8DBC3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3A7325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A9F37E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9A444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5A226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E0A448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3FA27E">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55F6BF9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48B8AB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C34B2A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2A39E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69F1B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7EA9C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ED5807">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7F5514D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5A91A4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9DF0D4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EE8A1B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9F8779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BE241D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3F423F7">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3B76CFE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0ABB05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4654453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6A578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39CAF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600B5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82B0D0">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434F54B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354293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3F92CF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621CDD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354292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C41C0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12BD2B">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3E7D1FD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9FF593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355677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34B6A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DB7A5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FABB0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F8DD3E">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426238B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454C73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1D79DF8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04C0F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04426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BFBCC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9EBC72">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684D1E3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8956B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AB82E4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76905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393449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C036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9FB067">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45E8F150">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F8AC828">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66CAFC9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714F05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89ED7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CDEDD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0AA0C6">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32EEB92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EE10EC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3BBCC505">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9492B0B">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DF5CB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56BAB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647EE9">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542FBCD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5A96DE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ED8B4F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49420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92CD01">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B542978">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4EB2E1">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2EA96F0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5358528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56C4E42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5AFD9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5F990A">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E9FD2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1C2923">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3651D7A3">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692A77C">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D0EC530">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A81C97F">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2FF9A6">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A43AAB4">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A3A2ED">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14:paraId="21E88888">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6E86E29">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14:paraId="08C60F6E">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35533D">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264C92">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29D373">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E7D42C">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14:paraId="138C46D3">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14:paraId="32DC114F">
      <w:pPr>
        <w:adjustRightInd w:val="0"/>
        <w:snapToGrid w:val="0"/>
        <w:spacing w:line="360" w:lineRule="auto"/>
        <w:ind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2）对磋商文件中技术条款按上列格式逐条说明。</w:t>
      </w:r>
    </w:p>
    <w:p w14:paraId="0A06F7E5">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供应商声明：表中未列全的技术条款，我方均表示完全响应磋商文件技术条款的所有要求。</w:t>
      </w:r>
    </w:p>
    <w:p w14:paraId="19673CBA">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14:paraId="02055F46">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14:paraId="765B0786">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6C7706F3">
      <w:pPr>
        <w:pStyle w:val="5"/>
        <w:spacing w:line="360" w:lineRule="auto"/>
        <w:ind w:firstLine="0"/>
        <w:rPr>
          <w:rFonts w:hAnsi="宋体"/>
          <w:bCs/>
          <w:color w:val="000000" w:themeColor="text1"/>
          <w:szCs w:val="21"/>
          <w14:textFill>
            <w14:solidFill>
              <w14:schemeClr w14:val="tx1"/>
            </w14:solidFill>
          </w14:textFill>
        </w:rPr>
      </w:pPr>
    </w:p>
    <w:p w14:paraId="4E5764A5">
      <w:pPr>
        <w:pStyle w:val="3"/>
        <w:numPr>
          <w:ilvl w:val="1"/>
          <w:numId w:val="0"/>
        </w:numPr>
        <w:tabs>
          <w:tab w:val="left" w:pos="420"/>
        </w:tabs>
        <w:spacing w:before="200" w:after="200" w:line="360" w:lineRule="auto"/>
        <w:ind w:left="420" w:hanging="420"/>
        <w:rPr>
          <w:rFonts w:ascii="宋体" w:hAnsi="宋体"/>
          <w:color w:val="000000" w:themeColor="text1"/>
          <w14:textFill>
            <w14:solidFill>
              <w14:schemeClr w14:val="tx1"/>
            </w14:solidFill>
          </w14:textFill>
        </w:rPr>
      </w:pPr>
      <w:bookmarkStart w:id="322" w:name="_Toc12109"/>
      <w:r>
        <w:rPr>
          <w:rFonts w:hint="eastAsia" w:ascii="宋体" w:hAnsi="宋体"/>
          <w:color w:val="000000" w:themeColor="text1"/>
          <w:sz w:val="28"/>
          <w:szCs w:val="28"/>
          <w14:textFill>
            <w14:solidFill>
              <w14:schemeClr w14:val="tx1"/>
            </w14:solidFill>
          </w14:textFill>
        </w:rPr>
        <w:t>附件六：同类业绩一览表</w:t>
      </w:r>
      <w:bookmarkEnd w:id="322"/>
    </w:p>
    <w:p w14:paraId="4A5A5D59">
      <w:pPr>
        <w:pStyle w:val="5"/>
        <w:rPr>
          <w:color w:val="000000" w:themeColor="text1"/>
          <w14:textFill>
            <w14:solidFill>
              <w14:schemeClr w14:val="tx1"/>
            </w14:solidFill>
          </w14:textFill>
        </w:rPr>
      </w:pPr>
    </w:p>
    <w:p w14:paraId="09E38449">
      <w:pPr>
        <w:pStyle w:val="5"/>
        <w:spacing w:line="360" w:lineRule="auto"/>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项目编号: </w:t>
      </w:r>
      <w:r>
        <w:rPr>
          <w:rFonts w:hint="eastAsia"/>
          <w:b/>
          <w:bCs/>
          <w:color w:val="000000" w:themeColor="text1"/>
          <w:sz w:val="21"/>
          <w:szCs w:val="21"/>
          <w:u w:val="single"/>
          <w14:textFill>
            <w14:solidFill>
              <w14:schemeClr w14:val="tx1"/>
            </w14:solidFill>
          </w14:textFill>
        </w:rPr>
        <w:t>YXCG-20260521</w:t>
      </w:r>
      <w:r>
        <w:rPr>
          <w:rFonts w:hint="eastAsia"/>
          <w:b/>
          <w:bCs/>
          <w:color w:val="000000" w:themeColor="text1"/>
          <w:sz w:val="21"/>
          <w:szCs w:val="21"/>
          <w14:textFill>
            <w14:solidFill>
              <w14:schemeClr w14:val="tx1"/>
            </w14:solidFill>
          </w14:textFill>
        </w:rPr>
        <w:t xml:space="preserve">  </w:t>
      </w:r>
    </w:p>
    <w:p w14:paraId="2935A61E">
      <w:pPr>
        <w:pStyle w:val="5"/>
        <w:spacing w:line="360" w:lineRule="auto"/>
        <w:rPr>
          <w:b/>
          <w:bCs/>
          <w:color w:val="000000" w:themeColor="text1"/>
          <w:sz w:val="21"/>
          <w:szCs w:val="21"/>
          <w:u w:val="single"/>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r>
        <w:rPr>
          <w:rFonts w:hint="eastAsia"/>
          <w:b/>
          <w:bCs/>
          <w:color w:val="000000" w:themeColor="text1"/>
          <w:sz w:val="21"/>
          <w:szCs w:val="21"/>
          <w:u w:val="single"/>
          <w14:textFill>
            <w14:solidFill>
              <w14:schemeClr w14:val="tx1"/>
            </w14:solidFill>
          </w14:textFill>
        </w:rPr>
        <w:t>菩堤海风场2026年防雷检测交通船租赁采购项目</w:t>
      </w:r>
    </w:p>
    <w:p w14:paraId="595B2188">
      <w:pPr>
        <w:pStyle w:val="5"/>
        <w:ind w:firstLine="0"/>
        <w:rPr>
          <w:b/>
          <w:bCs/>
          <w:color w:val="000000" w:themeColor="text1"/>
          <w:sz w:val="21"/>
          <w:szCs w:val="21"/>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814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5679719B">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14:paraId="57387277">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14:paraId="0E2435F1">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14:paraId="4C870B7D">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14:paraId="35619CBC">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14:paraId="10AC691B">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14:paraId="6D87B75F">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14:paraId="3E80E836">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14:paraId="18E50F33">
            <w:pPr>
              <w:pStyle w:val="5"/>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14:paraId="13A9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DE501A">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14:paraId="374C6142">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14:paraId="2D319B19">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56C89BC8">
            <w:pPr>
              <w:pStyle w:val="5"/>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14:paraId="6F34414A">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5E7BD2FF">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2B0C6773">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7C8BD0CC">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41EDF105">
            <w:pPr>
              <w:pStyle w:val="5"/>
              <w:snapToGrid w:val="0"/>
              <w:jc w:val="center"/>
              <w:rPr>
                <w:rFonts w:hAnsi="宋体"/>
                <w:bCs/>
                <w:color w:val="000000" w:themeColor="text1"/>
                <w:kern w:val="2"/>
                <w:sz w:val="21"/>
                <w:szCs w:val="24"/>
                <w14:textFill>
                  <w14:solidFill>
                    <w14:schemeClr w14:val="tx1"/>
                  </w14:solidFill>
                </w14:textFill>
              </w:rPr>
            </w:pPr>
          </w:p>
        </w:tc>
      </w:tr>
      <w:tr w14:paraId="0C87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A8CC323">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14:paraId="57A31839">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14:paraId="0C16AEB6">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611C4D50">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14:paraId="164DAD83">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64F4B2B6">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5EA8CF78">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139A4CBC">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67657278">
            <w:pPr>
              <w:pStyle w:val="5"/>
              <w:snapToGrid w:val="0"/>
              <w:jc w:val="center"/>
              <w:rPr>
                <w:rFonts w:hAnsi="宋体"/>
                <w:bCs/>
                <w:color w:val="000000" w:themeColor="text1"/>
                <w:kern w:val="2"/>
                <w:sz w:val="21"/>
                <w:szCs w:val="24"/>
                <w14:textFill>
                  <w14:solidFill>
                    <w14:schemeClr w14:val="tx1"/>
                  </w14:solidFill>
                </w14:textFill>
              </w:rPr>
            </w:pPr>
          </w:p>
        </w:tc>
      </w:tr>
      <w:tr w14:paraId="760E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A20DCA1">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14:paraId="420EB67B">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14:paraId="5DCF9F28">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441F8E75">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14:paraId="33170E45">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550B0B99">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2C03DE5C">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1FB02477">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121E006A">
            <w:pPr>
              <w:pStyle w:val="5"/>
              <w:snapToGrid w:val="0"/>
              <w:jc w:val="center"/>
              <w:rPr>
                <w:rFonts w:hAnsi="宋体"/>
                <w:bCs/>
                <w:color w:val="000000" w:themeColor="text1"/>
                <w:kern w:val="2"/>
                <w:sz w:val="21"/>
                <w:szCs w:val="24"/>
                <w14:textFill>
                  <w14:solidFill>
                    <w14:schemeClr w14:val="tx1"/>
                  </w14:solidFill>
                </w14:textFill>
              </w:rPr>
            </w:pPr>
          </w:p>
        </w:tc>
      </w:tr>
      <w:tr w14:paraId="28AB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53EF5F7">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14:paraId="3DD2E6AA">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14:paraId="2AA23E26">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1103AFCD">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14:paraId="3CE8F77C">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7C0C6FDC">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51FE44A4">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2C4F0454">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3CC492FC">
            <w:pPr>
              <w:pStyle w:val="5"/>
              <w:snapToGrid w:val="0"/>
              <w:jc w:val="center"/>
              <w:rPr>
                <w:rFonts w:hAnsi="宋体"/>
                <w:bCs/>
                <w:color w:val="000000" w:themeColor="text1"/>
                <w:kern w:val="2"/>
                <w:sz w:val="21"/>
                <w:szCs w:val="24"/>
                <w14:textFill>
                  <w14:solidFill>
                    <w14:schemeClr w14:val="tx1"/>
                  </w14:solidFill>
                </w14:textFill>
              </w:rPr>
            </w:pPr>
          </w:p>
        </w:tc>
      </w:tr>
      <w:tr w14:paraId="4238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465E5EA">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14:paraId="4171927A">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14:paraId="3BBE4C9B">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70CD0486">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14:paraId="5855771A">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0DF4DF0E">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1BE4087D">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3A10FE23">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2FB5E001">
            <w:pPr>
              <w:pStyle w:val="5"/>
              <w:snapToGrid w:val="0"/>
              <w:jc w:val="center"/>
              <w:rPr>
                <w:rFonts w:hAnsi="宋体"/>
                <w:bCs/>
                <w:color w:val="000000" w:themeColor="text1"/>
                <w:kern w:val="2"/>
                <w:sz w:val="21"/>
                <w:szCs w:val="24"/>
                <w14:textFill>
                  <w14:solidFill>
                    <w14:schemeClr w14:val="tx1"/>
                  </w14:solidFill>
                </w14:textFill>
              </w:rPr>
            </w:pPr>
          </w:p>
        </w:tc>
      </w:tr>
      <w:tr w14:paraId="0287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734B0B">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14:paraId="360B9E40">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14:paraId="0B36C513">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0025EAC5">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14:paraId="57900E13">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77C7CD55">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32D37A9F">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4A405D14">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1D60B488">
            <w:pPr>
              <w:pStyle w:val="5"/>
              <w:snapToGrid w:val="0"/>
              <w:jc w:val="center"/>
              <w:rPr>
                <w:rFonts w:hAnsi="宋体"/>
                <w:bCs/>
                <w:color w:val="000000" w:themeColor="text1"/>
                <w:kern w:val="2"/>
                <w:sz w:val="21"/>
                <w:szCs w:val="24"/>
                <w14:textFill>
                  <w14:solidFill>
                    <w14:schemeClr w14:val="tx1"/>
                  </w14:solidFill>
                </w14:textFill>
              </w:rPr>
            </w:pPr>
          </w:p>
        </w:tc>
      </w:tr>
      <w:tr w14:paraId="405B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FA0DD51">
            <w:pPr>
              <w:pStyle w:val="5"/>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14:paraId="01EDA2D7">
            <w:pPr>
              <w:pStyle w:val="5"/>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14:paraId="3C26ABA5">
            <w:pPr>
              <w:pStyle w:val="5"/>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14:paraId="6281A971">
            <w:pPr>
              <w:pStyle w:val="5"/>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14:paraId="155B0335">
            <w:pPr>
              <w:pStyle w:val="5"/>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14:paraId="2E36C911">
            <w:pPr>
              <w:pStyle w:val="5"/>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14:paraId="2D7AB8D3">
            <w:pPr>
              <w:pStyle w:val="5"/>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14:paraId="1973114E">
            <w:pPr>
              <w:pStyle w:val="5"/>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14:paraId="3228D326">
            <w:pPr>
              <w:pStyle w:val="5"/>
              <w:snapToGrid w:val="0"/>
              <w:jc w:val="center"/>
              <w:rPr>
                <w:rFonts w:hAnsi="宋体"/>
                <w:bCs/>
                <w:color w:val="000000" w:themeColor="text1"/>
                <w:kern w:val="2"/>
                <w:sz w:val="21"/>
                <w:szCs w:val="24"/>
                <w14:textFill>
                  <w14:solidFill>
                    <w14:schemeClr w14:val="tx1"/>
                  </w14:solidFill>
                </w14:textFill>
              </w:rPr>
            </w:pPr>
          </w:p>
        </w:tc>
      </w:tr>
    </w:tbl>
    <w:p w14:paraId="0F116957">
      <w:pPr>
        <w:pStyle w:val="5"/>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注：如本表格式内容不能满足需要，供应商可自行划表填写，但必须体现以上内容。</w:t>
      </w:r>
    </w:p>
    <w:p w14:paraId="23D94096">
      <w:pPr>
        <w:pStyle w:val="5"/>
        <w:ind w:firstLine="0"/>
        <w:rPr>
          <w:rFonts w:hAnsi="宋体"/>
          <w:bCs/>
          <w:color w:val="000000" w:themeColor="text1"/>
          <w:sz w:val="21"/>
          <w14:textFill>
            <w14:solidFill>
              <w14:schemeClr w14:val="tx1"/>
            </w14:solidFill>
          </w14:textFill>
        </w:rPr>
      </w:pPr>
    </w:p>
    <w:p w14:paraId="5883FE14">
      <w:pPr>
        <w:pStyle w:val="5"/>
        <w:ind w:firstLine="0"/>
        <w:rPr>
          <w:rFonts w:hAnsi="宋体"/>
          <w:bCs/>
          <w:color w:val="000000" w:themeColor="text1"/>
          <w:sz w:val="21"/>
          <w14:textFill>
            <w14:solidFill>
              <w14:schemeClr w14:val="tx1"/>
            </w14:solidFill>
          </w14:textFill>
        </w:rPr>
      </w:pPr>
    </w:p>
    <w:p w14:paraId="4745E857">
      <w:pPr>
        <w:pStyle w:val="5"/>
        <w:ind w:firstLine="0"/>
        <w:rPr>
          <w:rFonts w:hAnsi="宋体"/>
          <w:bCs/>
          <w:color w:val="000000" w:themeColor="text1"/>
          <w:sz w:val="21"/>
          <w14:textFill>
            <w14:solidFill>
              <w14:schemeClr w14:val="tx1"/>
            </w14:solidFill>
          </w14:textFill>
        </w:rPr>
      </w:pPr>
    </w:p>
    <w:p w14:paraId="33F2C913">
      <w:pPr>
        <w:pStyle w:val="5"/>
        <w:ind w:firstLine="0"/>
        <w:rPr>
          <w:rFonts w:hAnsi="宋体"/>
          <w:bCs/>
          <w:color w:val="000000" w:themeColor="text1"/>
          <w:sz w:val="21"/>
          <w14:textFill>
            <w14:solidFill>
              <w14:schemeClr w14:val="tx1"/>
            </w14:solidFill>
          </w14:textFill>
        </w:rPr>
      </w:pPr>
    </w:p>
    <w:p w14:paraId="21A0B438">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3C3C65EC">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14:paraId="5CB231A2">
      <w:pPr>
        <w:pStyle w:val="5"/>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14:paraId="3E7709BF">
      <w:pPr>
        <w:pStyle w:val="5"/>
        <w:ind w:firstLine="0"/>
        <w:rPr>
          <w:rFonts w:hAnsi="宋体"/>
          <w:bCs/>
          <w:color w:val="000000" w:themeColor="text1"/>
          <w:sz w:val="21"/>
          <w:szCs w:val="21"/>
          <w14:textFill>
            <w14:solidFill>
              <w14:schemeClr w14:val="tx1"/>
            </w14:solidFill>
          </w14:textFill>
        </w:rPr>
      </w:pPr>
    </w:p>
    <w:p w14:paraId="1BBAD649">
      <w:pPr>
        <w:pStyle w:val="5"/>
        <w:ind w:firstLine="0"/>
        <w:rPr>
          <w:rFonts w:hAnsi="宋体"/>
          <w:bCs/>
          <w:color w:val="000000" w:themeColor="text1"/>
          <w:sz w:val="21"/>
          <w:szCs w:val="21"/>
          <w14:textFill>
            <w14:solidFill>
              <w14:schemeClr w14:val="tx1"/>
            </w14:solidFill>
          </w14:textFill>
        </w:rPr>
      </w:pPr>
    </w:p>
    <w:p w14:paraId="1A52984A">
      <w:pPr>
        <w:pStyle w:val="5"/>
        <w:ind w:firstLine="0"/>
        <w:rPr>
          <w:rFonts w:hAnsi="宋体"/>
          <w:bCs/>
          <w:color w:val="000000" w:themeColor="text1"/>
          <w:sz w:val="21"/>
          <w:szCs w:val="21"/>
          <w14:textFill>
            <w14:solidFill>
              <w14:schemeClr w14:val="tx1"/>
            </w14:solidFill>
          </w14:textFill>
        </w:rPr>
      </w:pPr>
    </w:p>
    <w:p w14:paraId="710FBE05">
      <w:pPr>
        <w:pStyle w:val="5"/>
        <w:ind w:firstLine="0"/>
        <w:rPr>
          <w:rFonts w:hAnsi="宋体"/>
          <w:bCs/>
          <w:color w:val="000000" w:themeColor="text1"/>
          <w:sz w:val="21"/>
          <w:szCs w:val="21"/>
          <w14:textFill>
            <w14:solidFill>
              <w14:schemeClr w14:val="tx1"/>
            </w14:solidFill>
          </w14:textFill>
        </w:rPr>
      </w:pPr>
    </w:p>
    <w:p w14:paraId="00DD00E3">
      <w:pPr>
        <w:pStyle w:val="5"/>
        <w:ind w:firstLine="0"/>
        <w:rPr>
          <w:rFonts w:hAnsi="宋体"/>
          <w:bCs/>
          <w:color w:val="000000" w:themeColor="text1"/>
          <w:sz w:val="21"/>
          <w:szCs w:val="21"/>
          <w14:textFill>
            <w14:solidFill>
              <w14:schemeClr w14:val="tx1"/>
            </w14:solidFill>
          </w14:textFill>
        </w:rPr>
      </w:pPr>
    </w:p>
    <w:p w14:paraId="49FF6C8B">
      <w:pPr>
        <w:rPr>
          <w:color w:val="000000" w:themeColor="text1"/>
          <w:sz w:val="28"/>
          <w:szCs w:val="28"/>
          <w14:textFill>
            <w14:solidFill>
              <w14:schemeClr w14:val="tx1"/>
            </w14:solidFill>
          </w14:textFill>
        </w:rPr>
      </w:pPr>
      <w:bookmarkStart w:id="323" w:name="_Toc7149"/>
      <w:bookmarkStart w:id="324" w:name="_Toc430771089"/>
      <w:bookmarkStart w:id="325" w:name="_Toc432695229"/>
      <w:bookmarkStart w:id="326" w:name="_Toc11866689"/>
      <w:bookmarkStart w:id="327" w:name="_Toc432682754"/>
      <w:bookmarkStart w:id="328" w:name="_Toc11866431"/>
      <w:bookmarkStart w:id="329" w:name="_Toc343612950"/>
      <w:bookmarkStart w:id="330" w:name="_Toc345312627"/>
      <w:bookmarkStart w:id="331" w:name="_Toc342398160"/>
      <w:bookmarkStart w:id="332" w:name="_Toc332270377"/>
      <w:bookmarkStart w:id="333" w:name="_Toc339020125"/>
      <w:bookmarkStart w:id="334" w:name="_Toc333935376"/>
      <w:bookmarkStart w:id="335" w:name="_Toc340507472"/>
      <w:bookmarkStart w:id="336" w:name="_Toc102451601"/>
      <w:bookmarkStart w:id="337" w:name="_Toc331684072"/>
      <w:bookmarkStart w:id="338" w:name="_Toc366072562"/>
      <w:bookmarkStart w:id="339" w:name="_Toc331512931"/>
      <w:bookmarkStart w:id="340" w:name="_Toc333935717"/>
      <w:bookmarkStart w:id="341" w:name="_Toc343248448"/>
      <w:bookmarkStart w:id="342" w:name="_Toc336681965"/>
      <w:bookmarkStart w:id="343" w:name="_Toc342060405"/>
      <w:bookmarkStart w:id="344" w:name="_Toc340672899"/>
      <w:bookmarkStart w:id="345" w:name="_Toc350756480"/>
      <w:bookmarkStart w:id="346" w:name="_Toc333237708"/>
      <w:bookmarkStart w:id="347" w:name="_Toc333237819"/>
      <w:bookmarkStart w:id="348" w:name="_Toc339019919"/>
      <w:bookmarkStart w:id="349" w:name="_Toc365985211"/>
      <w:bookmarkStart w:id="350" w:name="_Toc342312473"/>
      <w:bookmarkStart w:id="351" w:name="_Toc332206739"/>
      <w:bookmarkStart w:id="352" w:name="_Toc336681610"/>
      <w:bookmarkStart w:id="353" w:name="_Toc339362330"/>
      <w:bookmarkStart w:id="354" w:name="_Toc343247130"/>
      <w:bookmarkStart w:id="355" w:name="_Toc339020045"/>
      <w:bookmarkStart w:id="356" w:name="_Toc333238664"/>
      <w:bookmarkStart w:id="357" w:name="_Toc365967105"/>
      <w:bookmarkStart w:id="358" w:name="_Toc340677100"/>
      <w:bookmarkStart w:id="359" w:name="_Toc337632388"/>
      <w:bookmarkStart w:id="360" w:name="_Toc342296791"/>
      <w:bookmarkStart w:id="361" w:name="_Toc339441117"/>
      <w:bookmarkStart w:id="362" w:name="_Toc339020263"/>
      <w:bookmarkStart w:id="363" w:name="_Toc330460016"/>
      <w:bookmarkStart w:id="364" w:name="_Toc350438779"/>
      <w:bookmarkStart w:id="365" w:name="_Toc341348370"/>
      <w:r>
        <w:rPr>
          <w:rFonts w:hint="eastAsia"/>
          <w:color w:val="000000" w:themeColor="text1"/>
          <w:sz w:val="28"/>
          <w:szCs w:val="28"/>
          <w14:textFill>
            <w14:solidFill>
              <w14:schemeClr w14:val="tx1"/>
            </w14:solidFill>
          </w14:textFill>
        </w:rPr>
        <w:br w:type="page"/>
      </w:r>
    </w:p>
    <w:p w14:paraId="13332120">
      <w:pPr>
        <w:pStyle w:val="3"/>
        <w:numPr>
          <w:ilvl w:val="0"/>
          <w:numId w:val="0"/>
        </w:numPr>
        <w:spacing w:line="400" w:lineRule="exact"/>
        <w:rPr>
          <w:rFonts w:hAnsi="黑体" w:cs="黑体"/>
          <w:color w:val="000000" w:themeColor="text1"/>
          <w:sz w:val="28"/>
          <w:szCs w:val="28"/>
          <w14:textFill>
            <w14:solidFill>
              <w14:schemeClr w14:val="tx1"/>
            </w14:solidFill>
          </w14:textFill>
        </w:rPr>
      </w:pPr>
      <w:bookmarkStart w:id="366" w:name="_Toc11106"/>
      <w:r>
        <w:rPr>
          <w:rFonts w:hint="eastAsia"/>
          <w:color w:val="000000" w:themeColor="text1"/>
          <w:sz w:val="28"/>
          <w:szCs w:val="28"/>
          <w14:textFill>
            <w14:solidFill>
              <w14:schemeClr w14:val="tx1"/>
            </w14:solidFill>
          </w14:textFill>
        </w:rPr>
        <w:t>附件七：</w:t>
      </w:r>
      <w:r>
        <w:rPr>
          <w:rFonts w:hint="eastAsia" w:hAnsi="黑体" w:cs="黑体"/>
          <w:color w:val="000000" w:themeColor="text1"/>
          <w:sz w:val="28"/>
          <w:szCs w:val="28"/>
          <w14:textFill>
            <w14:solidFill>
              <w14:schemeClr w14:val="tx1"/>
            </w14:solidFill>
          </w14:textFill>
        </w:rPr>
        <w:t>中小微企业声明函</w:t>
      </w:r>
      <w:bookmarkEnd w:id="323"/>
      <w:bookmarkEnd w:id="324"/>
      <w:bookmarkEnd w:id="325"/>
      <w:bookmarkEnd w:id="326"/>
      <w:bookmarkEnd w:id="327"/>
      <w:bookmarkEnd w:id="328"/>
      <w:bookmarkEnd w:id="366"/>
    </w:p>
    <w:p w14:paraId="7B1E5BAE">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color w:val="000000" w:themeColor="text1"/>
          <w:szCs w:val="21"/>
          <w14:textFill>
            <w14:solidFill>
              <w14:schemeClr w14:val="tx1"/>
            </w14:solidFill>
          </w14:textFill>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14:paraId="169DE971">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14:paraId="2421C578">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s="宋体"/>
          <w:color w:val="000000" w:themeColor="text1"/>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2741394">
      <w:pPr>
        <w:spacing w:line="440" w:lineRule="exact"/>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本公司对上述声明的真实性负责。如有虚假，将依法承担相应责任。</w:t>
      </w:r>
    </w:p>
    <w:p w14:paraId="272464FF">
      <w:pPr>
        <w:spacing w:line="440" w:lineRule="exact"/>
        <w:rPr>
          <w:rFonts w:ascii="宋体"/>
          <w:color w:val="000000" w:themeColor="text1"/>
          <w14:textFill>
            <w14:solidFill>
              <w14:schemeClr w14:val="tx1"/>
            </w14:solidFill>
          </w14:textFill>
        </w:rPr>
      </w:pPr>
    </w:p>
    <w:p w14:paraId="23FC10EA">
      <w:pPr>
        <w:spacing w:line="440" w:lineRule="exact"/>
        <w:rPr>
          <w:rFonts w:ascii="宋体"/>
          <w:color w:val="000000" w:themeColor="text1"/>
          <w14:textFill>
            <w14:solidFill>
              <w14:schemeClr w14:val="tx1"/>
            </w14:solidFill>
          </w14:textFill>
        </w:rPr>
      </w:pPr>
    </w:p>
    <w:p w14:paraId="778CA180">
      <w:pPr>
        <w:spacing w:line="440" w:lineRule="exact"/>
        <w:rPr>
          <w:rFonts w:ascii="宋体"/>
          <w:color w:val="000000" w:themeColor="text1"/>
          <w14:textFill>
            <w14:solidFill>
              <w14:schemeClr w14:val="tx1"/>
            </w14:solidFill>
          </w14:textFill>
        </w:rPr>
      </w:pPr>
    </w:p>
    <w:p w14:paraId="3A86A724">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0DB1143B">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14:paraId="7BCA9246">
      <w:pPr>
        <w:pStyle w:val="5"/>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14:paraId="7BE59928">
      <w:pPr>
        <w:spacing w:line="440" w:lineRule="exact"/>
        <w:rPr>
          <w:rFonts w:ascii="宋体"/>
          <w:color w:val="000000" w:themeColor="text1"/>
          <w14:textFill>
            <w14:solidFill>
              <w14:schemeClr w14:val="tx1"/>
            </w14:solidFill>
          </w14:textFill>
        </w:rPr>
      </w:pPr>
    </w:p>
    <w:p w14:paraId="4EF90C78">
      <w:pPr>
        <w:spacing w:line="440" w:lineRule="exact"/>
        <w:jc w:val="center"/>
        <w:rPr>
          <w:rFonts w:ascii="宋体"/>
          <w:color w:val="000000" w:themeColor="text1"/>
          <w14:textFill>
            <w14:solidFill>
              <w14:schemeClr w14:val="tx1"/>
            </w14:solidFill>
          </w14:textFill>
        </w:rPr>
      </w:pPr>
    </w:p>
    <w:p w14:paraId="7A5F35A2">
      <w:pPr>
        <w:spacing w:line="440" w:lineRule="exact"/>
        <w:jc w:val="center"/>
        <w:rPr>
          <w:rFonts w:ascii="宋体"/>
          <w:color w:val="000000" w:themeColor="text1"/>
          <w14:textFill>
            <w14:solidFill>
              <w14:schemeClr w14:val="tx1"/>
            </w14:solidFill>
          </w14:textFill>
        </w:rPr>
      </w:pPr>
    </w:p>
    <w:p w14:paraId="3800CAE8">
      <w:pPr>
        <w:spacing w:line="440" w:lineRule="exact"/>
        <w:jc w:val="center"/>
        <w:rPr>
          <w:rFonts w:ascii="宋体"/>
          <w:color w:val="000000" w:themeColor="text1"/>
          <w14:textFill>
            <w14:solidFill>
              <w14:schemeClr w14:val="tx1"/>
            </w14:solidFill>
          </w14:textFill>
        </w:rPr>
      </w:pPr>
    </w:p>
    <w:p w14:paraId="5601869E">
      <w:pPr>
        <w:spacing w:line="440" w:lineRule="exact"/>
        <w:jc w:val="center"/>
        <w:rPr>
          <w:rFonts w:ascii="宋体"/>
          <w:color w:val="000000" w:themeColor="text1"/>
          <w14:textFill>
            <w14:solidFill>
              <w14:schemeClr w14:val="tx1"/>
            </w14:solidFill>
          </w14:textFill>
        </w:rPr>
      </w:pPr>
    </w:p>
    <w:p w14:paraId="05F3811F">
      <w:pPr>
        <w:spacing w:line="440" w:lineRule="exact"/>
        <w:jc w:val="center"/>
        <w:rPr>
          <w:rFonts w:ascii="宋体"/>
          <w:color w:val="000000" w:themeColor="text1"/>
          <w14:textFill>
            <w14:solidFill>
              <w14:schemeClr w14:val="tx1"/>
            </w14:solidFill>
          </w14:textFill>
        </w:rPr>
      </w:pPr>
    </w:p>
    <w:p w14:paraId="3642F233">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14:paraId="40B3CEDE">
      <w:pPr>
        <w:pStyle w:val="5"/>
        <w:rPr>
          <w:color w:val="000000" w:themeColor="text1"/>
          <w14:textFill>
            <w14:solidFill>
              <w14:schemeClr w14:val="tx1"/>
            </w14:solidFill>
          </w14:textFill>
        </w:rPr>
      </w:pPr>
    </w:p>
    <w:p w14:paraId="508F9EB6">
      <w:pPr>
        <w:pStyle w:val="5"/>
        <w:rPr>
          <w:color w:val="000000" w:themeColor="text1"/>
          <w14:textFill>
            <w14:solidFill>
              <w14:schemeClr w14:val="tx1"/>
            </w14:solidFill>
          </w14:textFill>
        </w:rPr>
      </w:pPr>
    </w:p>
    <w:p w14:paraId="46BBDB2E">
      <w:pPr>
        <w:pStyle w:val="5"/>
        <w:rPr>
          <w:color w:val="000000" w:themeColor="text1"/>
          <w14:textFill>
            <w14:solidFill>
              <w14:schemeClr w14:val="tx1"/>
            </w14:solidFill>
          </w14:textFill>
        </w:rPr>
      </w:pPr>
    </w:p>
    <w:p w14:paraId="6FB4446D">
      <w:pPr>
        <w:pStyle w:val="5"/>
        <w:rPr>
          <w:color w:val="000000" w:themeColor="text1"/>
          <w14:textFill>
            <w14:solidFill>
              <w14:schemeClr w14:val="tx1"/>
            </w14:solidFill>
          </w14:textFill>
        </w:rPr>
      </w:pPr>
    </w:p>
    <w:p w14:paraId="688312B4">
      <w:pPr>
        <w:pStyle w:val="5"/>
        <w:rPr>
          <w:color w:val="000000" w:themeColor="text1"/>
          <w14:textFill>
            <w14:solidFill>
              <w14:schemeClr w14:val="tx1"/>
            </w14:solidFill>
          </w14:textFill>
        </w:rPr>
      </w:pPr>
    </w:p>
    <w:p w14:paraId="0D74E751">
      <w:pPr>
        <w:pStyle w:val="5"/>
        <w:ind w:firstLine="0"/>
        <w:rPr>
          <w:color w:val="000000" w:themeColor="text1"/>
          <w14:textFill>
            <w14:solidFill>
              <w14:schemeClr w14:val="tx1"/>
            </w14:solidFill>
          </w14:textFill>
        </w:rPr>
      </w:pPr>
    </w:p>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24BD4A6A">
      <w:pPr>
        <w:pStyle w:val="3"/>
        <w:keepLines w:val="0"/>
        <w:numPr>
          <w:ilvl w:val="0"/>
          <w:numId w:val="0"/>
        </w:numPr>
        <w:tabs>
          <w:tab w:val="left" w:pos="851"/>
        </w:tabs>
        <w:spacing w:before="0" w:after="0" w:line="360" w:lineRule="auto"/>
        <w:rPr>
          <w:rFonts w:ascii="宋体"/>
          <w:color w:val="000000" w:themeColor="text1"/>
          <w:sz w:val="28"/>
          <w:szCs w:val="28"/>
          <w14:textFill>
            <w14:solidFill>
              <w14:schemeClr w14:val="tx1"/>
            </w14:solidFill>
          </w14:textFill>
        </w:rPr>
      </w:pPr>
      <w:bookmarkStart w:id="367" w:name="_Toc11866432"/>
      <w:bookmarkStart w:id="368" w:name="_Toc20242"/>
      <w:bookmarkStart w:id="369" w:name="_Toc11866690"/>
      <w:bookmarkStart w:id="370" w:name="_Toc32373"/>
      <w:bookmarkStart w:id="371" w:name="_Toc6964"/>
      <w:r>
        <w:rPr>
          <w:rFonts w:hint="eastAsia"/>
          <w:color w:val="000000" w:themeColor="text1"/>
          <w:sz w:val="28"/>
          <w:szCs w:val="28"/>
          <w14:textFill>
            <w14:solidFill>
              <w14:schemeClr w14:val="tx1"/>
            </w14:solidFill>
          </w14:textFill>
        </w:rPr>
        <w:t>附件八：</w:t>
      </w:r>
      <w:r>
        <w:rPr>
          <w:rFonts w:hint="eastAsia" w:hAnsi="黑体" w:cs="黑体"/>
          <w:color w:val="000000" w:themeColor="text1"/>
          <w:sz w:val="28"/>
          <w:szCs w:val="28"/>
          <w14:textFill>
            <w14:solidFill>
              <w14:schemeClr w14:val="tx1"/>
            </w14:solidFill>
          </w14:textFill>
        </w:rPr>
        <w:t>残疾人福利性单位声明函</w:t>
      </w:r>
      <w:bookmarkEnd w:id="367"/>
      <w:bookmarkEnd w:id="368"/>
      <w:bookmarkEnd w:id="369"/>
      <w:bookmarkEnd w:id="370"/>
      <w:bookmarkEnd w:id="371"/>
    </w:p>
    <w:p w14:paraId="29C50EDB">
      <w:pPr>
        <w:spacing w:line="360" w:lineRule="auto"/>
        <w:jc w:val="center"/>
        <w:rPr>
          <w:rFonts w:ascii="宋体" w:hAnsi="宋体"/>
          <w:b/>
          <w:color w:val="000000" w:themeColor="text1"/>
          <w:sz w:val="24"/>
          <w14:textFill>
            <w14:solidFill>
              <w14:schemeClr w14:val="tx1"/>
            </w14:solidFill>
          </w14:textFill>
        </w:rPr>
      </w:pPr>
    </w:p>
    <w:p w14:paraId="75A223EA">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14:paraId="7FAC925E">
      <w:pPr>
        <w:spacing w:line="360" w:lineRule="auto"/>
        <w:jc w:val="center"/>
        <w:rPr>
          <w:rFonts w:ascii="宋体" w:hAnsi="宋体"/>
          <w:b/>
          <w:color w:val="000000" w:themeColor="text1"/>
          <w:sz w:val="24"/>
          <w14:textFill>
            <w14:solidFill>
              <w14:schemeClr w14:val="tx1"/>
            </w14:solidFill>
          </w14:textFill>
        </w:rPr>
      </w:pPr>
    </w:p>
    <w:p w14:paraId="72593637">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65D27C3">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14:paraId="5D097389">
      <w:pPr>
        <w:spacing w:line="360" w:lineRule="auto"/>
        <w:ind w:firstLine="420" w:firstLineChars="200"/>
        <w:rPr>
          <w:rFonts w:ascii="宋体" w:hAnsi="宋体" w:cs="宋体"/>
          <w:color w:val="000000" w:themeColor="text1"/>
          <w14:textFill>
            <w14:solidFill>
              <w14:schemeClr w14:val="tx1"/>
            </w14:solidFill>
          </w14:textFill>
        </w:rPr>
      </w:pPr>
    </w:p>
    <w:p w14:paraId="68B88D70">
      <w:pPr>
        <w:adjustRightInd w:val="0"/>
        <w:snapToGrid w:val="0"/>
        <w:spacing w:line="440" w:lineRule="exact"/>
        <w:rPr>
          <w:rFonts w:ascii="宋体" w:hAnsi="宋体"/>
          <w:bCs/>
          <w:color w:val="000000" w:themeColor="text1"/>
          <w:szCs w:val="21"/>
          <w14:textFill>
            <w14:solidFill>
              <w14:schemeClr w14:val="tx1"/>
            </w14:solidFill>
          </w14:textFill>
        </w:rPr>
      </w:pPr>
    </w:p>
    <w:p w14:paraId="6294FBFC">
      <w:pPr>
        <w:adjustRightInd w:val="0"/>
        <w:snapToGrid w:val="0"/>
        <w:spacing w:line="440" w:lineRule="exact"/>
        <w:rPr>
          <w:rFonts w:ascii="宋体" w:hAnsi="宋体"/>
          <w:bCs/>
          <w:color w:val="000000" w:themeColor="text1"/>
          <w:szCs w:val="21"/>
          <w14:textFill>
            <w14:solidFill>
              <w14:schemeClr w14:val="tx1"/>
            </w14:solidFill>
          </w14:textFill>
        </w:rPr>
      </w:pPr>
    </w:p>
    <w:p w14:paraId="24B0E942">
      <w:pPr>
        <w:adjustRightInd w:val="0"/>
        <w:snapToGrid w:val="0"/>
        <w:spacing w:line="440" w:lineRule="exact"/>
        <w:rPr>
          <w:rFonts w:ascii="宋体" w:hAnsi="宋体"/>
          <w:bCs/>
          <w:color w:val="000000" w:themeColor="text1"/>
          <w:szCs w:val="21"/>
          <w14:textFill>
            <w14:solidFill>
              <w14:schemeClr w14:val="tx1"/>
            </w14:solidFill>
          </w14:textFill>
        </w:rPr>
      </w:pPr>
    </w:p>
    <w:p w14:paraId="0C978E22">
      <w:pPr>
        <w:adjustRightInd w:val="0"/>
        <w:snapToGrid w:val="0"/>
        <w:spacing w:line="440" w:lineRule="exact"/>
        <w:rPr>
          <w:rFonts w:ascii="宋体" w:hAnsi="宋体"/>
          <w:bCs/>
          <w:color w:val="000000" w:themeColor="text1"/>
          <w:szCs w:val="21"/>
          <w14:textFill>
            <w14:solidFill>
              <w14:schemeClr w14:val="tx1"/>
            </w14:solidFill>
          </w14:textFill>
        </w:rPr>
      </w:pPr>
    </w:p>
    <w:p w14:paraId="58B18A5E">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供应商法定代表人（负责人）或授权代理人（签字）：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14:paraId="4EF7F829">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14:paraId="13EBF821">
      <w:pPr>
        <w:pStyle w:val="5"/>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14:paraId="3D521A6A">
      <w:pPr>
        <w:pStyle w:val="5"/>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cols w:space="720" w:num="1"/>
          <w:docGrid w:linePitch="312" w:charSpace="0"/>
        </w:sectPr>
      </w:pPr>
    </w:p>
    <w:p w14:paraId="1228A661">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372" w:name="_Toc200414534"/>
      <w:bookmarkStart w:id="373" w:name="_Toc8442"/>
      <w:bookmarkStart w:id="374" w:name="_Toc469160804"/>
      <w:r>
        <w:rPr>
          <w:rFonts w:hint="eastAsia" w:ascii="宋体" w:hAnsi="宋体"/>
          <w:color w:val="000000" w:themeColor="text1"/>
          <w:sz w:val="28"/>
          <w:szCs w:val="28"/>
          <w14:textFill>
            <w14:solidFill>
              <w14:schemeClr w14:val="tx1"/>
            </w14:solidFill>
          </w14:textFill>
        </w:rPr>
        <w:t>附件九：成交服务费承诺</w:t>
      </w:r>
      <w:bookmarkEnd w:id="372"/>
      <w:bookmarkEnd w:id="373"/>
      <w:bookmarkEnd w:id="374"/>
    </w:p>
    <w:p w14:paraId="77C8B4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致（代理机构）：</w:t>
      </w:r>
    </w:p>
    <w:p w14:paraId="68E01CA9">
      <w:pPr>
        <w:spacing w:line="360" w:lineRule="auto"/>
        <w:rPr>
          <w:rFonts w:ascii="宋体" w:hAnsi="宋体"/>
          <w:color w:val="000000" w:themeColor="text1"/>
          <w:szCs w:val="21"/>
          <w14:textFill>
            <w14:solidFill>
              <w14:schemeClr w14:val="tx1"/>
            </w14:solidFill>
          </w14:textFill>
        </w:rPr>
      </w:pPr>
    </w:p>
    <w:p w14:paraId="78D3646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针对贵方组织的（项目名称：</w:t>
      </w:r>
      <w:r>
        <w:rPr>
          <w:rFonts w:hint="eastAsia" w:ascii="宋体" w:hAnsi="宋体"/>
          <w:b/>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磋商项目（</w:t>
      </w:r>
      <w:r>
        <w:rPr>
          <w:rFonts w:hint="eastAsia" w:ascii="宋体" w:hAnsi="宋体"/>
          <w:bCs/>
          <w:color w:val="000000" w:themeColor="text1"/>
          <w:szCs w:val="21"/>
          <w14:textFill>
            <w14:solidFill>
              <w14:schemeClr w14:val="tx1"/>
            </w14:solidFill>
          </w14:textFill>
        </w:rPr>
        <w:t xml:space="preserve">项目编号：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），我方承诺：</w:t>
      </w:r>
    </w:p>
    <w:p w14:paraId="4953E162">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1.若我方成交，将严格遵照本项目磋商文件的规定向代理采购机构缴纳成交服务费。</w:t>
      </w:r>
    </w:p>
    <w:p w14:paraId="0DC27D11">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2.若我方成交后拒绝如数缴纳或未按本项目磋商文件规定的期限缴纳成交服务费，则视为我方自动放弃该成交结果，贵方有权重新确定成交结果，我方对此无任何异议。</w:t>
      </w:r>
    </w:p>
    <w:p w14:paraId="73EC5748">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0DD46F6E">
      <w:pPr>
        <w:spacing w:line="360" w:lineRule="auto"/>
        <w:ind w:firstLine="420" w:firstLineChars="200"/>
        <w:rPr>
          <w:rFonts w:ascii="宋体" w:hAnsi="宋体"/>
          <w:color w:val="000000" w:themeColor="text1"/>
          <w:szCs w:val="21"/>
          <w14:textFill>
            <w14:solidFill>
              <w14:schemeClr w14:val="tx1"/>
            </w14:solidFill>
          </w14:textFill>
        </w:rPr>
      </w:pPr>
    </w:p>
    <w:p w14:paraId="2C6F0C5E">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14:paraId="7DDE2197">
      <w:pPr>
        <w:spacing w:line="360" w:lineRule="auto"/>
        <w:ind w:right="-384" w:rightChars="-183"/>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74005114">
      <w:pPr>
        <w:spacing w:line="360" w:lineRule="auto"/>
        <w:ind w:right="-384" w:rightChars="-183"/>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7F94F5F9">
      <w:pPr>
        <w:spacing w:line="360" w:lineRule="auto"/>
        <w:ind w:right="-384" w:rightChars="-183"/>
        <w:rPr>
          <w:rFonts w:ascii="宋体" w:hAnsi="宋体"/>
          <w:bCs/>
          <w:color w:val="000000" w:themeColor="text1"/>
          <w:u w:val="single"/>
          <w14:textFill>
            <w14:solidFill>
              <w14:schemeClr w14:val="tx1"/>
            </w14:solidFill>
          </w14:textFill>
        </w:rPr>
      </w:pPr>
    </w:p>
    <w:p w14:paraId="02A52B97">
      <w:pPr>
        <w:spacing w:line="360" w:lineRule="auto"/>
        <w:ind w:right="-384" w:rightChars="-183"/>
        <w:rPr>
          <w:rFonts w:ascii="宋体" w:hAnsi="宋体"/>
          <w:bCs/>
          <w:color w:val="000000" w:themeColor="text1"/>
          <w:u w:val="single"/>
          <w14:textFill>
            <w14:solidFill>
              <w14:schemeClr w14:val="tx1"/>
            </w14:solidFill>
          </w14:textFill>
        </w:rPr>
      </w:pPr>
    </w:p>
    <w:p w14:paraId="1151A1F4">
      <w:pPr>
        <w:spacing w:line="360" w:lineRule="auto"/>
        <w:ind w:right="-384" w:rightChars="-183"/>
        <w:rPr>
          <w:rFonts w:ascii="宋体" w:hAnsi="宋体"/>
          <w:bCs/>
          <w:color w:val="000000" w:themeColor="text1"/>
          <w:u w:val="single"/>
          <w14:textFill>
            <w14:solidFill>
              <w14:schemeClr w14:val="tx1"/>
            </w14:solidFill>
          </w14:textFill>
        </w:rPr>
      </w:pPr>
    </w:p>
    <w:p w14:paraId="1EEF5B00">
      <w:pPr>
        <w:spacing w:line="360" w:lineRule="auto"/>
        <w:ind w:right="-384" w:rightChars="-183"/>
        <w:rPr>
          <w:rFonts w:ascii="宋体" w:hAnsi="宋体"/>
          <w:bCs/>
          <w:color w:val="000000" w:themeColor="text1"/>
          <w:u w:val="single"/>
          <w14:textFill>
            <w14:solidFill>
              <w14:schemeClr w14:val="tx1"/>
            </w14:solidFill>
          </w14:textFill>
        </w:rPr>
      </w:pPr>
    </w:p>
    <w:p w14:paraId="04EC5D21">
      <w:pPr>
        <w:spacing w:line="360" w:lineRule="auto"/>
        <w:ind w:right="-384" w:rightChars="-183"/>
        <w:rPr>
          <w:rFonts w:ascii="宋体" w:hAnsi="宋体"/>
          <w:bCs/>
          <w:color w:val="000000" w:themeColor="text1"/>
          <w:u w:val="single"/>
          <w14:textFill>
            <w14:solidFill>
              <w14:schemeClr w14:val="tx1"/>
            </w14:solidFill>
          </w14:textFill>
        </w:rPr>
      </w:pPr>
    </w:p>
    <w:p w14:paraId="7705F5FD">
      <w:pPr>
        <w:spacing w:line="360" w:lineRule="auto"/>
        <w:ind w:right="-384" w:rightChars="-183"/>
        <w:rPr>
          <w:rFonts w:ascii="宋体" w:hAnsi="宋体"/>
          <w:bCs/>
          <w:color w:val="000000" w:themeColor="text1"/>
          <w:u w:val="single"/>
          <w14:textFill>
            <w14:solidFill>
              <w14:schemeClr w14:val="tx1"/>
            </w14:solidFill>
          </w14:textFill>
        </w:rPr>
      </w:pPr>
    </w:p>
    <w:p w14:paraId="17591862">
      <w:pPr>
        <w:spacing w:line="360" w:lineRule="auto"/>
        <w:ind w:right="-384" w:rightChars="-183"/>
        <w:rPr>
          <w:rFonts w:ascii="宋体" w:hAnsi="宋体"/>
          <w:bCs/>
          <w:color w:val="000000" w:themeColor="text1"/>
          <w:u w:val="single"/>
          <w14:textFill>
            <w14:solidFill>
              <w14:schemeClr w14:val="tx1"/>
            </w14:solidFill>
          </w14:textFill>
        </w:rPr>
      </w:pPr>
    </w:p>
    <w:p w14:paraId="4D499636">
      <w:pPr>
        <w:spacing w:line="360" w:lineRule="auto"/>
        <w:ind w:right="-384" w:rightChars="-183"/>
        <w:rPr>
          <w:rFonts w:ascii="宋体" w:hAnsi="宋体"/>
          <w:bCs/>
          <w:color w:val="000000" w:themeColor="text1"/>
          <w:u w:val="single"/>
          <w14:textFill>
            <w14:solidFill>
              <w14:schemeClr w14:val="tx1"/>
            </w14:solidFill>
          </w14:textFill>
        </w:rPr>
      </w:pPr>
    </w:p>
    <w:p w14:paraId="46CD7E6B">
      <w:pPr>
        <w:spacing w:line="360" w:lineRule="auto"/>
        <w:ind w:right="-384" w:rightChars="-183"/>
        <w:rPr>
          <w:rFonts w:ascii="宋体" w:hAnsi="宋体"/>
          <w:bCs/>
          <w:color w:val="000000" w:themeColor="text1"/>
          <w:u w:val="single"/>
          <w14:textFill>
            <w14:solidFill>
              <w14:schemeClr w14:val="tx1"/>
            </w14:solidFill>
          </w14:textFill>
        </w:rPr>
      </w:pPr>
    </w:p>
    <w:p w14:paraId="43526224">
      <w:pPr>
        <w:spacing w:line="360" w:lineRule="auto"/>
        <w:ind w:right="-384" w:rightChars="-183"/>
        <w:rPr>
          <w:rFonts w:ascii="宋体" w:hAnsi="宋体"/>
          <w:bCs/>
          <w:color w:val="000000" w:themeColor="text1"/>
          <w:u w:val="single"/>
          <w14:textFill>
            <w14:solidFill>
              <w14:schemeClr w14:val="tx1"/>
            </w14:solidFill>
          </w14:textFill>
        </w:rPr>
      </w:pPr>
    </w:p>
    <w:p w14:paraId="50961CE5">
      <w:pPr>
        <w:spacing w:line="360" w:lineRule="auto"/>
        <w:ind w:right="-384" w:rightChars="-183"/>
        <w:rPr>
          <w:rFonts w:ascii="宋体" w:hAnsi="宋体"/>
          <w:bCs/>
          <w:color w:val="000000" w:themeColor="text1"/>
          <w:u w:val="single"/>
          <w14:textFill>
            <w14:solidFill>
              <w14:schemeClr w14:val="tx1"/>
            </w14:solidFill>
          </w14:textFill>
        </w:rPr>
      </w:pPr>
    </w:p>
    <w:p w14:paraId="15410F2D">
      <w:pPr>
        <w:spacing w:line="360" w:lineRule="auto"/>
        <w:ind w:right="-384" w:rightChars="-183"/>
        <w:rPr>
          <w:rFonts w:ascii="宋体" w:hAnsi="宋体"/>
          <w:bCs/>
          <w:color w:val="000000" w:themeColor="text1"/>
          <w:u w:val="single"/>
          <w14:textFill>
            <w14:solidFill>
              <w14:schemeClr w14:val="tx1"/>
            </w14:solidFill>
          </w14:textFill>
        </w:rPr>
      </w:pPr>
    </w:p>
    <w:p w14:paraId="13C5C881">
      <w:pPr>
        <w:spacing w:line="360" w:lineRule="auto"/>
        <w:ind w:right="-384" w:rightChars="-183"/>
        <w:rPr>
          <w:rFonts w:ascii="宋体" w:hAnsi="宋体"/>
          <w:bCs/>
          <w:color w:val="000000" w:themeColor="text1"/>
          <w:u w:val="single"/>
          <w14:textFill>
            <w14:solidFill>
              <w14:schemeClr w14:val="tx1"/>
            </w14:solidFill>
          </w14:textFill>
        </w:rPr>
      </w:pPr>
    </w:p>
    <w:p w14:paraId="5E1E2EFA">
      <w:pPr>
        <w:spacing w:line="360" w:lineRule="auto"/>
        <w:ind w:right="-384" w:rightChars="-183"/>
        <w:rPr>
          <w:rFonts w:ascii="宋体" w:hAnsi="宋体"/>
          <w:bCs/>
          <w:color w:val="000000" w:themeColor="text1"/>
          <w:u w:val="single"/>
          <w14:textFill>
            <w14:solidFill>
              <w14:schemeClr w14:val="tx1"/>
            </w14:solidFill>
          </w14:textFill>
        </w:rPr>
      </w:pPr>
    </w:p>
    <w:p w14:paraId="70CF7017">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375" w:name="_Toc469160805"/>
      <w:bookmarkStart w:id="376" w:name="_Toc200414535"/>
      <w:bookmarkStart w:id="377" w:name="_Toc19367"/>
      <w:r>
        <w:rPr>
          <w:rFonts w:hint="eastAsia" w:ascii="宋体" w:hAnsi="宋体"/>
          <w:color w:val="000000" w:themeColor="text1"/>
          <w:sz w:val="28"/>
          <w:szCs w:val="28"/>
          <w14:textFill>
            <w14:solidFill>
              <w14:schemeClr w14:val="tx1"/>
            </w14:solidFill>
          </w14:textFill>
        </w:rPr>
        <w:t>附件十：磋商供应商提交的其他资料</w:t>
      </w:r>
      <w:bookmarkEnd w:id="375"/>
      <w:bookmarkEnd w:id="376"/>
      <w:bookmarkEnd w:id="377"/>
    </w:p>
    <w:p w14:paraId="7CAF7170">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YXCG-20260521</w:t>
      </w:r>
      <w:r>
        <w:rPr>
          <w:rFonts w:hint="eastAsia" w:ascii="宋体" w:hAnsi="宋体"/>
          <w:b/>
          <w:bCs/>
          <w:caps/>
          <w:color w:val="000000" w:themeColor="text1"/>
          <w:szCs w:val="21"/>
          <w:u w:val="single"/>
          <w14:textFill>
            <w14:solidFill>
              <w14:schemeClr w14:val="tx1"/>
            </w14:solidFill>
          </w14:textFill>
        </w:rPr>
        <w:t xml:space="preserve">  </w:t>
      </w:r>
    </w:p>
    <w:p w14:paraId="29A3EACB">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14:textFill>
            <w14:solidFill>
              <w14:schemeClr w14:val="tx1"/>
            </w14:solidFill>
          </w14:textFill>
        </w:rPr>
        <w:t xml:space="preserve">菩堤海风场2026年防雷检测交通船租赁采购项目 </w:t>
      </w:r>
    </w:p>
    <w:p w14:paraId="24B40F3C">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14:paraId="0C6CE62F">
      <w:pPr>
        <w:pStyle w:val="5"/>
        <w:spacing w:line="360" w:lineRule="auto"/>
        <w:rPr>
          <w:rFonts w:hAnsi="宋体"/>
          <w:color w:val="000000" w:themeColor="text1"/>
          <w:sz w:val="21"/>
          <w:szCs w:val="21"/>
          <w14:textFill>
            <w14:solidFill>
              <w14:schemeClr w14:val="tx1"/>
            </w14:solidFill>
          </w14:textFill>
        </w:rPr>
      </w:pPr>
    </w:p>
    <w:p w14:paraId="5BE72C47">
      <w:pPr>
        <w:pStyle w:val="5"/>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本节无格式要求，供应商可根据自身实际情况以及磋商文件规定的“磋商采购项目要求”等进行编制。</w:t>
      </w:r>
    </w:p>
    <w:p w14:paraId="0F24C44C">
      <w:pPr>
        <w:pStyle w:val="5"/>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一、</w:t>
      </w:r>
    </w:p>
    <w:p w14:paraId="409B0AAB">
      <w:pPr>
        <w:pStyle w:val="5"/>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二、</w:t>
      </w:r>
    </w:p>
    <w:p w14:paraId="011FBAAC">
      <w:pPr>
        <w:pStyle w:val="5"/>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三、</w:t>
      </w:r>
      <w:r>
        <w:rPr>
          <w:rFonts w:hAnsi="宋体"/>
          <w:bCs/>
          <w:color w:val="000000" w:themeColor="text1"/>
          <w:sz w:val="21"/>
          <w:szCs w:val="21"/>
          <w14:textFill>
            <w14:solidFill>
              <w14:schemeClr w14:val="tx1"/>
            </w14:solidFill>
          </w14:textFill>
        </w:rPr>
        <w:t>...</w:t>
      </w:r>
    </w:p>
    <w:p w14:paraId="429756F8">
      <w:pPr>
        <w:pStyle w:val="5"/>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四、</w:t>
      </w:r>
      <w:r>
        <w:rPr>
          <w:rFonts w:hAnsi="宋体"/>
          <w:bCs/>
          <w:color w:val="000000" w:themeColor="text1"/>
          <w:sz w:val="21"/>
          <w:szCs w:val="21"/>
          <w14:textFill>
            <w14:solidFill>
              <w14:schemeClr w14:val="tx1"/>
            </w14:solidFill>
          </w14:textFill>
        </w:rPr>
        <w:t>...</w:t>
      </w:r>
    </w:p>
    <w:p w14:paraId="7F184F12">
      <w:pPr>
        <w:adjustRightInd w:val="0"/>
        <w:snapToGrid w:val="0"/>
        <w:spacing w:line="360" w:lineRule="auto"/>
        <w:rPr>
          <w:rFonts w:ascii="宋体" w:hAnsi="宋体"/>
          <w:bCs/>
          <w:color w:val="000000" w:themeColor="text1"/>
          <w:szCs w:val="21"/>
          <w14:textFill>
            <w14:solidFill>
              <w14:schemeClr w14:val="tx1"/>
            </w14:solidFill>
          </w14:textFill>
        </w:rPr>
      </w:pPr>
    </w:p>
    <w:p w14:paraId="10A89821">
      <w:pPr>
        <w:adjustRightInd w:val="0"/>
        <w:snapToGrid w:val="0"/>
        <w:spacing w:line="360" w:lineRule="auto"/>
        <w:rPr>
          <w:rFonts w:ascii="宋体" w:hAnsi="宋体"/>
          <w:bCs/>
          <w:color w:val="000000" w:themeColor="text1"/>
          <w:szCs w:val="21"/>
          <w14:textFill>
            <w14:solidFill>
              <w14:schemeClr w14:val="tx1"/>
            </w14:solidFill>
          </w14:textFill>
        </w:rPr>
      </w:pPr>
    </w:p>
    <w:p w14:paraId="02BC1F48">
      <w:pPr>
        <w:adjustRightInd w:val="0"/>
        <w:snapToGrid w:val="0"/>
        <w:spacing w:line="360" w:lineRule="auto"/>
        <w:rPr>
          <w:rFonts w:ascii="宋体" w:hAnsi="宋体"/>
          <w:bCs/>
          <w:color w:val="000000" w:themeColor="text1"/>
          <w:szCs w:val="21"/>
          <w14:textFill>
            <w14:solidFill>
              <w14:schemeClr w14:val="tx1"/>
            </w14:solidFill>
          </w14:textFill>
        </w:rPr>
      </w:pPr>
    </w:p>
    <w:p w14:paraId="48829C0D">
      <w:pPr>
        <w:adjustRightInd w:val="0"/>
        <w:snapToGrid w:val="0"/>
        <w:spacing w:line="360" w:lineRule="auto"/>
        <w:rPr>
          <w:rFonts w:ascii="宋体" w:hAnsi="宋体"/>
          <w:bCs/>
          <w:color w:val="000000" w:themeColor="text1"/>
          <w:szCs w:val="21"/>
          <w14:textFill>
            <w14:solidFill>
              <w14:schemeClr w14:val="tx1"/>
            </w14:solidFill>
          </w14:textFill>
        </w:rPr>
      </w:pPr>
    </w:p>
    <w:p w14:paraId="0A71A431">
      <w:pPr>
        <w:adjustRightInd w:val="0"/>
        <w:snapToGrid w:val="0"/>
        <w:spacing w:line="360" w:lineRule="auto"/>
        <w:rPr>
          <w:rFonts w:ascii="宋体" w:hAnsi="宋体"/>
          <w:bCs/>
          <w:color w:val="000000" w:themeColor="text1"/>
          <w:szCs w:val="21"/>
          <w14:textFill>
            <w14:solidFill>
              <w14:schemeClr w14:val="tx1"/>
            </w14:solidFill>
          </w14:textFill>
        </w:rPr>
      </w:pPr>
    </w:p>
    <w:p w14:paraId="6880AF85">
      <w:pPr>
        <w:adjustRightInd w:val="0"/>
        <w:snapToGrid w:val="0"/>
        <w:spacing w:line="360" w:lineRule="auto"/>
        <w:rPr>
          <w:rFonts w:ascii="宋体" w:hAnsi="宋体"/>
          <w:bCs/>
          <w:color w:val="000000" w:themeColor="text1"/>
          <w:szCs w:val="21"/>
          <w14:textFill>
            <w14:solidFill>
              <w14:schemeClr w14:val="tx1"/>
            </w14:solidFill>
          </w14:textFill>
        </w:rPr>
      </w:pPr>
    </w:p>
    <w:p w14:paraId="23355873">
      <w:pPr>
        <w:adjustRightInd w:val="0"/>
        <w:snapToGrid w:val="0"/>
        <w:spacing w:line="360" w:lineRule="auto"/>
        <w:rPr>
          <w:rFonts w:ascii="宋体" w:hAnsi="宋体"/>
          <w:bCs/>
          <w:color w:val="000000" w:themeColor="text1"/>
          <w:szCs w:val="21"/>
          <w14:textFill>
            <w14:solidFill>
              <w14:schemeClr w14:val="tx1"/>
            </w14:solidFill>
          </w14:textFill>
        </w:rPr>
      </w:pPr>
    </w:p>
    <w:p w14:paraId="150ECEB8">
      <w:pPr>
        <w:adjustRightInd w:val="0"/>
        <w:snapToGrid w:val="0"/>
        <w:spacing w:line="360" w:lineRule="auto"/>
        <w:rPr>
          <w:rFonts w:ascii="宋体" w:hAnsi="宋体"/>
          <w:bCs/>
          <w:color w:val="000000" w:themeColor="text1"/>
          <w:szCs w:val="21"/>
          <w14:textFill>
            <w14:solidFill>
              <w14:schemeClr w14:val="tx1"/>
            </w14:solidFill>
          </w14:textFill>
        </w:rPr>
      </w:pPr>
    </w:p>
    <w:p w14:paraId="22E93AEB">
      <w:pPr>
        <w:adjustRightInd w:val="0"/>
        <w:snapToGrid w:val="0"/>
        <w:spacing w:line="360" w:lineRule="auto"/>
        <w:rPr>
          <w:rFonts w:ascii="宋体" w:hAnsi="宋体"/>
          <w:bCs/>
          <w:color w:val="000000" w:themeColor="text1"/>
          <w:szCs w:val="21"/>
          <w14:textFill>
            <w14:solidFill>
              <w14:schemeClr w14:val="tx1"/>
            </w14:solidFill>
          </w14:textFill>
        </w:rPr>
      </w:pPr>
    </w:p>
    <w:p w14:paraId="11BFFE11">
      <w:pPr>
        <w:adjustRightInd w:val="0"/>
        <w:snapToGrid w:val="0"/>
        <w:spacing w:line="360" w:lineRule="auto"/>
        <w:rPr>
          <w:rFonts w:ascii="宋体" w:hAnsi="宋体"/>
          <w:bCs/>
          <w:color w:val="000000" w:themeColor="text1"/>
          <w:szCs w:val="21"/>
          <w14:textFill>
            <w14:solidFill>
              <w14:schemeClr w14:val="tx1"/>
            </w14:solidFill>
          </w14:textFill>
        </w:rPr>
      </w:pPr>
    </w:p>
    <w:p w14:paraId="42294148">
      <w:pPr>
        <w:adjustRightInd w:val="0"/>
        <w:snapToGrid w:val="0"/>
        <w:spacing w:line="360" w:lineRule="auto"/>
        <w:rPr>
          <w:rFonts w:ascii="宋体" w:hAnsi="宋体"/>
          <w:bCs/>
          <w:color w:val="000000" w:themeColor="text1"/>
          <w:szCs w:val="21"/>
          <w14:textFill>
            <w14:solidFill>
              <w14:schemeClr w14:val="tx1"/>
            </w14:solidFill>
          </w14:textFill>
        </w:rPr>
      </w:pPr>
    </w:p>
    <w:p w14:paraId="2241F016">
      <w:pPr>
        <w:adjustRightInd w:val="0"/>
        <w:snapToGrid w:val="0"/>
        <w:spacing w:line="360" w:lineRule="auto"/>
        <w:rPr>
          <w:rFonts w:ascii="宋体" w:hAnsi="宋体"/>
          <w:bCs/>
          <w:color w:val="000000" w:themeColor="text1"/>
          <w:szCs w:val="21"/>
          <w14:textFill>
            <w14:solidFill>
              <w14:schemeClr w14:val="tx1"/>
            </w14:solidFill>
          </w14:textFill>
        </w:rPr>
      </w:pPr>
    </w:p>
    <w:p w14:paraId="1B994512">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14:paraId="186DA5D3">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14:paraId="32E13E7C">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14:paraId="3A3FB3A1">
      <w:pPr>
        <w:pStyle w:val="5"/>
        <w:spacing w:line="360" w:lineRule="auto"/>
        <w:rPr>
          <w:rFonts w:hAnsi="宋体"/>
          <w:color w:val="000000" w:themeColor="text1"/>
          <w:szCs w:val="21"/>
          <w14:textFill>
            <w14:solidFill>
              <w14:schemeClr w14:val="tx1"/>
            </w14:solidFill>
          </w14:textFill>
        </w:rPr>
      </w:pPr>
    </w:p>
    <w:p w14:paraId="6190AB53">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14:paraId="001AC90D">
      <w:pPr>
        <w:pStyle w:val="5"/>
        <w:spacing w:line="360" w:lineRule="auto"/>
        <w:rPr>
          <w:rFonts w:hAnsi="宋体"/>
          <w:color w:val="000000" w:themeColor="text1"/>
          <w14:textFill>
            <w14:solidFill>
              <w14:schemeClr w14:val="tx1"/>
            </w14:solidFill>
          </w14:textFill>
        </w:rPr>
      </w:pPr>
    </w:p>
    <w:p w14:paraId="67D0D19D">
      <w:pPr>
        <w:rPr>
          <w:rFonts w:hAnsi="宋体"/>
          <w:color w:val="000000" w:themeColor="text1"/>
          <w14:textFill>
            <w14:solidFill>
              <w14:schemeClr w14:val="tx1"/>
            </w14:solidFill>
          </w14:textFill>
        </w:rPr>
      </w:pPr>
      <w:bookmarkStart w:id="378" w:name="_Toc434832511"/>
      <w:r>
        <w:rPr>
          <w:rFonts w:hAnsi="宋体"/>
          <w:color w:val="000000" w:themeColor="text1"/>
          <w14:textFill>
            <w14:solidFill>
              <w14:schemeClr w14:val="tx1"/>
            </w14:solidFill>
          </w14:textFill>
        </w:rPr>
        <w:br w:type="page"/>
      </w:r>
    </w:p>
    <w:p w14:paraId="72A713AF">
      <w:pPr>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w:t>
      </w:r>
    </w:p>
    <w:p w14:paraId="341768B3">
      <w:pPr>
        <w:jc w:val="center"/>
        <w:rPr>
          <w:rFonts w:ascii="宋体" w:hAnsi="宋体" w:cs="宋体"/>
          <w:b/>
          <w:bCs/>
          <w:color w:val="000000" w:themeColor="text1"/>
          <w:kern w:val="0"/>
          <w:sz w:val="32"/>
          <w:szCs w:val="32"/>
          <w14:textFill>
            <w14:solidFill>
              <w14:schemeClr w14:val="tx1"/>
            </w14:solidFill>
          </w14:textFill>
        </w:rPr>
      </w:pPr>
      <w:r>
        <w:rPr>
          <w:rFonts w:hint="eastAsia" w:ascii="宋体" w:hAnsi="宋体" w:cs="宋体"/>
          <w:b/>
          <w:bCs/>
          <w:color w:val="000000" w:themeColor="text1"/>
          <w:kern w:val="0"/>
          <w:sz w:val="32"/>
          <w:szCs w:val="32"/>
          <w14:textFill>
            <w14:solidFill>
              <w14:schemeClr w14:val="tx1"/>
            </w14:solidFill>
          </w14:textFill>
        </w:rPr>
        <w:t>阳江市政府采购供应商资格信用承诺函</w:t>
      </w:r>
    </w:p>
    <w:p w14:paraId="693BB292">
      <w:pPr>
        <w:jc w:val="center"/>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(样本)</w:t>
      </w:r>
    </w:p>
    <w:p w14:paraId="30B3FE09">
      <w:pPr>
        <w:rPr>
          <w:color w:val="000000" w:themeColor="text1"/>
          <w14:textFill>
            <w14:solidFill>
              <w14:schemeClr w14:val="tx1"/>
            </w14:solidFill>
          </w14:textFill>
        </w:rPr>
      </w:pPr>
    </w:p>
    <w:p w14:paraId="66F69258">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6618BE03">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1.具有良好的商业信誉和健全的财务会计制度;</w:t>
      </w:r>
    </w:p>
    <w:p w14:paraId="540182A4">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2.具有履行合同所必需的设备和专业技术能力;</w:t>
      </w:r>
    </w:p>
    <w:p w14:paraId="7868A21C">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3.具有依法缴纳税收和社会保障资金的良好记录;</w:t>
      </w:r>
    </w:p>
    <w:p w14:paraId="60B4C23E">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4.参加政府采购活动前三年内，在经营活动中没有重大违法记录。</w:t>
      </w:r>
    </w:p>
    <w:p w14:paraId="558F6913">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AD51D26">
      <w:pPr>
        <w:spacing w:line="56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特此承诺。</w:t>
      </w:r>
    </w:p>
    <w:p w14:paraId="6D29427C">
      <w:pPr>
        <w:spacing w:line="560" w:lineRule="exact"/>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供应商名称(公章):</w:t>
      </w:r>
    </w:p>
    <w:p w14:paraId="0F6FE738">
      <w:pPr>
        <w:spacing w:line="560" w:lineRule="exact"/>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统一社会信用代码:</w:t>
      </w:r>
    </w:p>
    <w:p w14:paraId="747FF1B3">
      <w:pPr>
        <w:spacing w:line="560" w:lineRule="exact"/>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法定代表人或授权代表(签名):</w:t>
      </w:r>
    </w:p>
    <w:p w14:paraId="0DBEC6B2">
      <w:pPr>
        <w:spacing w:line="560" w:lineRule="exact"/>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日期:   年  月  日</w:t>
      </w:r>
    </w:p>
    <w:p w14:paraId="47C4DC76">
      <w:pPr>
        <w:spacing w:line="560" w:lineRule="exact"/>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注:供应商的法定代表人(其他组织的为负责人)或者授权代表的签名或盖章应真实、有效，如由授权代表签名或盖章的，应提供“法定代表人授权书”</w:t>
      </w:r>
    </w:p>
    <w:p w14:paraId="695AEA08">
      <w:pPr>
        <w:pStyle w:val="5"/>
        <w:ind w:firstLine="0"/>
        <w:rPr>
          <w:rFonts w:hAnsi="宋体"/>
          <w:color w:val="000000" w:themeColor="text1"/>
          <w14:textFill>
            <w14:solidFill>
              <w14:schemeClr w14:val="tx1"/>
            </w14:solidFill>
          </w14:textFill>
        </w:rPr>
      </w:pPr>
    </w:p>
    <w:p w14:paraId="0F18EA9D">
      <w:pPr>
        <w:pStyle w:val="5"/>
        <w:ind w:firstLine="0"/>
        <w:rPr>
          <w:rFonts w:hAnsi="宋体"/>
          <w:color w:val="000000" w:themeColor="text1"/>
          <w14:textFill>
            <w14:solidFill>
              <w14:schemeClr w14:val="tx1"/>
            </w14:solidFill>
          </w14:textFill>
        </w:rPr>
      </w:pPr>
    </w:p>
    <w:p w14:paraId="75CB0731">
      <w:pPr>
        <w:pStyle w:val="5"/>
        <w:ind w:firstLine="0"/>
        <w:rPr>
          <w:rFonts w:hAnsi="宋体"/>
          <w:color w:val="000000" w:themeColor="text1"/>
          <w14:textFill>
            <w14:solidFill>
              <w14:schemeClr w14:val="tx1"/>
            </w14:solidFill>
          </w14:textFill>
        </w:rPr>
      </w:pPr>
    </w:p>
    <w:p w14:paraId="051A02F2">
      <w:pPr>
        <w:pStyle w:val="5"/>
        <w:ind w:firstLine="0"/>
        <w:rPr>
          <w:rFonts w:hAnsi="宋体"/>
          <w:color w:val="000000" w:themeColor="text1"/>
          <w14:textFill>
            <w14:solidFill>
              <w14:schemeClr w14:val="tx1"/>
            </w14:solidFill>
          </w14:textFill>
        </w:rPr>
      </w:pPr>
    </w:p>
    <w:p w14:paraId="1D90B33A">
      <w:pPr>
        <w:pStyle w:val="5"/>
        <w:ind w:firstLine="0"/>
        <w:rPr>
          <w:rFonts w:hAnsi="宋体"/>
          <w:color w:val="000000" w:themeColor="text1"/>
          <w14:textFill>
            <w14:solidFill>
              <w14:schemeClr w14:val="tx1"/>
            </w14:solidFill>
          </w14:textFill>
        </w:rPr>
      </w:pPr>
    </w:p>
    <w:p w14:paraId="3F60080B">
      <w:pPr>
        <w:pStyle w:val="5"/>
        <w:ind w:firstLine="0"/>
        <w:rPr>
          <w:rFonts w:hAnsi="宋体"/>
          <w:color w:val="000000" w:themeColor="text1"/>
          <w14:textFill>
            <w14:solidFill>
              <w14:schemeClr w14:val="tx1"/>
            </w14:solidFill>
          </w14:textFill>
        </w:rPr>
      </w:pPr>
    </w:p>
    <w:p w14:paraId="003B7E3E">
      <w:pPr>
        <w:pStyle w:val="5"/>
        <w:ind w:firstLine="0"/>
        <w:rPr>
          <w:rFonts w:hAnsi="宋体"/>
          <w:color w:val="000000" w:themeColor="text1"/>
          <w14:textFill>
            <w14:solidFill>
              <w14:schemeClr w14:val="tx1"/>
            </w14:solidFill>
          </w14:textFill>
        </w:rPr>
      </w:pPr>
    </w:p>
    <w:p w14:paraId="6D6BE682">
      <w:pPr>
        <w:pStyle w:val="5"/>
        <w:ind w:firstLine="0"/>
        <w:rPr>
          <w:rFonts w:hAnsi="宋体"/>
          <w:color w:val="000000" w:themeColor="text1"/>
          <w14:textFill>
            <w14:solidFill>
              <w14:schemeClr w14:val="tx1"/>
            </w14:solidFill>
          </w14:textFill>
        </w:rPr>
      </w:pPr>
    </w:p>
    <w:p w14:paraId="623D4253">
      <w:pPr>
        <w:pStyle w:val="5"/>
        <w:ind w:firstLine="0"/>
        <w:rPr>
          <w:rFonts w:hAnsi="宋体"/>
          <w:color w:val="000000" w:themeColor="text1"/>
          <w14:textFill>
            <w14:solidFill>
              <w14:schemeClr w14:val="tx1"/>
            </w14:solidFill>
          </w14:textFill>
        </w:rPr>
      </w:pPr>
    </w:p>
    <w:p w14:paraId="74F04545">
      <w:pPr>
        <w:pStyle w:val="3"/>
        <w:numPr>
          <w:ilvl w:val="1"/>
          <w:numId w:val="0"/>
        </w:numPr>
        <w:spacing w:line="360" w:lineRule="auto"/>
        <w:rPr>
          <w:rFonts w:ascii="宋体" w:hAnsi="宋体"/>
          <w:color w:val="000000" w:themeColor="text1"/>
          <w:sz w:val="52"/>
          <w14:textFill>
            <w14:solidFill>
              <w14:schemeClr w14:val="tx1"/>
            </w14:solidFill>
          </w14:textFill>
        </w:rPr>
      </w:pPr>
      <w:bookmarkStart w:id="379" w:name="_Toc9363"/>
      <w:bookmarkStart w:id="380" w:name="_Toc469160806"/>
      <w:r>
        <w:rPr>
          <w:rFonts w:hint="eastAsia" w:ascii="宋体" w:hAnsi="宋体"/>
          <w:color w:val="000000" w:themeColor="text1"/>
          <w:sz w:val="52"/>
          <w14:textFill>
            <w14:solidFill>
              <w14:schemeClr w14:val="tx1"/>
            </w14:solidFill>
          </w14:textFill>
        </w:rPr>
        <w:t>其 他 格 式</w:t>
      </w:r>
      <w:bookmarkEnd w:id="378"/>
      <w:bookmarkEnd w:id="379"/>
      <w:bookmarkEnd w:id="380"/>
    </w:p>
    <w:p w14:paraId="41C469FF">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（以下文件勿装订在响应文件内</w:t>
      </w:r>
      <w:r>
        <w:rPr>
          <w:rFonts w:ascii="宋体" w:hAnsi="宋体"/>
          <w:b/>
          <w:color w:val="000000" w:themeColor="text1"/>
          <w:sz w:val="36"/>
          <w14:textFill>
            <w14:solidFill>
              <w14:schemeClr w14:val="tx1"/>
            </w14:solidFill>
          </w14:textFill>
        </w:rPr>
        <w:t>）</w:t>
      </w:r>
    </w:p>
    <w:p w14:paraId="257909D6">
      <w:pPr>
        <w:spacing w:line="360" w:lineRule="auto"/>
        <w:rPr>
          <w:rFonts w:ascii="宋体" w:hAnsi="宋体"/>
          <w:color w:val="000000" w:themeColor="text1"/>
          <w14:textFill>
            <w14:solidFill>
              <w14:schemeClr w14:val="tx1"/>
            </w14:solidFill>
          </w14:textFill>
        </w:rPr>
      </w:pPr>
    </w:p>
    <w:p w14:paraId="5DAD277F">
      <w:pPr>
        <w:spacing w:line="360" w:lineRule="auto"/>
        <w:rPr>
          <w:rFonts w:ascii="宋体" w:hAnsi="宋体"/>
          <w:color w:val="000000" w:themeColor="text1"/>
          <w14:textFill>
            <w14:solidFill>
              <w14:schemeClr w14:val="tx1"/>
            </w14:solidFill>
          </w14:textFill>
        </w:rPr>
      </w:pPr>
    </w:p>
    <w:p w14:paraId="6E988653">
      <w:pPr>
        <w:spacing w:line="360" w:lineRule="auto"/>
        <w:rPr>
          <w:rFonts w:ascii="宋体" w:hAnsi="宋体"/>
          <w:color w:val="000000" w:themeColor="text1"/>
          <w14:textFill>
            <w14:solidFill>
              <w14:schemeClr w14:val="tx1"/>
            </w14:solidFill>
          </w14:textFill>
        </w:rPr>
      </w:pPr>
    </w:p>
    <w:p w14:paraId="1EBB0394">
      <w:pPr>
        <w:spacing w:line="360" w:lineRule="auto"/>
        <w:rPr>
          <w:rFonts w:ascii="宋体" w:hAnsi="宋体"/>
          <w:color w:val="000000" w:themeColor="text1"/>
          <w14:textFill>
            <w14:solidFill>
              <w14:schemeClr w14:val="tx1"/>
            </w14:solidFill>
          </w14:textFill>
        </w:rPr>
      </w:pPr>
    </w:p>
    <w:p w14:paraId="2358E4C6">
      <w:pPr>
        <w:spacing w:line="360" w:lineRule="auto"/>
        <w:rPr>
          <w:rFonts w:ascii="宋体" w:hAnsi="宋体"/>
          <w:color w:val="000000" w:themeColor="text1"/>
          <w14:textFill>
            <w14:solidFill>
              <w14:schemeClr w14:val="tx1"/>
            </w14:solidFill>
          </w14:textFill>
        </w:rPr>
      </w:pPr>
    </w:p>
    <w:p w14:paraId="05E6C199">
      <w:pPr>
        <w:spacing w:line="360" w:lineRule="auto"/>
        <w:rPr>
          <w:rFonts w:ascii="宋体" w:hAnsi="宋体"/>
          <w:color w:val="000000" w:themeColor="text1"/>
          <w14:textFill>
            <w14:solidFill>
              <w14:schemeClr w14:val="tx1"/>
            </w14:solidFill>
          </w14:textFill>
        </w:rPr>
      </w:pPr>
    </w:p>
    <w:p w14:paraId="00BDE188">
      <w:pPr>
        <w:spacing w:line="360" w:lineRule="auto"/>
        <w:rPr>
          <w:rFonts w:ascii="宋体" w:hAnsi="宋体"/>
          <w:color w:val="000000" w:themeColor="text1"/>
          <w14:textFill>
            <w14:solidFill>
              <w14:schemeClr w14:val="tx1"/>
            </w14:solidFill>
          </w14:textFill>
        </w:rPr>
      </w:pPr>
    </w:p>
    <w:p w14:paraId="0DD96254">
      <w:pPr>
        <w:spacing w:line="360" w:lineRule="auto"/>
        <w:rPr>
          <w:rFonts w:ascii="宋体" w:hAnsi="宋体"/>
          <w:color w:val="000000" w:themeColor="text1"/>
          <w14:textFill>
            <w14:solidFill>
              <w14:schemeClr w14:val="tx1"/>
            </w14:solidFill>
          </w14:textFill>
        </w:rPr>
      </w:pPr>
    </w:p>
    <w:p w14:paraId="3CCB2EB3">
      <w:pPr>
        <w:spacing w:line="360" w:lineRule="auto"/>
        <w:rPr>
          <w:rFonts w:ascii="宋体" w:hAnsi="宋体"/>
          <w:color w:val="000000" w:themeColor="text1"/>
          <w14:textFill>
            <w14:solidFill>
              <w14:schemeClr w14:val="tx1"/>
            </w14:solidFill>
          </w14:textFill>
        </w:rPr>
      </w:pPr>
    </w:p>
    <w:p w14:paraId="1E247E49">
      <w:pPr>
        <w:spacing w:line="360" w:lineRule="auto"/>
        <w:rPr>
          <w:rFonts w:ascii="宋体" w:hAnsi="宋体"/>
          <w:color w:val="000000" w:themeColor="text1"/>
          <w14:textFill>
            <w14:solidFill>
              <w14:schemeClr w14:val="tx1"/>
            </w14:solidFill>
          </w14:textFill>
        </w:rPr>
      </w:pPr>
    </w:p>
    <w:p w14:paraId="46290A62">
      <w:pPr>
        <w:spacing w:line="360" w:lineRule="auto"/>
        <w:rPr>
          <w:rFonts w:ascii="宋体" w:hAnsi="宋体"/>
          <w:color w:val="000000" w:themeColor="text1"/>
          <w14:textFill>
            <w14:solidFill>
              <w14:schemeClr w14:val="tx1"/>
            </w14:solidFill>
          </w14:textFill>
        </w:rPr>
      </w:pPr>
    </w:p>
    <w:p w14:paraId="2DB3473D">
      <w:pPr>
        <w:spacing w:line="360" w:lineRule="auto"/>
        <w:rPr>
          <w:rFonts w:ascii="宋体" w:hAnsi="宋体"/>
          <w:color w:val="000000" w:themeColor="text1"/>
          <w14:textFill>
            <w14:solidFill>
              <w14:schemeClr w14:val="tx1"/>
            </w14:solidFill>
          </w14:textFill>
        </w:rPr>
      </w:pPr>
    </w:p>
    <w:p w14:paraId="59AF6E24">
      <w:pPr>
        <w:spacing w:line="360" w:lineRule="auto"/>
        <w:rPr>
          <w:rFonts w:ascii="宋体" w:hAnsi="宋体"/>
          <w:b/>
          <w:color w:val="000000" w:themeColor="text1"/>
          <w14:textFill>
            <w14:solidFill>
              <w14:schemeClr w14:val="tx1"/>
            </w14:solidFill>
          </w14:textFill>
        </w:rPr>
      </w:pPr>
    </w:p>
    <w:p w14:paraId="72BF771A">
      <w:pPr>
        <w:rPr>
          <w:b/>
          <w:bCs/>
          <w:color w:val="000000" w:themeColor="text1"/>
          <w:sz w:val="44"/>
          <w:szCs w:val="44"/>
          <w14:textFill>
            <w14:solidFill>
              <w14:schemeClr w14:val="tx1"/>
            </w14:solidFill>
          </w14:textFill>
        </w:rPr>
      </w:pPr>
      <w:r>
        <w:rPr>
          <w:rFonts w:hint="eastAsia"/>
          <w:b/>
          <w:bCs/>
          <w:color w:val="000000" w:themeColor="text1"/>
          <w:sz w:val="44"/>
          <w:szCs w:val="44"/>
          <w14:textFill>
            <w14:solidFill>
              <w14:schemeClr w14:val="tx1"/>
            </w14:solidFill>
          </w14:textFill>
        </w:rPr>
        <w:br w:type="page"/>
      </w:r>
    </w:p>
    <w:p w14:paraId="78F38DFF">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14:paraId="61A551F1">
      <w:pPr>
        <w:jc w:val="center"/>
        <w:rPr>
          <w:color w:val="000000" w:themeColor="text1"/>
          <w:szCs w:val="21"/>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C12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043F2E2">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14:paraId="11452268">
            <w:pPr>
              <w:rPr>
                <w:color w:val="000000" w:themeColor="text1"/>
                <w:sz w:val="28"/>
                <w:szCs w:val="28"/>
                <w14:textFill>
                  <w14:solidFill>
                    <w14:schemeClr w14:val="tx1"/>
                  </w14:solidFill>
                </w14:textFill>
              </w:rPr>
            </w:pPr>
          </w:p>
        </w:tc>
      </w:tr>
      <w:tr w14:paraId="5584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E01919">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项目编号</w:t>
            </w:r>
          </w:p>
        </w:tc>
        <w:tc>
          <w:tcPr>
            <w:tcW w:w="1940" w:type="dxa"/>
          </w:tcPr>
          <w:p w14:paraId="339F4E18">
            <w:pPr>
              <w:rPr>
                <w:color w:val="000000" w:themeColor="text1"/>
                <w:sz w:val="28"/>
                <w:szCs w:val="28"/>
                <w14:textFill>
                  <w14:solidFill>
                    <w14:schemeClr w14:val="tx1"/>
                  </w14:solidFill>
                </w14:textFill>
              </w:rPr>
            </w:pPr>
          </w:p>
        </w:tc>
        <w:tc>
          <w:tcPr>
            <w:tcW w:w="1940" w:type="dxa"/>
            <w:vAlign w:val="center"/>
          </w:tcPr>
          <w:p w14:paraId="3BEBAE4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14:paraId="078C1DFB">
            <w:pPr>
              <w:rPr>
                <w:color w:val="000000" w:themeColor="text1"/>
                <w:sz w:val="28"/>
                <w:szCs w:val="28"/>
                <w14:textFill>
                  <w14:solidFill>
                    <w14:schemeClr w14:val="tx1"/>
                  </w14:solidFill>
                </w14:textFill>
              </w:rPr>
            </w:pPr>
          </w:p>
        </w:tc>
      </w:tr>
      <w:tr w14:paraId="2BDF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2D5F598">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供应商名称</w:t>
            </w:r>
          </w:p>
        </w:tc>
        <w:tc>
          <w:tcPr>
            <w:tcW w:w="6775" w:type="dxa"/>
            <w:gridSpan w:val="3"/>
          </w:tcPr>
          <w:p w14:paraId="48C65660">
            <w:pPr>
              <w:rPr>
                <w:color w:val="000000" w:themeColor="text1"/>
                <w:sz w:val="28"/>
                <w:szCs w:val="28"/>
                <w14:textFill>
                  <w14:solidFill>
                    <w14:schemeClr w14:val="tx1"/>
                  </w14:solidFill>
                </w14:textFill>
              </w:rPr>
            </w:pPr>
          </w:p>
        </w:tc>
      </w:tr>
      <w:tr w14:paraId="013E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88113D8">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14:paraId="218B3F42">
            <w:pPr>
              <w:rPr>
                <w:color w:val="000000" w:themeColor="text1"/>
                <w:sz w:val="28"/>
                <w:szCs w:val="28"/>
                <w14:textFill>
                  <w14:solidFill>
                    <w14:schemeClr w14:val="tx1"/>
                  </w14:solidFill>
                </w14:textFill>
              </w:rPr>
            </w:pPr>
          </w:p>
        </w:tc>
      </w:tr>
      <w:tr w14:paraId="6C16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ECC0BA">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14:paraId="027D9C45">
            <w:pPr>
              <w:rPr>
                <w:color w:val="000000" w:themeColor="text1"/>
                <w:sz w:val="28"/>
                <w:szCs w:val="28"/>
                <w14:textFill>
                  <w14:solidFill>
                    <w14:schemeClr w14:val="tx1"/>
                  </w14:solidFill>
                </w14:textFill>
              </w:rPr>
            </w:pPr>
          </w:p>
        </w:tc>
        <w:tc>
          <w:tcPr>
            <w:tcW w:w="1940" w:type="dxa"/>
            <w:vAlign w:val="center"/>
          </w:tcPr>
          <w:p w14:paraId="381ECA36">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14:paraId="379B1E6F">
            <w:pPr>
              <w:rPr>
                <w:color w:val="000000" w:themeColor="text1"/>
                <w:sz w:val="28"/>
                <w:szCs w:val="28"/>
                <w14:textFill>
                  <w14:solidFill>
                    <w14:schemeClr w14:val="tx1"/>
                  </w14:solidFill>
                </w14:textFill>
              </w:rPr>
            </w:pPr>
          </w:p>
        </w:tc>
      </w:tr>
      <w:tr w14:paraId="67B8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3F9B2A8">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14:paraId="474BC22E">
            <w:pPr>
              <w:rPr>
                <w:color w:val="000000" w:themeColor="text1"/>
                <w:sz w:val="28"/>
                <w:szCs w:val="28"/>
                <w14:textFill>
                  <w14:solidFill>
                    <w14:schemeClr w14:val="tx1"/>
                  </w14:solidFill>
                </w14:textFill>
              </w:rPr>
            </w:pPr>
          </w:p>
        </w:tc>
        <w:tc>
          <w:tcPr>
            <w:tcW w:w="1940" w:type="dxa"/>
            <w:vAlign w:val="center"/>
          </w:tcPr>
          <w:p w14:paraId="49DBB648">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14:paraId="017944DC">
            <w:pPr>
              <w:rPr>
                <w:color w:val="000000" w:themeColor="text1"/>
                <w:sz w:val="28"/>
                <w:szCs w:val="28"/>
                <w14:textFill>
                  <w14:solidFill>
                    <w14:schemeClr w14:val="tx1"/>
                  </w14:solidFill>
                </w14:textFill>
              </w:rPr>
            </w:pPr>
          </w:p>
        </w:tc>
      </w:tr>
      <w:tr w14:paraId="2BEC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1324D0B">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14:paraId="4D6D5B13">
            <w:pPr>
              <w:rPr>
                <w:color w:val="000000" w:themeColor="text1"/>
                <w:sz w:val="28"/>
                <w:szCs w:val="28"/>
                <w14:textFill>
                  <w14:solidFill>
                    <w14:schemeClr w14:val="tx1"/>
                  </w14:solidFill>
                </w14:textFill>
              </w:rPr>
            </w:pPr>
          </w:p>
        </w:tc>
        <w:tc>
          <w:tcPr>
            <w:tcW w:w="1940" w:type="dxa"/>
            <w:vAlign w:val="center"/>
          </w:tcPr>
          <w:p w14:paraId="3C260D75">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14:paraId="0CD229A8">
            <w:pPr>
              <w:rPr>
                <w:color w:val="000000" w:themeColor="text1"/>
                <w:sz w:val="28"/>
                <w:szCs w:val="28"/>
                <w14:textFill>
                  <w14:solidFill>
                    <w14:schemeClr w14:val="tx1"/>
                  </w14:solidFill>
                </w14:textFill>
              </w:rPr>
            </w:pPr>
          </w:p>
        </w:tc>
      </w:tr>
      <w:tr w14:paraId="3248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4D96C2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14:paraId="59020421">
            <w:pPr>
              <w:rPr>
                <w:color w:val="000000" w:themeColor="text1"/>
                <w:sz w:val="28"/>
                <w:szCs w:val="28"/>
                <w14:textFill>
                  <w14:solidFill>
                    <w14:schemeClr w14:val="tx1"/>
                  </w14:solidFill>
                </w14:textFill>
              </w:rPr>
            </w:pPr>
          </w:p>
        </w:tc>
      </w:tr>
      <w:tr w14:paraId="74E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170E4A4">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14:paraId="40491EF3">
            <w:pPr>
              <w:rPr>
                <w:color w:val="000000" w:themeColor="text1"/>
                <w:sz w:val="28"/>
                <w:szCs w:val="28"/>
                <w14:textFill>
                  <w14:solidFill>
                    <w14:schemeClr w14:val="tx1"/>
                  </w14:solidFill>
                </w14:textFill>
              </w:rPr>
            </w:pPr>
          </w:p>
        </w:tc>
      </w:tr>
      <w:tr w14:paraId="3426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2585" w:type="dxa"/>
            <w:vAlign w:val="center"/>
          </w:tcPr>
          <w:p w14:paraId="71ADBF0B">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14:paraId="25AC104C">
            <w:pPr>
              <w:rPr>
                <w:color w:val="000000" w:themeColor="text1"/>
                <w:sz w:val="28"/>
                <w:szCs w:val="28"/>
                <w14:textFill>
                  <w14:solidFill>
                    <w14:schemeClr w14:val="tx1"/>
                  </w14:solidFill>
                </w14:textFill>
              </w:rPr>
            </w:pPr>
          </w:p>
        </w:tc>
      </w:tr>
    </w:tbl>
    <w:p w14:paraId="07E0849B">
      <w:pPr>
        <w:spacing w:line="360" w:lineRule="auto"/>
        <w:jc w:val="center"/>
        <w:rPr>
          <w:rFonts w:ascii="宋体" w:hAnsi="宋体"/>
          <w:b/>
          <w:color w:val="000000" w:themeColor="text1"/>
          <w:sz w:val="28"/>
          <w:szCs w:val="28"/>
          <w14:textFill>
            <w14:solidFill>
              <w14:schemeClr w14:val="tx1"/>
            </w14:solidFill>
          </w14:textFill>
        </w:rPr>
      </w:pPr>
    </w:p>
    <w:p w14:paraId="731F084B">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14:paraId="66B098DA">
      <w:pPr>
        <w:pStyle w:val="45"/>
        <w:snapToGrid w:val="0"/>
        <w:spacing w:before="0" w:beforeAutospacing="0" w:after="0" w:afterAutospacing="0" w:line="360" w:lineRule="auto"/>
        <w:jc w:val="both"/>
        <w:rPr>
          <w:color w:val="000000" w:themeColor="text1"/>
          <w:sz w:val="21"/>
          <w:szCs w:val="21"/>
          <w14:textFill>
            <w14:solidFill>
              <w14:schemeClr w14:val="tx1"/>
            </w14:solidFill>
          </w14:textFill>
        </w:rPr>
      </w:pPr>
    </w:p>
    <w:p w14:paraId="721F61C2">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说明：本部分格式为响应供应商提交询问函、质疑函、投诉函时使用，不属于响应文件格式的组成部分。</w:t>
      </w:r>
    </w:p>
    <w:p w14:paraId="5E2E0209">
      <w:pPr>
        <w:pStyle w:val="45"/>
        <w:snapToGrid w:val="0"/>
        <w:spacing w:before="0" w:beforeAutospacing="0" w:after="0" w:afterAutospacing="0" w:line="360" w:lineRule="auto"/>
        <w:jc w:val="both"/>
        <w:rPr>
          <w:color w:val="000000" w:themeColor="text1"/>
          <w:sz w:val="21"/>
          <w:szCs w:val="21"/>
          <w14:textFill>
            <w14:solidFill>
              <w14:schemeClr w14:val="tx1"/>
            </w14:solidFill>
          </w14:textFill>
        </w:rPr>
      </w:pPr>
    </w:p>
    <w:p w14:paraId="7D8C1170">
      <w:pPr>
        <w:pStyle w:val="45"/>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14:paraId="18C90ED9">
      <w:pPr>
        <w:pStyle w:val="45"/>
        <w:spacing w:before="0" w:beforeAutospacing="0" w:after="0" w:afterAutospacing="0" w:line="360" w:lineRule="auto"/>
        <w:jc w:val="center"/>
        <w:rPr>
          <w:rStyle w:val="54"/>
          <w:rFonts w:cs="Times New Roman"/>
          <w:b w:val="0"/>
          <w:color w:val="000000" w:themeColor="text1"/>
          <w:sz w:val="21"/>
          <w:szCs w:val="21"/>
          <w14:textFill>
            <w14:solidFill>
              <w14:schemeClr w14:val="tx1"/>
            </w14:solidFill>
          </w14:textFill>
        </w:rPr>
      </w:pPr>
      <w:r>
        <w:rPr>
          <w:rStyle w:val="54"/>
          <w:rFonts w:hint="eastAsia" w:cs="Times New Roman"/>
          <w:b w:val="0"/>
          <w:color w:val="000000" w:themeColor="text1"/>
          <w:sz w:val="21"/>
          <w:szCs w:val="21"/>
          <w14:textFill>
            <w14:solidFill>
              <w14:schemeClr w14:val="tx1"/>
            </w14:solidFill>
          </w14:textFill>
        </w:rPr>
        <w:t>询问函</w:t>
      </w:r>
    </w:p>
    <w:p w14:paraId="41F7FC56">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广东业信采购招标有限公司：</w:t>
      </w:r>
    </w:p>
    <w:p w14:paraId="23BDB2EF">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）的磋商（或报价）活动，现有以下几个内容（或条款）存在疑问（或无法理解），特提出询问。</w:t>
      </w:r>
    </w:p>
    <w:p w14:paraId="3AED7F57">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14:paraId="5A4DFCCE">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14:paraId="6A47C61A">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14:paraId="0843D344">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14:paraId="0E85B0B2">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14:paraId="01C0D39B">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14:paraId="2D6BFA3E">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14:paraId="76AD1EE5">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14:paraId="4DAD8556">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14:paraId="25BBFE57">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14:paraId="59B82A07">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14:paraId="70AEF8CC">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14:paraId="7F1027EE">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14:paraId="7C484524">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6291B7DE">
      <w:pPr>
        <w:snapToGrid w:val="0"/>
        <w:spacing w:line="360" w:lineRule="auto"/>
        <w:ind w:firstLine="378" w:firstLineChars="180"/>
        <w:rPr>
          <w:rFonts w:ascii="宋体" w:hAnsi="宋体"/>
          <w:color w:val="000000" w:themeColor="text1"/>
          <w:szCs w:val="21"/>
          <w14:textFill>
            <w14:solidFill>
              <w14:schemeClr w14:val="tx1"/>
            </w14:solidFill>
          </w14:textFill>
        </w:rPr>
      </w:pPr>
    </w:p>
    <w:p w14:paraId="5330F60F">
      <w:pPr>
        <w:pStyle w:val="45"/>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14:paraId="2C76018D">
      <w:pPr>
        <w:pStyle w:val="45"/>
        <w:spacing w:before="0" w:beforeAutospacing="0" w:after="0" w:afterAutospacing="0" w:line="360" w:lineRule="auto"/>
        <w:jc w:val="center"/>
        <w:rPr>
          <w:rStyle w:val="54"/>
          <w:rFonts w:cs="Times New Roman"/>
          <w:b w:val="0"/>
          <w:color w:val="000000" w:themeColor="text1"/>
          <w:sz w:val="21"/>
          <w:szCs w:val="21"/>
          <w14:textFill>
            <w14:solidFill>
              <w14:schemeClr w14:val="tx1"/>
            </w14:solidFill>
          </w14:textFill>
        </w:rPr>
      </w:pPr>
      <w:r>
        <w:rPr>
          <w:rStyle w:val="54"/>
          <w:rFonts w:hint="eastAsia" w:cs="Times New Roman"/>
          <w:b w:val="0"/>
          <w:color w:val="000000" w:themeColor="text1"/>
          <w:sz w:val="21"/>
          <w:szCs w:val="21"/>
          <w14:textFill>
            <w14:solidFill>
              <w14:schemeClr w14:val="tx1"/>
            </w14:solidFill>
          </w14:textFill>
        </w:rPr>
        <w:t>质疑函</w:t>
      </w:r>
    </w:p>
    <w:p w14:paraId="5D3E64DA">
      <w:pPr>
        <w:adjustRightInd w:val="0"/>
        <w:snapToGrid w:val="0"/>
        <w:spacing w:before="312"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14:paraId="4EDAA7B3">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14:paraId="5360A9D4">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14:paraId="3BEAF465">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14:paraId="5FB2659B">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14:paraId="0FFDF706">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14:paraId="33382ED0">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14:paraId="04E885BF">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14:paraId="3491BFAF">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14:paraId="610AFFD9">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14:paraId="0A8F6877">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14:paraId="5A170D33">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14:paraId="1BC8B847">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14:paraId="39708CC1">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14:paraId="473DC1D1">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14:paraId="41DD30E6">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14:paraId="35D3DFC0">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14:paraId="4811F281">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14:paraId="223D8285">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14:paraId="6A7EF4A7">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14:paraId="18AE981B">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14:paraId="5A25AAE5">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14:paraId="1E45ED1A">
      <w:pPr>
        <w:rPr>
          <w:rFonts w:ascii="宋体" w:hAnsi="宋体"/>
          <w:color w:val="000000" w:themeColor="text1"/>
          <w:szCs w:val="21"/>
          <w14:textFill>
            <w14:solidFill>
              <w14:schemeClr w14:val="tx1"/>
            </w14:solidFill>
          </w14:textFill>
        </w:rPr>
      </w:pPr>
    </w:p>
    <w:p w14:paraId="0B1BEC8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14:paraId="2BB94C19">
      <w:pPr>
        <w:rPr>
          <w:rFonts w:ascii="宋体" w:hAnsi="宋体"/>
          <w:color w:val="000000" w:themeColor="text1"/>
          <w:szCs w:val="21"/>
          <w14:textFill>
            <w14:solidFill>
              <w14:schemeClr w14:val="tx1"/>
            </w14:solidFill>
          </w14:textFill>
        </w:rPr>
      </w:pPr>
    </w:p>
    <w:p w14:paraId="0FA6C04F">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14:paraId="436122D5">
      <w:pPr>
        <w:adjustRightInd w:val="0"/>
        <w:snapToGrid w:val="0"/>
        <w:spacing w:line="360" w:lineRule="auto"/>
        <w:rPr>
          <w:rFonts w:ascii="宋体" w:hAnsi="宋体" w:cs="仿宋"/>
          <w:color w:val="000000" w:themeColor="text1"/>
          <w:szCs w:val="21"/>
          <w14:textFill>
            <w14:solidFill>
              <w14:schemeClr w14:val="tx1"/>
            </w14:solidFill>
          </w14:textFill>
        </w:rPr>
      </w:pPr>
    </w:p>
    <w:p w14:paraId="527A4D94">
      <w:pPr>
        <w:adjustRightInd w:val="0"/>
        <w:snapToGrid w:val="0"/>
        <w:spacing w:line="360" w:lineRule="auto"/>
        <w:rPr>
          <w:rFonts w:ascii="宋体" w:hAnsi="宋体" w:cs="仿宋"/>
          <w:color w:val="000000" w:themeColor="text1"/>
          <w:szCs w:val="21"/>
          <w14:textFill>
            <w14:solidFill>
              <w14:schemeClr w14:val="tx1"/>
            </w14:solidFill>
          </w14:textFill>
        </w:rPr>
      </w:pPr>
    </w:p>
    <w:p w14:paraId="7BDC11B5">
      <w:pPr>
        <w:adjustRightInd w:val="0"/>
        <w:snapToGrid w:val="0"/>
        <w:spacing w:line="360" w:lineRule="auto"/>
        <w:rPr>
          <w:rFonts w:ascii="宋体" w:hAnsi="宋体" w:cs="仿宋"/>
          <w:color w:val="000000" w:themeColor="text1"/>
          <w:szCs w:val="21"/>
          <w14:textFill>
            <w14:solidFill>
              <w14:schemeClr w14:val="tx1"/>
            </w14:solidFill>
          </w14:textFill>
        </w:rPr>
      </w:pPr>
    </w:p>
    <w:p w14:paraId="61E41D46">
      <w:pPr>
        <w:adjustRightInd w:val="0"/>
        <w:snapToGrid w:val="0"/>
        <w:spacing w:line="360" w:lineRule="auto"/>
        <w:rPr>
          <w:rFonts w:ascii="宋体" w:hAnsi="宋体" w:cs="仿宋"/>
          <w:color w:val="000000" w:themeColor="text1"/>
          <w:szCs w:val="21"/>
          <w14:textFill>
            <w14:solidFill>
              <w14:schemeClr w14:val="tx1"/>
            </w14:solidFill>
          </w14:textFill>
        </w:rPr>
      </w:pPr>
    </w:p>
    <w:p w14:paraId="0FE21C5F">
      <w:pPr>
        <w:adjustRightInd w:val="0"/>
        <w:snapToGrid w:val="0"/>
        <w:spacing w:line="360" w:lineRule="auto"/>
        <w:rPr>
          <w:rFonts w:ascii="宋体" w:hAnsi="宋体" w:cs="仿宋"/>
          <w:color w:val="000000" w:themeColor="text1"/>
          <w:szCs w:val="21"/>
          <w14:textFill>
            <w14:solidFill>
              <w14:schemeClr w14:val="tx1"/>
            </w14:solidFill>
          </w14:textFill>
        </w:rPr>
      </w:pPr>
    </w:p>
    <w:p w14:paraId="57045550">
      <w:pPr>
        <w:adjustRightInd w:val="0"/>
        <w:snapToGrid w:val="0"/>
        <w:spacing w:line="360" w:lineRule="auto"/>
        <w:rPr>
          <w:rFonts w:ascii="宋体" w:hAnsi="宋体" w:cs="仿宋"/>
          <w:color w:val="000000" w:themeColor="text1"/>
          <w:szCs w:val="21"/>
          <w14:textFill>
            <w14:solidFill>
              <w14:schemeClr w14:val="tx1"/>
            </w14:solidFill>
          </w14:textFill>
        </w:rPr>
      </w:pPr>
    </w:p>
    <w:p w14:paraId="78AB5BDD">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14:paraId="554D2CC4">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14:paraId="21117A17">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14:paraId="4FE98F08">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14:paraId="56FE6CC7">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14:paraId="13E629CE">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14:paraId="2ACFDEA2">
      <w:pPr>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供应商的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14:paraId="0E88650F">
      <w:pPr>
        <w:spacing w:line="360" w:lineRule="auto"/>
        <w:rPr>
          <w:rFonts w:ascii="宋体" w:hAnsi="宋体"/>
          <w:b/>
          <w:color w:val="000000" w:themeColor="text1"/>
          <w:szCs w:val="21"/>
          <w14:textFill>
            <w14:solidFill>
              <w14:schemeClr w14:val="tx1"/>
            </w14:solidFill>
          </w14:textFill>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楷体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9D0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0865A">
    <w:pPr>
      <w:pStyle w:val="31"/>
      <w:framePr w:wrap="around" w:vAnchor="text" w:hAnchor="margin" w:xAlign="center" w:y="1"/>
      <w:rPr>
        <w:rStyle w:val="55"/>
      </w:rPr>
    </w:pPr>
    <w:r>
      <w:fldChar w:fldCharType="begin"/>
    </w:r>
    <w:r>
      <w:rPr>
        <w:rStyle w:val="55"/>
      </w:rPr>
      <w:instrText xml:space="preserve">PAGE  </w:instrText>
    </w:r>
    <w:r>
      <w:fldChar w:fldCharType="end"/>
    </w:r>
  </w:p>
  <w:p w14:paraId="22B9EF7E">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D8015">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09178">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8F8A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20</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A2AE">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3702E">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0B4C">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F090">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78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8235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26C3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6B0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FC7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27159"/>
    <w:multiLevelType w:val="singleLevel"/>
    <w:tmpl w:val="BF427159"/>
    <w:lvl w:ilvl="0" w:tentative="0">
      <w:start w:val="1"/>
      <w:numFmt w:val="chineseCounting"/>
      <w:suff w:val="nothing"/>
      <w:lvlText w:val="%1、"/>
      <w:lvlJc w:val="left"/>
      <w:rPr>
        <w:rFonts w:hint="eastAsia"/>
      </w:rPr>
    </w:lvl>
  </w:abstractNum>
  <w:abstractNum w:abstractNumId="1">
    <w:nsid w:val="00000009"/>
    <w:multiLevelType w:val="singleLevel"/>
    <w:tmpl w:val="00000009"/>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2">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singleLevel"/>
    <w:tmpl w:val="0000000C"/>
    <w:lvl w:ilvl="0" w:tentative="0">
      <w:start w:val="1"/>
      <w:numFmt w:val="decimal"/>
      <w:pStyle w:val="329"/>
      <w:lvlText w:val="%1."/>
      <w:lvlJc w:val="left"/>
      <w:pPr>
        <w:tabs>
          <w:tab w:val="left" w:pos="360"/>
        </w:tabs>
        <w:ind w:left="360" w:hanging="360"/>
      </w:pPr>
    </w:lvl>
  </w:abstractNum>
  <w:abstractNum w:abstractNumId="4">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6">
    <w:nsid w:val="00000010"/>
    <w:multiLevelType w:val="multilevel"/>
    <w:tmpl w:val="00000010"/>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1"/>
    <w:multiLevelType w:val="multilevel"/>
    <w:tmpl w:val="00000011"/>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8">
    <w:nsid w:val="00000012"/>
    <w:multiLevelType w:val="multilevel"/>
    <w:tmpl w:val="00000012"/>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9">
    <w:nsid w:val="00000013"/>
    <w:multiLevelType w:val="singleLevel"/>
    <w:tmpl w:val="00000013"/>
    <w:lvl w:ilvl="0" w:tentative="0">
      <w:start w:val="1"/>
      <w:numFmt w:val="decimal"/>
      <w:pStyle w:val="256"/>
      <w:lvlText w:val="%1."/>
      <w:lvlJc w:val="left"/>
      <w:pPr>
        <w:tabs>
          <w:tab w:val="left" w:pos="2040"/>
        </w:tabs>
        <w:ind w:left="2040" w:hanging="360"/>
      </w:pPr>
    </w:lvl>
  </w:abstractNum>
  <w:abstractNum w:abstractNumId="10">
    <w:nsid w:val="00000014"/>
    <w:multiLevelType w:val="singleLevel"/>
    <w:tmpl w:val="00000014"/>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1">
    <w:nsid w:val="00000016"/>
    <w:multiLevelType w:val="multilevel"/>
    <w:tmpl w:val="00000016"/>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8"/>
    <w:multiLevelType w:val="multilevel"/>
    <w:tmpl w:val="00000018"/>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pStyle w:val="101"/>
      <w:lvlText w:val="%3."/>
      <w:lvlJc w:val="right"/>
      <w:pPr>
        <w:tabs>
          <w:tab w:val="left" w:pos="1260"/>
        </w:tabs>
        <w:ind w:left="1260" w:hanging="420"/>
      </w:pPr>
    </w:lvl>
    <w:lvl w:ilvl="3" w:tentative="0">
      <w:start w:val="1"/>
      <w:numFmt w:val="decimal"/>
      <w:pStyle w:val="22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9"/>
    <w:multiLevelType w:val="singleLevel"/>
    <w:tmpl w:val="00000019"/>
    <w:lvl w:ilvl="0" w:tentative="0">
      <w:start w:val="1"/>
      <w:numFmt w:val="decimal"/>
      <w:pStyle w:val="343"/>
      <w:lvlText w:val="%1."/>
      <w:lvlJc w:val="left"/>
      <w:pPr>
        <w:tabs>
          <w:tab w:val="left" w:pos="1145"/>
        </w:tabs>
        <w:ind w:left="902" w:hanging="477"/>
      </w:pPr>
      <w:rPr>
        <w:rFonts w:hint="eastAsia"/>
      </w:rPr>
    </w:lvl>
  </w:abstractNum>
  <w:abstractNum w:abstractNumId="14">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5">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C"/>
    <w:multiLevelType w:val="singleLevel"/>
    <w:tmpl w:val="0000001C"/>
    <w:lvl w:ilvl="0" w:tentative="0">
      <w:start w:val="1"/>
      <w:numFmt w:val="decimal"/>
      <w:pStyle w:val="196"/>
      <w:lvlText w:val="%1."/>
      <w:lvlJc w:val="left"/>
      <w:pPr>
        <w:tabs>
          <w:tab w:val="left" w:pos="1200"/>
        </w:tabs>
        <w:ind w:left="1200" w:hanging="360"/>
      </w:pPr>
    </w:lvl>
  </w:abstractNum>
  <w:abstractNum w:abstractNumId="17">
    <w:nsid w:val="0000001D"/>
    <w:multiLevelType w:val="multilevel"/>
    <w:tmpl w:val="0000001D"/>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3"/>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9">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41"/>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num w:numId="1">
    <w:abstractNumId w:val="14"/>
  </w:num>
  <w:num w:numId="2">
    <w:abstractNumId w:val="20"/>
  </w:num>
  <w:num w:numId="3">
    <w:abstractNumId w:val="21"/>
  </w:num>
  <w:num w:numId="4">
    <w:abstractNumId w:val="5"/>
  </w:num>
  <w:num w:numId="5">
    <w:abstractNumId w:val="12"/>
  </w:num>
  <w:num w:numId="6">
    <w:abstractNumId w:val="8"/>
  </w:num>
  <w:num w:numId="7">
    <w:abstractNumId w:val="11"/>
  </w:num>
  <w:num w:numId="8">
    <w:abstractNumId w:val="18"/>
  </w:num>
  <w:num w:numId="9">
    <w:abstractNumId w:val="7"/>
  </w:num>
  <w:num w:numId="10">
    <w:abstractNumId w:val="2"/>
  </w:num>
  <w:num w:numId="11">
    <w:abstractNumId w:val="6"/>
  </w:num>
  <w:num w:numId="12">
    <w:abstractNumId w:val="16"/>
  </w:num>
  <w:num w:numId="13">
    <w:abstractNumId w:val="4"/>
  </w:num>
  <w:num w:numId="14">
    <w:abstractNumId w:val="22"/>
  </w:num>
  <w:num w:numId="15">
    <w:abstractNumId w:val="10"/>
  </w:num>
  <w:num w:numId="16">
    <w:abstractNumId w:val="9"/>
  </w:num>
  <w:num w:numId="17">
    <w:abstractNumId w:val="1"/>
  </w:num>
  <w:num w:numId="18">
    <w:abstractNumId w:val="3"/>
  </w:num>
  <w:num w:numId="19">
    <w:abstractNumId w:val="13"/>
  </w:num>
  <w:num w:numId="20">
    <w:abstractNumId w:val="17"/>
  </w:num>
  <w:num w:numId="21">
    <w:abstractNumId w:val="15"/>
  </w:num>
  <w:num w:numId="22">
    <w:abstractNumId w:val="0"/>
  </w:num>
  <w:num w:numId="23">
    <w:abstractNumId w:val="24"/>
  </w:num>
  <w:num w:numId="24">
    <w:abstractNumId w:val="2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MDRlZGQ0YzQxM2JmMTk3Zjk2NTE1MjA0YTBjMTcifQ=="/>
  </w:docVars>
  <w:rsids>
    <w:rsidRoot w:val="00172A27"/>
    <w:rsid w:val="00003715"/>
    <w:rsid w:val="00015EFC"/>
    <w:rsid w:val="00022A82"/>
    <w:rsid w:val="0002647D"/>
    <w:rsid w:val="00034C30"/>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3912"/>
    <w:rsid w:val="00145D46"/>
    <w:rsid w:val="00151D5C"/>
    <w:rsid w:val="00153512"/>
    <w:rsid w:val="00172A27"/>
    <w:rsid w:val="0017770B"/>
    <w:rsid w:val="0018467A"/>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76E6E"/>
    <w:rsid w:val="0028241F"/>
    <w:rsid w:val="00283364"/>
    <w:rsid w:val="002935BB"/>
    <w:rsid w:val="00295DB3"/>
    <w:rsid w:val="002A2C48"/>
    <w:rsid w:val="002B07A0"/>
    <w:rsid w:val="002C50BA"/>
    <w:rsid w:val="002D6B63"/>
    <w:rsid w:val="00306744"/>
    <w:rsid w:val="00321E5F"/>
    <w:rsid w:val="00324222"/>
    <w:rsid w:val="003259A1"/>
    <w:rsid w:val="00335E4A"/>
    <w:rsid w:val="00341880"/>
    <w:rsid w:val="003502B3"/>
    <w:rsid w:val="00355B82"/>
    <w:rsid w:val="00360111"/>
    <w:rsid w:val="0038517B"/>
    <w:rsid w:val="0039067B"/>
    <w:rsid w:val="003B027A"/>
    <w:rsid w:val="003B0AFE"/>
    <w:rsid w:val="003B5A21"/>
    <w:rsid w:val="003B5E67"/>
    <w:rsid w:val="003D6964"/>
    <w:rsid w:val="003F3CB2"/>
    <w:rsid w:val="00402FD8"/>
    <w:rsid w:val="00420B8A"/>
    <w:rsid w:val="00424329"/>
    <w:rsid w:val="004315AB"/>
    <w:rsid w:val="004369FC"/>
    <w:rsid w:val="00440768"/>
    <w:rsid w:val="00470DC7"/>
    <w:rsid w:val="00474A02"/>
    <w:rsid w:val="00476C57"/>
    <w:rsid w:val="004917A7"/>
    <w:rsid w:val="00496944"/>
    <w:rsid w:val="004A4711"/>
    <w:rsid w:val="004B3410"/>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3CEF"/>
    <w:rsid w:val="00597777"/>
    <w:rsid w:val="005A0C5D"/>
    <w:rsid w:val="005A5099"/>
    <w:rsid w:val="005D7F9C"/>
    <w:rsid w:val="006253C8"/>
    <w:rsid w:val="00627224"/>
    <w:rsid w:val="006348F9"/>
    <w:rsid w:val="006433B8"/>
    <w:rsid w:val="00670FD0"/>
    <w:rsid w:val="00673A22"/>
    <w:rsid w:val="006A11E6"/>
    <w:rsid w:val="006F49A2"/>
    <w:rsid w:val="00702865"/>
    <w:rsid w:val="007052A3"/>
    <w:rsid w:val="00722460"/>
    <w:rsid w:val="00777915"/>
    <w:rsid w:val="00784E14"/>
    <w:rsid w:val="00797633"/>
    <w:rsid w:val="00797BC2"/>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06AE"/>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161EA"/>
    <w:rsid w:val="00E23B70"/>
    <w:rsid w:val="00E410A6"/>
    <w:rsid w:val="00E52135"/>
    <w:rsid w:val="00E56839"/>
    <w:rsid w:val="00E66286"/>
    <w:rsid w:val="00E72CF2"/>
    <w:rsid w:val="00E8147C"/>
    <w:rsid w:val="00E87A3A"/>
    <w:rsid w:val="00E957FD"/>
    <w:rsid w:val="00E96110"/>
    <w:rsid w:val="00E96FDC"/>
    <w:rsid w:val="00EB0735"/>
    <w:rsid w:val="00EB0FB7"/>
    <w:rsid w:val="00EB1640"/>
    <w:rsid w:val="00EC10D8"/>
    <w:rsid w:val="00EC293F"/>
    <w:rsid w:val="00ED3E65"/>
    <w:rsid w:val="00EE1D0E"/>
    <w:rsid w:val="00EE3783"/>
    <w:rsid w:val="00F001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E586A"/>
    <w:rsid w:val="00FE691A"/>
    <w:rsid w:val="00FF51C1"/>
    <w:rsid w:val="00FF58C2"/>
    <w:rsid w:val="014315C8"/>
    <w:rsid w:val="01721F8F"/>
    <w:rsid w:val="01D96468"/>
    <w:rsid w:val="02551A35"/>
    <w:rsid w:val="02641C78"/>
    <w:rsid w:val="02823B92"/>
    <w:rsid w:val="02CB1CF7"/>
    <w:rsid w:val="035E0DBD"/>
    <w:rsid w:val="0380228D"/>
    <w:rsid w:val="04397548"/>
    <w:rsid w:val="04506958"/>
    <w:rsid w:val="04531CBE"/>
    <w:rsid w:val="04531FA4"/>
    <w:rsid w:val="046C420D"/>
    <w:rsid w:val="0475410A"/>
    <w:rsid w:val="0479235A"/>
    <w:rsid w:val="04974587"/>
    <w:rsid w:val="04A61125"/>
    <w:rsid w:val="04FF43A7"/>
    <w:rsid w:val="054364BD"/>
    <w:rsid w:val="05943BBD"/>
    <w:rsid w:val="05D46009"/>
    <w:rsid w:val="063F6C84"/>
    <w:rsid w:val="064424ED"/>
    <w:rsid w:val="068427B9"/>
    <w:rsid w:val="07474F91"/>
    <w:rsid w:val="077A4C7E"/>
    <w:rsid w:val="07B5085A"/>
    <w:rsid w:val="089A4646"/>
    <w:rsid w:val="08BB636A"/>
    <w:rsid w:val="092403B3"/>
    <w:rsid w:val="092411E2"/>
    <w:rsid w:val="09B259BF"/>
    <w:rsid w:val="09B5725D"/>
    <w:rsid w:val="09F71624"/>
    <w:rsid w:val="0A2A5414"/>
    <w:rsid w:val="0A2F1BEE"/>
    <w:rsid w:val="0A336573"/>
    <w:rsid w:val="0A8E1F88"/>
    <w:rsid w:val="0ABA4F87"/>
    <w:rsid w:val="0AC04E2E"/>
    <w:rsid w:val="0B024724"/>
    <w:rsid w:val="0B4117F8"/>
    <w:rsid w:val="0B415214"/>
    <w:rsid w:val="0B492353"/>
    <w:rsid w:val="0B726F43"/>
    <w:rsid w:val="0BA53A2D"/>
    <w:rsid w:val="0BC922C1"/>
    <w:rsid w:val="0C3F7A7A"/>
    <w:rsid w:val="0CC60B32"/>
    <w:rsid w:val="0D257FE2"/>
    <w:rsid w:val="0D282F84"/>
    <w:rsid w:val="0D533BC3"/>
    <w:rsid w:val="0D5E0FF7"/>
    <w:rsid w:val="0D71793F"/>
    <w:rsid w:val="0DB25F8E"/>
    <w:rsid w:val="0DBD2E32"/>
    <w:rsid w:val="0DD56120"/>
    <w:rsid w:val="0EB82D68"/>
    <w:rsid w:val="0EFC7B98"/>
    <w:rsid w:val="0F0E3FFD"/>
    <w:rsid w:val="0F262DEA"/>
    <w:rsid w:val="0F725555"/>
    <w:rsid w:val="0F986DD1"/>
    <w:rsid w:val="107058D4"/>
    <w:rsid w:val="10D42100"/>
    <w:rsid w:val="10EC06AA"/>
    <w:rsid w:val="11515425"/>
    <w:rsid w:val="11D4527C"/>
    <w:rsid w:val="11F8418B"/>
    <w:rsid w:val="12053D30"/>
    <w:rsid w:val="12437AFC"/>
    <w:rsid w:val="12ED4198"/>
    <w:rsid w:val="13262438"/>
    <w:rsid w:val="13730200"/>
    <w:rsid w:val="13A9398F"/>
    <w:rsid w:val="13EC08FB"/>
    <w:rsid w:val="14415AEC"/>
    <w:rsid w:val="147D09F5"/>
    <w:rsid w:val="147E306D"/>
    <w:rsid w:val="149A48FB"/>
    <w:rsid w:val="15470D7D"/>
    <w:rsid w:val="154F67B8"/>
    <w:rsid w:val="15712BD2"/>
    <w:rsid w:val="15B71F81"/>
    <w:rsid w:val="15C03212"/>
    <w:rsid w:val="15DD3DC4"/>
    <w:rsid w:val="163F2424"/>
    <w:rsid w:val="17084E70"/>
    <w:rsid w:val="170E6F29"/>
    <w:rsid w:val="178F5592"/>
    <w:rsid w:val="179E3A27"/>
    <w:rsid w:val="17A26863"/>
    <w:rsid w:val="18357EE7"/>
    <w:rsid w:val="18641B32"/>
    <w:rsid w:val="18C63235"/>
    <w:rsid w:val="19325F6D"/>
    <w:rsid w:val="1942201F"/>
    <w:rsid w:val="1943596F"/>
    <w:rsid w:val="19516FA3"/>
    <w:rsid w:val="19564A63"/>
    <w:rsid w:val="19E576EB"/>
    <w:rsid w:val="1A0E6C42"/>
    <w:rsid w:val="1A9133CF"/>
    <w:rsid w:val="1A983AF1"/>
    <w:rsid w:val="1AFB4E47"/>
    <w:rsid w:val="1B217879"/>
    <w:rsid w:val="1B467B81"/>
    <w:rsid w:val="1BD43B47"/>
    <w:rsid w:val="1C275D99"/>
    <w:rsid w:val="1C937894"/>
    <w:rsid w:val="1CDA72AF"/>
    <w:rsid w:val="1D7D6412"/>
    <w:rsid w:val="1DDC09E6"/>
    <w:rsid w:val="1DF12B02"/>
    <w:rsid w:val="1E2C7696"/>
    <w:rsid w:val="1E9C1F24"/>
    <w:rsid w:val="1EA27958"/>
    <w:rsid w:val="1EB4768C"/>
    <w:rsid w:val="1F3423CC"/>
    <w:rsid w:val="1F7D3F22"/>
    <w:rsid w:val="1FA92F69"/>
    <w:rsid w:val="200F3546"/>
    <w:rsid w:val="200F7270"/>
    <w:rsid w:val="20216FA3"/>
    <w:rsid w:val="204230BC"/>
    <w:rsid w:val="2114292B"/>
    <w:rsid w:val="21423675"/>
    <w:rsid w:val="214D7B40"/>
    <w:rsid w:val="21CF315A"/>
    <w:rsid w:val="22185E8F"/>
    <w:rsid w:val="2224626D"/>
    <w:rsid w:val="22486A69"/>
    <w:rsid w:val="22697B27"/>
    <w:rsid w:val="22B97F14"/>
    <w:rsid w:val="22CE3412"/>
    <w:rsid w:val="232272BA"/>
    <w:rsid w:val="2338088B"/>
    <w:rsid w:val="236631E7"/>
    <w:rsid w:val="23847DAA"/>
    <w:rsid w:val="23871054"/>
    <w:rsid w:val="23C6233B"/>
    <w:rsid w:val="23F62333"/>
    <w:rsid w:val="24945F95"/>
    <w:rsid w:val="250A44A9"/>
    <w:rsid w:val="2533755C"/>
    <w:rsid w:val="256C2A6E"/>
    <w:rsid w:val="25D54AB7"/>
    <w:rsid w:val="25DD6CE3"/>
    <w:rsid w:val="262D044F"/>
    <w:rsid w:val="26386DFE"/>
    <w:rsid w:val="2657371E"/>
    <w:rsid w:val="26835D38"/>
    <w:rsid w:val="26E638F2"/>
    <w:rsid w:val="26F66595"/>
    <w:rsid w:val="27075144"/>
    <w:rsid w:val="278B7B24"/>
    <w:rsid w:val="27CE5C62"/>
    <w:rsid w:val="27D011E0"/>
    <w:rsid w:val="27D17500"/>
    <w:rsid w:val="28101DD7"/>
    <w:rsid w:val="28CF2061"/>
    <w:rsid w:val="296F7A15"/>
    <w:rsid w:val="29A01DE1"/>
    <w:rsid w:val="29A9551B"/>
    <w:rsid w:val="2A6D3510"/>
    <w:rsid w:val="2A7F74F9"/>
    <w:rsid w:val="2A9202AE"/>
    <w:rsid w:val="2AF84044"/>
    <w:rsid w:val="2B275DB5"/>
    <w:rsid w:val="2B522B41"/>
    <w:rsid w:val="2C3216E7"/>
    <w:rsid w:val="2C680433"/>
    <w:rsid w:val="2C820F63"/>
    <w:rsid w:val="2CF33A75"/>
    <w:rsid w:val="2CFC2E3F"/>
    <w:rsid w:val="2D262F51"/>
    <w:rsid w:val="2D4473C0"/>
    <w:rsid w:val="2D4E7DEC"/>
    <w:rsid w:val="2D681932"/>
    <w:rsid w:val="2D910749"/>
    <w:rsid w:val="2DB74F8D"/>
    <w:rsid w:val="2DE0628E"/>
    <w:rsid w:val="2DEB304E"/>
    <w:rsid w:val="2E4B3B69"/>
    <w:rsid w:val="2E701821"/>
    <w:rsid w:val="2E870919"/>
    <w:rsid w:val="2EA25E08"/>
    <w:rsid w:val="2EE6563F"/>
    <w:rsid w:val="2F1C5505"/>
    <w:rsid w:val="2FAA5E8A"/>
    <w:rsid w:val="2FC647D1"/>
    <w:rsid w:val="2FCF2577"/>
    <w:rsid w:val="2FDB716E"/>
    <w:rsid w:val="30336FAA"/>
    <w:rsid w:val="313B64AB"/>
    <w:rsid w:val="315276E8"/>
    <w:rsid w:val="316A0071"/>
    <w:rsid w:val="31AB491E"/>
    <w:rsid w:val="3253123E"/>
    <w:rsid w:val="32784C44"/>
    <w:rsid w:val="328E04C8"/>
    <w:rsid w:val="32B12BA0"/>
    <w:rsid w:val="32B4030F"/>
    <w:rsid w:val="32BA12BD"/>
    <w:rsid w:val="3323550B"/>
    <w:rsid w:val="3337290D"/>
    <w:rsid w:val="33380434"/>
    <w:rsid w:val="33423566"/>
    <w:rsid w:val="34467B68"/>
    <w:rsid w:val="347A51A8"/>
    <w:rsid w:val="34A01C68"/>
    <w:rsid w:val="34DD1293"/>
    <w:rsid w:val="34E74E6C"/>
    <w:rsid w:val="35505D31"/>
    <w:rsid w:val="360811F1"/>
    <w:rsid w:val="3666417A"/>
    <w:rsid w:val="3756532C"/>
    <w:rsid w:val="37942980"/>
    <w:rsid w:val="37BC5AD7"/>
    <w:rsid w:val="37EE018B"/>
    <w:rsid w:val="37F7266B"/>
    <w:rsid w:val="37FE2480"/>
    <w:rsid w:val="380D6333"/>
    <w:rsid w:val="38BD6B23"/>
    <w:rsid w:val="38FA07ED"/>
    <w:rsid w:val="3955032C"/>
    <w:rsid w:val="397321C6"/>
    <w:rsid w:val="39766A08"/>
    <w:rsid w:val="39F50E2C"/>
    <w:rsid w:val="3A122D48"/>
    <w:rsid w:val="3A9262F0"/>
    <w:rsid w:val="3AAD14C4"/>
    <w:rsid w:val="3ACB0658"/>
    <w:rsid w:val="3B343BD6"/>
    <w:rsid w:val="3B733902"/>
    <w:rsid w:val="3BF11054"/>
    <w:rsid w:val="3C223CBC"/>
    <w:rsid w:val="3C307687"/>
    <w:rsid w:val="3C346CB0"/>
    <w:rsid w:val="3C502C92"/>
    <w:rsid w:val="3C9E1C4F"/>
    <w:rsid w:val="3CB13731"/>
    <w:rsid w:val="3D193084"/>
    <w:rsid w:val="3D25175A"/>
    <w:rsid w:val="3D583BAC"/>
    <w:rsid w:val="3D7D180A"/>
    <w:rsid w:val="3DC70D32"/>
    <w:rsid w:val="3E3A5D01"/>
    <w:rsid w:val="3EA41E70"/>
    <w:rsid w:val="3EC64739"/>
    <w:rsid w:val="3EC81206"/>
    <w:rsid w:val="3EF84292"/>
    <w:rsid w:val="3F11495A"/>
    <w:rsid w:val="40026051"/>
    <w:rsid w:val="402736CA"/>
    <w:rsid w:val="40AD173B"/>
    <w:rsid w:val="40D914A8"/>
    <w:rsid w:val="410F6C78"/>
    <w:rsid w:val="415E7F28"/>
    <w:rsid w:val="41BB6E00"/>
    <w:rsid w:val="41D81760"/>
    <w:rsid w:val="427113AE"/>
    <w:rsid w:val="42D02437"/>
    <w:rsid w:val="43356D6D"/>
    <w:rsid w:val="43D6387F"/>
    <w:rsid w:val="449636F0"/>
    <w:rsid w:val="458A55B2"/>
    <w:rsid w:val="45DA0542"/>
    <w:rsid w:val="462036D5"/>
    <w:rsid w:val="464E1FF0"/>
    <w:rsid w:val="47354F5E"/>
    <w:rsid w:val="476839C7"/>
    <w:rsid w:val="47835CCA"/>
    <w:rsid w:val="47850C83"/>
    <w:rsid w:val="47884F34"/>
    <w:rsid w:val="47D87B0B"/>
    <w:rsid w:val="48384832"/>
    <w:rsid w:val="484F02A2"/>
    <w:rsid w:val="48607974"/>
    <w:rsid w:val="48627FD5"/>
    <w:rsid w:val="4884619D"/>
    <w:rsid w:val="48A54B2C"/>
    <w:rsid w:val="48DC198C"/>
    <w:rsid w:val="4913307D"/>
    <w:rsid w:val="49530160"/>
    <w:rsid w:val="4A0F2B90"/>
    <w:rsid w:val="4AFB4AC3"/>
    <w:rsid w:val="4B201A81"/>
    <w:rsid w:val="4B532571"/>
    <w:rsid w:val="4B564C19"/>
    <w:rsid w:val="4B8A2D50"/>
    <w:rsid w:val="4B95421D"/>
    <w:rsid w:val="4BA0240B"/>
    <w:rsid w:val="4BD56D10"/>
    <w:rsid w:val="4BF61160"/>
    <w:rsid w:val="4C0C4DFF"/>
    <w:rsid w:val="4C1635B0"/>
    <w:rsid w:val="4C9C5318"/>
    <w:rsid w:val="4CA02E7A"/>
    <w:rsid w:val="4CEB2649"/>
    <w:rsid w:val="4DA21DBC"/>
    <w:rsid w:val="4DAD1CF2"/>
    <w:rsid w:val="4DAF0814"/>
    <w:rsid w:val="4E2B70BB"/>
    <w:rsid w:val="4E4679B0"/>
    <w:rsid w:val="4E4A5793"/>
    <w:rsid w:val="4E865251"/>
    <w:rsid w:val="4ED34AA6"/>
    <w:rsid w:val="4ED47EC3"/>
    <w:rsid w:val="4F012B14"/>
    <w:rsid w:val="4F041DE6"/>
    <w:rsid w:val="4F8E7FF5"/>
    <w:rsid w:val="4FD6332E"/>
    <w:rsid w:val="505E1082"/>
    <w:rsid w:val="50D457E8"/>
    <w:rsid w:val="50E7551B"/>
    <w:rsid w:val="50F10148"/>
    <w:rsid w:val="518C7E71"/>
    <w:rsid w:val="51E25CE3"/>
    <w:rsid w:val="52036385"/>
    <w:rsid w:val="5246001F"/>
    <w:rsid w:val="527E5A0B"/>
    <w:rsid w:val="52937568"/>
    <w:rsid w:val="52990A97"/>
    <w:rsid w:val="52A22C7B"/>
    <w:rsid w:val="530C3017"/>
    <w:rsid w:val="53560736"/>
    <w:rsid w:val="53576D8F"/>
    <w:rsid w:val="5358625C"/>
    <w:rsid w:val="53847836"/>
    <w:rsid w:val="53E775E0"/>
    <w:rsid w:val="53F02025"/>
    <w:rsid w:val="53F33A8E"/>
    <w:rsid w:val="53F869BF"/>
    <w:rsid w:val="53FB26C8"/>
    <w:rsid w:val="5404118E"/>
    <w:rsid w:val="54203DDA"/>
    <w:rsid w:val="545E1836"/>
    <w:rsid w:val="547D2430"/>
    <w:rsid w:val="54857525"/>
    <w:rsid w:val="54CA13DC"/>
    <w:rsid w:val="54E01475"/>
    <w:rsid w:val="550146D2"/>
    <w:rsid w:val="55066247"/>
    <w:rsid w:val="553E5926"/>
    <w:rsid w:val="55AC288F"/>
    <w:rsid w:val="562353C6"/>
    <w:rsid w:val="56696D4B"/>
    <w:rsid w:val="567333AD"/>
    <w:rsid w:val="56874849"/>
    <w:rsid w:val="56A96624"/>
    <w:rsid w:val="56B22645"/>
    <w:rsid w:val="578B031F"/>
    <w:rsid w:val="578F4A8D"/>
    <w:rsid w:val="57B27F05"/>
    <w:rsid w:val="57B91294"/>
    <w:rsid w:val="57D14C92"/>
    <w:rsid w:val="580B5F93"/>
    <w:rsid w:val="581F559B"/>
    <w:rsid w:val="58365388"/>
    <w:rsid w:val="586D7C9F"/>
    <w:rsid w:val="58975A79"/>
    <w:rsid w:val="58C31136"/>
    <w:rsid w:val="5915074C"/>
    <w:rsid w:val="593E5EF4"/>
    <w:rsid w:val="59562F7F"/>
    <w:rsid w:val="59BD3853"/>
    <w:rsid w:val="5A3C7C44"/>
    <w:rsid w:val="5A622382"/>
    <w:rsid w:val="5A865DA5"/>
    <w:rsid w:val="5AB346C0"/>
    <w:rsid w:val="5AD65AE1"/>
    <w:rsid w:val="5AF3630B"/>
    <w:rsid w:val="5B793214"/>
    <w:rsid w:val="5BD62414"/>
    <w:rsid w:val="5CEE7C31"/>
    <w:rsid w:val="5D285959"/>
    <w:rsid w:val="5D303DA6"/>
    <w:rsid w:val="5D6D4833"/>
    <w:rsid w:val="5DD92690"/>
    <w:rsid w:val="5E0E3303"/>
    <w:rsid w:val="5E5A13AA"/>
    <w:rsid w:val="5E6F08FE"/>
    <w:rsid w:val="5EF93166"/>
    <w:rsid w:val="5EFF6126"/>
    <w:rsid w:val="5F4F0E5B"/>
    <w:rsid w:val="5F835705"/>
    <w:rsid w:val="5F8959EF"/>
    <w:rsid w:val="5FA6034F"/>
    <w:rsid w:val="5FB3660D"/>
    <w:rsid w:val="606E3D0C"/>
    <w:rsid w:val="608B3A3E"/>
    <w:rsid w:val="60B91957"/>
    <w:rsid w:val="60CB2763"/>
    <w:rsid w:val="613E7EA3"/>
    <w:rsid w:val="616F4E9E"/>
    <w:rsid w:val="61B05AC6"/>
    <w:rsid w:val="622D4D58"/>
    <w:rsid w:val="62546789"/>
    <w:rsid w:val="6271733B"/>
    <w:rsid w:val="63663D5E"/>
    <w:rsid w:val="636E2764"/>
    <w:rsid w:val="63870498"/>
    <w:rsid w:val="63ED0C43"/>
    <w:rsid w:val="644E3D19"/>
    <w:rsid w:val="64B30629"/>
    <w:rsid w:val="64ED7799"/>
    <w:rsid w:val="64FC5595"/>
    <w:rsid w:val="656C3E38"/>
    <w:rsid w:val="65EE47FE"/>
    <w:rsid w:val="660E4EA0"/>
    <w:rsid w:val="66511DC4"/>
    <w:rsid w:val="66C57C55"/>
    <w:rsid w:val="66E660BB"/>
    <w:rsid w:val="67050051"/>
    <w:rsid w:val="672B6D3E"/>
    <w:rsid w:val="674871F7"/>
    <w:rsid w:val="67B50C3E"/>
    <w:rsid w:val="682D5AB2"/>
    <w:rsid w:val="688651C2"/>
    <w:rsid w:val="68BB5B37"/>
    <w:rsid w:val="68EA39A3"/>
    <w:rsid w:val="68EE7966"/>
    <w:rsid w:val="693E5A9D"/>
    <w:rsid w:val="69464051"/>
    <w:rsid w:val="69502817"/>
    <w:rsid w:val="69B67D29"/>
    <w:rsid w:val="6A106831"/>
    <w:rsid w:val="6A321792"/>
    <w:rsid w:val="6A5245A6"/>
    <w:rsid w:val="6AAE6022"/>
    <w:rsid w:val="6AC12462"/>
    <w:rsid w:val="6B385FF8"/>
    <w:rsid w:val="6B777044"/>
    <w:rsid w:val="6BC57C40"/>
    <w:rsid w:val="6C0D3F39"/>
    <w:rsid w:val="6C354F35"/>
    <w:rsid w:val="6CDF30F3"/>
    <w:rsid w:val="6CF070AE"/>
    <w:rsid w:val="6D0B038C"/>
    <w:rsid w:val="6D3A11ED"/>
    <w:rsid w:val="6D9E2FAE"/>
    <w:rsid w:val="6DB66549"/>
    <w:rsid w:val="6DB901F3"/>
    <w:rsid w:val="6E296D1B"/>
    <w:rsid w:val="6E463EA2"/>
    <w:rsid w:val="6EAB3BD4"/>
    <w:rsid w:val="6F156D3B"/>
    <w:rsid w:val="6FB80FA8"/>
    <w:rsid w:val="6FDB2297"/>
    <w:rsid w:val="700C2451"/>
    <w:rsid w:val="702A6D7B"/>
    <w:rsid w:val="70E17439"/>
    <w:rsid w:val="71080E6A"/>
    <w:rsid w:val="711F0E5F"/>
    <w:rsid w:val="71495E20"/>
    <w:rsid w:val="716F2C97"/>
    <w:rsid w:val="717C73D9"/>
    <w:rsid w:val="71995F66"/>
    <w:rsid w:val="71DB032D"/>
    <w:rsid w:val="720535FB"/>
    <w:rsid w:val="72365D0D"/>
    <w:rsid w:val="72AB5CE0"/>
    <w:rsid w:val="72CB03A1"/>
    <w:rsid w:val="72F571CC"/>
    <w:rsid w:val="731D3E4E"/>
    <w:rsid w:val="736E5255"/>
    <w:rsid w:val="7400407A"/>
    <w:rsid w:val="74185868"/>
    <w:rsid w:val="742F4960"/>
    <w:rsid w:val="74D55484"/>
    <w:rsid w:val="75252A65"/>
    <w:rsid w:val="753A7A60"/>
    <w:rsid w:val="75452980"/>
    <w:rsid w:val="75B025BC"/>
    <w:rsid w:val="75BD5BDD"/>
    <w:rsid w:val="75EF0D47"/>
    <w:rsid w:val="76361FD5"/>
    <w:rsid w:val="76950BB7"/>
    <w:rsid w:val="76983714"/>
    <w:rsid w:val="76C53707"/>
    <w:rsid w:val="771C566F"/>
    <w:rsid w:val="772C4C9B"/>
    <w:rsid w:val="777D3C34"/>
    <w:rsid w:val="77862AE9"/>
    <w:rsid w:val="77A94A29"/>
    <w:rsid w:val="77BB322D"/>
    <w:rsid w:val="78267E28"/>
    <w:rsid w:val="78755408"/>
    <w:rsid w:val="78770683"/>
    <w:rsid w:val="788B5354"/>
    <w:rsid w:val="78A37C84"/>
    <w:rsid w:val="78E4630C"/>
    <w:rsid w:val="78EA52F9"/>
    <w:rsid w:val="7A212F9C"/>
    <w:rsid w:val="7A2E1533"/>
    <w:rsid w:val="7A4D1FE3"/>
    <w:rsid w:val="7A801B3B"/>
    <w:rsid w:val="7AC175DE"/>
    <w:rsid w:val="7AC2590B"/>
    <w:rsid w:val="7B06170D"/>
    <w:rsid w:val="7B24371D"/>
    <w:rsid w:val="7B4967D9"/>
    <w:rsid w:val="7BA06335"/>
    <w:rsid w:val="7BB60917"/>
    <w:rsid w:val="7BD32074"/>
    <w:rsid w:val="7BF47C3B"/>
    <w:rsid w:val="7C71501B"/>
    <w:rsid w:val="7CCC4746"/>
    <w:rsid w:val="7D1B1F25"/>
    <w:rsid w:val="7D52346D"/>
    <w:rsid w:val="7D7A04E7"/>
    <w:rsid w:val="7D9F66B2"/>
    <w:rsid w:val="7E153C15"/>
    <w:rsid w:val="7EB95A3C"/>
    <w:rsid w:val="7F225827"/>
    <w:rsid w:val="7F7F2C3F"/>
    <w:rsid w:val="7FA830E4"/>
    <w:rsid w:val="7FAE75AA"/>
    <w:rsid w:val="7FC22B3C"/>
    <w:rsid w:val="F3FFBF1F"/>
    <w:rsid w:val="F4CC9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5">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4"/>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next w:val="19"/>
    <w:link w:val="160"/>
    <w:qFormat/>
    <w:uiPriority w:val="0"/>
    <w:pPr>
      <w:ind w:firstLine="100" w:firstLineChars="100"/>
    </w:pPr>
    <w:rPr>
      <w:rFonts w:ascii="Calibri" w:hAnsi="Calibri"/>
      <w:szCs w:val="22"/>
    </w:rPr>
  </w:style>
  <w:style w:type="paragraph" w:styleId="50">
    <w:name w:val="Body Text First Indent 2"/>
    <w:basedOn w:val="20"/>
    <w:next w:val="49"/>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basedOn w:val="53"/>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Char"/>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Char"/>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Char"/>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Char"/>
    <w:link w:val="28"/>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Char"/>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Char"/>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Char"/>
    <w:link w:val="31"/>
    <w:qFormat/>
    <w:uiPriority w:val="0"/>
    <w:rPr>
      <w:rFonts w:eastAsia="宋体"/>
      <w:sz w:val="18"/>
      <w:szCs w:val="18"/>
      <w:lang w:bidi="ar-SA"/>
    </w:rPr>
  </w:style>
  <w:style w:type="character" w:customStyle="1" w:styleId="87">
    <w:name w:val="正文文本缩进 3 Char"/>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Char"/>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Char"/>
    <w:link w:val="47"/>
    <w:qFormat/>
    <w:uiPriority w:val="0"/>
    <w:rPr>
      <w:rFonts w:ascii="Cambria" w:hAnsi="Cambria"/>
      <w:b/>
      <w:bCs/>
      <w:kern w:val="2"/>
      <w:sz w:val="32"/>
      <w:szCs w:val="32"/>
    </w:rPr>
  </w:style>
  <w:style w:type="character" w:customStyle="1" w:styleId="93">
    <w:name w:val="纯文本 Char"/>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Char"/>
    <w:link w:val="19"/>
    <w:qFormat/>
    <w:uiPriority w:val="0"/>
    <w:rPr>
      <w:rFonts w:eastAsia="宋体"/>
      <w:kern w:val="2"/>
      <w:sz w:val="21"/>
      <w:szCs w:val="24"/>
      <w:lang w:val="en-US" w:eastAsia="zh-CN" w:bidi="ar-SA"/>
    </w:rPr>
  </w:style>
  <w:style w:type="character" w:customStyle="1" w:styleId="97">
    <w:name w:val="标题 9 Char"/>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Char"/>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Char"/>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Char"/>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Char"/>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Char"/>
    <w:link w:val="13"/>
    <w:qFormat/>
    <w:uiPriority w:val="0"/>
    <w:rPr>
      <w:rFonts w:ascii="Arial" w:hAnsi="Arial" w:eastAsia="黑体" w:cs="Arial"/>
      <w:kern w:val="2"/>
    </w:rPr>
  </w:style>
  <w:style w:type="character" w:customStyle="1" w:styleId="123">
    <w:name w:val="标题 8 Char"/>
    <w:link w:val="10"/>
    <w:qFormat/>
    <w:uiPriority w:val="0"/>
    <w:rPr>
      <w:rFonts w:ascii="Arial" w:hAnsi="Arial" w:eastAsia="黑体"/>
      <w:kern w:val="2"/>
      <w:sz w:val="24"/>
      <w:szCs w:val="24"/>
      <w:lang w:val="en-US" w:eastAsia="zh-CN" w:bidi="ar-SA"/>
    </w:rPr>
  </w:style>
  <w:style w:type="character" w:customStyle="1" w:styleId="124">
    <w:name w:val="正文文本缩进 2 Char"/>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Char"/>
    <w:link w:val="5"/>
    <w:qFormat/>
    <w:uiPriority w:val="0"/>
    <w:rPr>
      <w:rFonts w:ascii="宋体" w:eastAsia="宋体"/>
      <w:sz w:val="34"/>
      <w:lang w:val="en-US" w:eastAsia="zh-CN" w:bidi="ar-SA"/>
    </w:rPr>
  </w:style>
  <w:style w:type="character" w:customStyle="1" w:styleId="127">
    <w:name w:val="副标题 Char"/>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Char"/>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Char"/>
    <w:link w:val="20"/>
    <w:qFormat/>
    <w:uiPriority w:val="0"/>
    <w:rPr>
      <w:rFonts w:ascii="仿宋_GB2312" w:eastAsia="仿宋_GB2312"/>
      <w:sz w:val="28"/>
      <w:lang w:val="en-US" w:eastAsia="zh-CN" w:bidi="ar-SA"/>
    </w:rPr>
  </w:style>
  <w:style w:type="character" w:customStyle="1" w:styleId="133">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Char"/>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Char"/>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Char"/>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Char"/>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Char"/>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Char"/>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left" w:pos="425"/>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left" w:pos="425"/>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left" w:pos="425"/>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semiHidden/>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hidden/>
    <w:qFormat/>
    <w:uiPriority w:val="0"/>
    <w:rPr>
      <w:rFonts w:hint="eastAsia" w:asciiTheme="minorHAnsi" w:hAnsiTheme="minorHAnsi" w:eastAsiaTheme="minorEastAsia" w:cstheme="minorBidi"/>
      <w:lang w:val="en-US" w:eastAsia="zh-Hans" w:bidi="ar-SA"/>
    </w:rPr>
  </w:style>
  <w:style w:type="table" w:customStyle="1" w:styleId="354">
    <w:name w:val="Table Normal"/>
    <w:semiHidden/>
    <w:unhideWhenUsed/>
    <w:qFormat/>
    <w:uiPriority w:val="0"/>
    <w:tblPr>
      <w:tblCellMar>
        <w:top w:w="0" w:type="dxa"/>
        <w:left w:w="0" w:type="dxa"/>
        <w:bottom w:w="0" w:type="dxa"/>
        <w:right w:w="0" w:type="dxa"/>
      </w:tblCellMar>
    </w:tblPr>
  </w:style>
  <w:style w:type="paragraph" w:customStyle="1" w:styleId="355">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56">
    <w:name w:val="BodyText1I2"/>
    <w:basedOn w:val="357"/>
    <w:autoRedefine/>
    <w:qFormat/>
    <w:uiPriority w:val="0"/>
    <w:pPr>
      <w:ind w:firstLine="420" w:firstLineChars="200"/>
    </w:pPr>
  </w:style>
  <w:style w:type="paragraph" w:customStyle="1" w:styleId="357">
    <w:name w:val="BodyTextIndent"/>
    <w:basedOn w:val="1"/>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45</Pages>
  <Words>19128</Words>
  <Characters>20276</Characters>
  <Lines>229</Lines>
  <Paragraphs>64</Paragraphs>
  <TotalTime>1</TotalTime>
  <ScaleCrop>false</ScaleCrop>
  <LinksUpToDate>false</LinksUpToDate>
  <CharactersWithSpaces>22587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2026-05-23T02:58:00Z</cp:lastPrinted>
  <dcterms:modified xsi:type="dcterms:W3CDTF">2026-05-23T03:28:04Z</dcterms:modified>
  <dc:title>货物公开招标</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A6F515563CD54620876BC180B1E7353F_13</vt:lpwstr>
  </property>
  <property fmtid="{D5CDD505-2E9C-101B-9397-08002B2CF9AE}" pid="4" name="KSOTemplateDocerSaveRecord">
    <vt:lpwstr>eyJoZGlkIjoiODY3MGRkMjVkNTE0MTY5YzdkZmQ5ZDA1NjJhNjczM2UiLCJ1c2VySWQiOiI2MTE2ODE2MTUifQ==</vt:lpwstr>
  </property>
</Properties>
</file>