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bidi w:val="0"/>
        <w:rPr>
          <w:color w:val="000000" w:themeColor="text1"/>
          <w:highlight w:val="none"/>
          <w14:textFill>
            <w14:solidFill>
              <w14:schemeClr w14:val="tx1"/>
            </w14:solidFill>
          </w14:textFill>
        </w:rPr>
      </w:pPr>
    </w:p>
    <w:tbl>
      <w:tblPr>
        <w:tblStyle w:val="15"/>
        <w:tblW w:w="7709" w:type="dxa"/>
        <w:jc w:val="center"/>
        <w:tblLayout w:type="fixed"/>
        <w:tblCellMar>
          <w:top w:w="0" w:type="dxa"/>
          <w:left w:w="108" w:type="dxa"/>
          <w:bottom w:w="0" w:type="dxa"/>
          <w:right w:w="108" w:type="dxa"/>
        </w:tblCellMar>
      </w:tblPr>
      <w:tblGrid>
        <w:gridCol w:w="1951"/>
        <w:gridCol w:w="284"/>
        <w:gridCol w:w="5474"/>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YXCG-20260528</w:t>
            </w:r>
          </w:p>
        </w:tc>
      </w:tr>
      <w:tr w14:paraId="201EA358">
        <w:tblPrEx>
          <w:tblCellMar>
            <w:top w:w="0" w:type="dxa"/>
            <w:left w:w="108" w:type="dxa"/>
            <w:bottom w:w="0" w:type="dxa"/>
            <w:right w:w="108" w:type="dxa"/>
          </w:tblCellMar>
        </w:tblPrEx>
        <w:trPr>
          <w:trHeight w:val="1030"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阳江市阳东区华南师范大学附属阳东小学食堂劳务采购项目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阳江市阳东区华南师范大学附属阳东小学</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9439394">
      <w:pPr>
        <w:pStyle w:val="8"/>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p>
    <w:p w14:paraId="5AD33397">
      <w:pPr>
        <w:pStyle w:val="8"/>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r>
        <w:rPr>
          <w:rFonts w:hint="eastAsia" w:hAnsi="宋体"/>
          <w:b/>
          <w:bCs/>
          <w:color w:val="000000" w:themeColor="text1"/>
          <w:sz w:val="28"/>
          <w:szCs w:val="21"/>
          <w:highlight w:val="none"/>
          <w14:textFill>
            <w14:solidFill>
              <w14:schemeClr w14:val="tx1"/>
            </w14:solidFill>
          </w14:textFill>
        </w:rPr>
        <w:t>二○</w:t>
      </w:r>
      <w:r>
        <w:rPr>
          <w:rFonts w:hint="eastAsia" w:hAnsi="宋体"/>
          <w:b/>
          <w:bCs/>
          <w:color w:val="000000" w:themeColor="text1"/>
          <w:sz w:val="28"/>
          <w:szCs w:val="21"/>
          <w:highlight w:val="none"/>
          <w:lang w:val="en-US" w:eastAsia="zh-CN"/>
          <w14:textFill>
            <w14:solidFill>
              <w14:schemeClr w14:val="tx1"/>
            </w14:solidFill>
          </w14:textFill>
        </w:rPr>
        <w:t>二六</w:t>
      </w:r>
      <w:r>
        <w:rPr>
          <w:rFonts w:hint="eastAsia" w:hAnsi="宋体"/>
          <w:b/>
          <w:bCs/>
          <w:color w:val="000000" w:themeColor="text1"/>
          <w:sz w:val="28"/>
          <w:szCs w:val="21"/>
          <w:highlight w:val="none"/>
          <w14:textFill>
            <w14:solidFill>
              <w14:schemeClr w14:val="tx1"/>
            </w14:solidFill>
          </w14:textFill>
        </w:rPr>
        <w:t>年</w:t>
      </w:r>
      <w:r>
        <w:rPr>
          <w:rFonts w:hint="eastAsia" w:hAnsi="宋体"/>
          <w:b/>
          <w:bCs/>
          <w:color w:val="000000" w:themeColor="text1"/>
          <w:sz w:val="28"/>
          <w:szCs w:val="21"/>
          <w:highlight w:val="none"/>
          <w:lang w:val="en-US" w:eastAsia="zh-CN"/>
          <w14:textFill>
            <w14:solidFill>
              <w14:schemeClr w14:val="tx1"/>
            </w14:solidFill>
          </w14:textFill>
        </w:rPr>
        <w:t>六</w:t>
      </w:r>
      <w:r>
        <w:rPr>
          <w:rFonts w:hint="eastAsia" w:hAnsi="宋体"/>
          <w:b/>
          <w:bCs/>
          <w:color w:val="000000" w:themeColor="text1"/>
          <w:sz w:val="28"/>
          <w:szCs w:val="21"/>
          <w:highlight w:val="none"/>
          <w14:textFill>
            <w14:solidFill>
              <w14:schemeClr w14:val="tx1"/>
            </w14:solidFill>
          </w14:textFill>
        </w:rPr>
        <w:t>月</w:t>
      </w:r>
    </w:p>
    <w:p w14:paraId="7E452EB3">
      <w:pPr>
        <w:pStyle w:val="19"/>
        <w:rPr>
          <w:color w:val="000000" w:themeColor="text1"/>
          <w:highlight w:val="none"/>
          <w14:textFill>
            <w14:solidFill>
              <w14:schemeClr w14:val="tx1"/>
            </w14:solidFill>
          </w14:textFill>
        </w:rPr>
      </w:pPr>
    </w:p>
    <w:p w14:paraId="1DA1A566">
      <w:pPr>
        <w:rPr>
          <w:rFonts w:hint="default" w:eastAsia="宋体"/>
          <w:color w:val="000000" w:themeColor="text1"/>
          <w:highlight w:val="none"/>
          <w:lang w:val="en-US"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4F5F7FF2">
      <w:pPr>
        <w:spacing w:before="0" w:beforeLines="0" w:after="0" w:afterLines="0" w:line="240" w:lineRule="auto"/>
        <w:ind w:left="0" w:leftChars="0" w:right="0" w:rightChars="0" w:firstLine="0" w:firstLineChars="0"/>
        <w:jc w:val="center"/>
        <w:rPr>
          <w:b/>
          <w:bCs/>
          <w:color w:val="000000" w:themeColor="text1"/>
          <w:sz w:val="32"/>
          <w:szCs w:val="32"/>
          <w:highlight w:val="none"/>
          <w14:textFill>
            <w14:solidFill>
              <w14:schemeClr w14:val="tx1"/>
            </w14:solidFill>
          </w14:textFill>
        </w:rPr>
      </w:pPr>
      <w:r>
        <w:rPr>
          <w:rFonts w:ascii="宋体" w:hAnsi="宋体" w:eastAsia="宋体"/>
          <w:b/>
          <w:bCs/>
          <w:color w:val="000000" w:themeColor="text1"/>
          <w:sz w:val="32"/>
          <w:szCs w:val="32"/>
          <w:highlight w:val="none"/>
          <w14:textFill>
            <w14:solidFill>
              <w14:schemeClr w14:val="tx1"/>
            </w14:solidFill>
          </w14:textFill>
        </w:rPr>
        <w:t>目</w:t>
      </w:r>
      <w:r>
        <w:rPr>
          <w:rFonts w:hint="eastAsia" w:ascii="宋体" w:hAnsi="宋体" w:eastAsia="宋体"/>
          <w:b/>
          <w:bCs/>
          <w:color w:val="000000" w:themeColor="text1"/>
          <w:sz w:val="32"/>
          <w:szCs w:val="32"/>
          <w:highlight w:val="none"/>
          <w:lang w:val="en-US" w:eastAsia="zh-CN"/>
          <w14:textFill>
            <w14:solidFill>
              <w14:schemeClr w14:val="tx1"/>
            </w14:solidFill>
          </w14:textFill>
        </w:rPr>
        <w:t xml:space="preserve"> </w:t>
      </w:r>
      <w:r>
        <w:rPr>
          <w:rFonts w:ascii="宋体" w:hAnsi="宋体" w:eastAsia="宋体"/>
          <w:b/>
          <w:bCs/>
          <w:color w:val="000000" w:themeColor="text1"/>
          <w:sz w:val="32"/>
          <w:szCs w:val="32"/>
          <w:highlight w:val="none"/>
          <w14:textFill>
            <w14:solidFill>
              <w14:schemeClr w14:val="tx1"/>
            </w14:solidFill>
          </w14:textFill>
        </w:rPr>
        <w:t>录</w:t>
      </w:r>
    </w:p>
    <w:p w14:paraId="0FE9E837">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第一章</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521B9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326619">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42F973">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_Toc22756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一、名词解释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678FDB">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9A5E89">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_Toc20610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DEC05E">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四、招标文件的澄清和修改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662B1D">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_Toc30619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五、投标要求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74670A">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_Toc26233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六、开标、评标和定标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254B76">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_Toc8445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七、询问、质疑与投诉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9F544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_Toc20813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八、合同签订和履行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900DB">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第四章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6A9DA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_Toc19881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一、评标要求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E6B589">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_Toc14271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政府采购政策落实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B51006">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_Toc8009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34FC1B">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_Toc31420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第五章 合同</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EAAB2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_Toc26589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第六章 投标文件格式与要求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2A954E">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_Toc16633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szCs w:val="44"/>
          <w:highlight w:val="none"/>
          <w14:textFill>
            <w14:solidFill>
              <w14:schemeClr w14:val="tx1"/>
            </w14:solidFill>
          </w14:textFill>
        </w:rPr>
        <w:t>投标文件封面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67B5F8">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_Toc14169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投标文件目录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780AFC">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_Toc26001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6A14A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_Toc9106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16EDE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_Toc22914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格式三：分项报价表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E3FBD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_Toc18953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格式四：政策适用性说明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E40BC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_Toc23261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格式五：关于符合本国产品标准的声明函等有关证明文件（如适用）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7A7EE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_Toc29911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格式六：</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620B4E">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_Toc9850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格式七：</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9D7516">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格式八：投标保证金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A9D912">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格式九：提供具有独立承担民事责任的能力的证明材料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CA11B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格式十：资格性审查要求的其他资质证明文件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A883C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_Toc4141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格式十一：承诺函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DA9EF9">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_Toc3464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格式十二：中小企业声明函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02FAB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_Toc14951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格式十三：监狱企业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DAEBF6">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_Toc13992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格式十四：残疾人福利性单位声明函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14A5F5">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_Toc9273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格式十五：联合体共同投标协议书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26FCB7">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_Toc13236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格式十六：投标人业绩情况表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A44CE2">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_Toc16171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格式十七：《技术和服务要求响应表》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1735DB">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_Toc26563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格式十八：《商务条件响应表》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13C0D2">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_Toc25332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格式十九：履约进度计划表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81E3B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_Toc20645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格式二十：各类证明材料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A65379">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_Toc28473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格式二十一：采购代理服务费支付承诺书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FABEFF">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格式二十二：需要采购人提供的附加条件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1BC2F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_Toc31752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格式二十三：询问函、质疑函、投诉书格式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53E25F">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格式二十四：项目实施方案、质量保证及售后服务承诺等内容和格式自拟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D7B623">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_Toc5955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Cs w:val="28"/>
          <w:highlight w:val="none"/>
          <w14:textFill>
            <w14:solidFill>
              <w14:schemeClr w14:val="tx1"/>
            </w14:solidFill>
          </w14:textFill>
        </w:rPr>
        <w:t>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D6C597">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_Toc28279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kern w:val="0"/>
          <w:szCs w:val="32"/>
          <w:highlight w:val="none"/>
          <w14:textFill>
            <w14:solidFill>
              <w14:schemeClr w14:val="tx1"/>
            </w14:solidFill>
          </w14:textFill>
        </w:rPr>
        <w:t>阳江市政府采购供应商资格信用承诺函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B0F2B1">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_Toc15968 </w:instrText>
      </w:r>
      <w:r>
        <w:rPr>
          <w:color w:val="000000" w:themeColor="text1"/>
          <w:highlight w:val="none"/>
          <w14:textFill>
            <w14:solidFill>
              <w14:schemeClr w14:val="tx1"/>
            </w14:solidFill>
          </w14:textFill>
        </w:rPr>
        <w:fldChar w:fldCharType="separate"/>
      </w:r>
      <w:r>
        <w:rPr>
          <w:rFonts w:hint="eastAsia"/>
          <w:bCs/>
          <w:color w:val="000000" w:themeColor="text1"/>
          <w:szCs w:val="44"/>
          <w:highlight w:val="none"/>
          <w14:textFill>
            <w14:solidFill>
              <w14:schemeClr w14:val="tx1"/>
            </w14:solidFill>
          </w14:textFill>
        </w:rPr>
        <w:t>购买标书登记表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7AEF3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720A3275">
      <w:pPr>
        <w:rPr>
          <w:color w:val="000000" w:themeColor="text1"/>
          <w:highlight w:val="none"/>
          <w14:textFill>
            <w14:solidFill>
              <w14:schemeClr w14:val="tx1"/>
            </w14:solidFill>
          </w14:textFill>
        </w:rPr>
      </w:pPr>
    </w:p>
    <w:p w14:paraId="1EA01E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692808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0" w:name="_Toc651"/>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投标邀请</w:t>
      </w:r>
      <w:bookmarkEnd w:id="0"/>
    </w:p>
    <w:p w14:paraId="152FE8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bookmarkStart w:id="120" w:name="_GoBack"/>
      <w:bookmarkEnd w:id="120"/>
    </w:p>
    <w:p w14:paraId="29DC24E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p>
    <w:p w14:paraId="1409E65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YXCG-20260528</w:t>
      </w:r>
    </w:p>
    <w:p w14:paraId="704EAF9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1242000.00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1242000.00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946"/>
        <w:gridCol w:w="2633"/>
        <w:gridCol w:w="995"/>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7FF0A71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946" w:type="dxa"/>
            <w:vAlign w:val="center"/>
          </w:tcPr>
          <w:p w14:paraId="3BFEAC3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633" w:type="dxa"/>
            <w:vAlign w:val="center"/>
          </w:tcPr>
          <w:p w14:paraId="762C3C92">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995" w:type="dxa"/>
            <w:vAlign w:val="center"/>
          </w:tcPr>
          <w:p w14:paraId="3700406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p w14:paraId="1170525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296" w:type="dxa"/>
            <w:vAlign w:val="center"/>
          </w:tcPr>
          <w:p w14:paraId="2F3E3B0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4C78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08C1216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1946" w:type="dxa"/>
            <w:vAlign w:val="center"/>
          </w:tcPr>
          <w:p w14:paraId="74947C8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2633" w:type="dxa"/>
            <w:vAlign w:val="center"/>
          </w:tcPr>
          <w:p w14:paraId="33A2D68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食堂劳务采购</w:t>
            </w:r>
          </w:p>
        </w:tc>
        <w:tc>
          <w:tcPr>
            <w:tcW w:w="995" w:type="dxa"/>
            <w:shd w:val="clear" w:color="auto" w:fill="auto"/>
            <w:vAlign w:val="center"/>
          </w:tcPr>
          <w:p w14:paraId="670C41C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shd w:val="clear" w:color="auto" w:fill="auto"/>
            <w:vAlign w:val="center"/>
          </w:tcPr>
          <w:p w14:paraId="01DD354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shd w:val="clear" w:color="auto" w:fill="auto"/>
            <w:vAlign w:val="center"/>
          </w:tcPr>
          <w:p w14:paraId="0FB552BE">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6FC4499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5109642">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2026年9月1日至2027年8月31日（为期壹年）。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（超出该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期作无效投标处理）</w:t>
      </w:r>
    </w:p>
    <w:p w14:paraId="38EB562C">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06630334">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w:t>
      </w:r>
    </w:p>
    <w:p w14:paraId="40E84504">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714E082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w:t>
      </w:r>
    </w:p>
    <w:p w14:paraId="25C25B40">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纳税收和社会保障资金的相关材料或出具《承诺函》。如依法免税或不需要缴纳社会保障资金的，提供相应证明材料。</w:t>
      </w:r>
    </w:p>
    <w:p w14:paraId="064755A4">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w:t>
      </w:r>
    </w:p>
    <w:p w14:paraId="38FA419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5BF80B0C">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4EA72F33">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099BCB7A">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7BA692">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p w14:paraId="0ABAFD33">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投标人须具有有效期内的</w:t>
      </w:r>
      <w:r>
        <w:rPr>
          <w:rFonts w:hint="eastAsia" w:ascii="宋体" w:hAnsi="宋体"/>
          <w:color w:val="000000" w:themeColor="text1"/>
          <w:highlight w:val="none"/>
          <w14:textFill>
            <w14:solidFill>
              <w14:schemeClr w14:val="tx1"/>
            </w14:solidFill>
          </w14:textFill>
        </w:rPr>
        <w:t>人力资源和社会保障部门颁发的《劳务派遣经营许可证》</w:t>
      </w:r>
      <w:r>
        <w:rPr>
          <w:rFonts w:hint="eastAsia" w:ascii="宋体" w:hAnsi="宋体"/>
          <w:color w:val="000000" w:themeColor="text1"/>
          <w:highlight w:val="none"/>
          <w:lang w:eastAsia="zh-CN"/>
          <w14:textFill>
            <w14:solidFill>
              <w14:schemeClr w14:val="tx1"/>
            </w14:solidFill>
          </w14:textFill>
        </w:rPr>
        <w:t>。</w:t>
      </w:r>
    </w:p>
    <w:p w14:paraId="61DC1287">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本项目不接受联合体投标。</w:t>
      </w:r>
    </w:p>
    <w:p w14:paraId="2447DDC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投标人须在招标代理机</w:t>
      </w:r>
      <w:r>
        <w:rPr>
          <w:rFonts w:hint="eastAsia" w:ascii="宋体" w:hAnsi="宋体" w:eastAsia="宋体" w:cs="宋体"/>
          <w:color w:val="000000" w:themeColor="text1"/>
          <w:sz w:val="21"/>
          <w:szCs w:val="21"/>
          <w:highlight w:val="none"/>
          <w:lang w:val="en-US" w:eastAsia="zh-CN"/>
          <w14:textFill>
            <w14:solidFill>
              <w14:schemeClr w14:val="tx1"/>
            </w14:solidFill>
          </w14:textFill>
        </w:rPr>
        <w:t>构登记并购买招标文件。</w:t>
      </w:r>
    </w:p>
    <w:p w14:paraId="607921E9">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2.购买招标文件地点：阳江市江城区猫山四街33号A座2楼205室。</w:t>
      </w:r>
    </w:p>
    <w:p w14:paraId="42836859">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keepNext w:val="0"/>
        <w:keepLines w:val="0"/>
        <w:pageBreakBefore w:val="0"/>
        <w:kinsoku/>
        <w:wordWrap/>
        <w:overflowPunct/>
        <w:topLinePunct w:val="0"/>
        <w:autoSpaceDE/>
        <w:autoSpaceDN/>
        <w:bidi w:val="0"/>
        <w:spacing w:line="360" w:lineRule="auto"/>
        <w:ind w:firstLine="210" w:firstLine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2026年6月12日</w:t>
      </w:r>
      <w:r>
        <w:rPr>
          <w:rFonts w:hint="eastAsia" w:ascii="宋体" w:hAnsi="宋体" w:eastAsia="宋体" w:cs="宋体"/>
          <w:bCs/>
          <w:color w:val="000000" w:themeColor="text1"/>
          <w:highlight w:val="none"/>
          <w14:textFill>
            <w14:solidFill>
              <w14:schemeClr w14:val="tx1"/>
            </w14:solidFill>
          </w14:textFill>
        </w:rPr>
        <w:t>。</w:t>
      </w:r>
    </w:p>
    <w:p w14:paraId="461B3135">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2026年6月26日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36FAE56E">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2026年6月26日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40DF13E0">
      <w:pPr>
        <w:pStyle w:val="19"/>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outlineLvl w:val="9"/>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阳江市阳东区华南师范大学附属阳东小学</w:t>
      </w:r>
    </w:p>
    <w:p w14:paraId="3F14AA9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    址：阳江市阳东区南华路以北，龙塘路以西路段</w:t>
      </w:r>
    </w:p>
    <w:p w14:paraId="5568386A">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人：苑丽红</w:t>
      </w:r>
    </w:p>
    <w:p w14:paraId="663F5CD1">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联系电话：0662-6626999</w:t>
      </w:r>
    </w:p>
    <w:p w14:paraId="013F29A0">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4E9DBEA">
      <w:pPr>
        <w:keepNext w:val="0"/>
        <w:keepLines w:val="0"/>
        <w:pageBreakBefore w:val="0"/>
        <w:kinsoku/>
        <w:wordWrap/>
        <w:overflowPunct/>
        <w:topLinePunct w:val="0"/>
        <w:autoSpaceDE/>
        <w:autoSpaceDN/>
        <w:bidi w:val="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65B05208">
      <w:pPr>
        <w:keepNext w:val="0"/>
        <w:keepLines w:val="0"/>
        <w:pageBreakBefore w:val="0"/>
        <w:kinsoku/>
        <w:wordWrap/>
        <w:overflowPunct/>
        <w:topLinePunct w:val="0"/>
        <w:autoSpaceDE/>
        <w:autoSpaceDN/>
        <w:bidi w:val="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19"/>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2026年6月5日</w:t>
      </w:r>
    </w:p>
    <w:p w14:paraId="746705D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1" w:name="_Toc21086"/>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bookmarkEnd w:id="1"/>
    </w:p>
    <w:p w14:paraId="5AC9EE8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B21E2B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CF4362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标的提供的时间</w:t>
            </w:r>
          </w:p>
        </w:tc>
        <w:tc>
          <w:tcPr>
            <w:tcW w:w="6183" w:type="dxa"/>
            <w:vAlign w:val="top"/>
          </w:tcPr>
          <w:p w14:paraId="0FD68CEA">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2026年9月1日至2027年8月31日（为期壹年）。</w:t>
            </w:r>
            <w:r>
              <w:rPr>
                <w:rFonts w:hint="eastAsia" w:ascii="宋体" w:hAnsi="宋体" w:eastAsia="宋体" w:cs="宋体"/>
                <w:color w:val="000000" w:themeColor="text1"/>
                <w:sz w:val="21"/>
                <w:szCs w:val="21"/>
                <w:highlight w:val="none"/>
                <w:lang w:eastAsia="zh-CN"/>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期作无效投标处理）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1FEE26B">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标的提供的地点</w:t>
            </w:r>
          </w:p>
        </w:tc>
        <w:tc>
          <w:tcPr>
            <w:tcW w:w="6183" w:type="dxa"/>
            <w:vAlign w:val="top"/>
          </w:tcPr>
          <w:p w14:paraId="191200CA">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阳江市阳东区华南师范大学附属阳东小学</w:t>
            </w:r>
            <w:r>
              <w:rPr>
                <w:rFonts w:hint="eastAsia" w:ascii="宋体" w:hAnsi="宋体" w:eastAsia="宋体" w:cs="宋体"/>
                <w:color w:val="000000" w:themeColor="text1"/>
                <w:sz w:val="21"/>
                <w:szCs w:val="21"/>
                <w:highlight w:val="none"/>
                <w14:textFill>
                  <w14:solidFill>
                    <w14:schemeClr w14:val="tx1"/>
                  </w14:solidFill>
                </w14:textFill>
              </w:rPr>
              <w:t>食堂</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009A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5B99090">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报价方式</w:t>
            </w:r>
          </w:p>
        </w:tc>
        <w:tc>
          <w:tcPr>
            <w:tcW w:w="6183" w:type="dxa"/>
            <w:vAlign w:val="top"/>
          </w:tcPr>
          <w:p w14:paraId="0C8D6EF4">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折扣率报价</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0%-100%）</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5D615A93">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付款方式</w:t>
            </w:r>
          </w:p>
        </w:tc>
        <w:tc>
          <w:tcPr>
            <w:tcW w:w="6183" w:type="dxa"/>
            <w:vAlign w:val="top"/>
          </w:tcPr>
          <w:p w14:paraId="747A866C">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货款每个月以人民币为计价与支付货币进行结算。实际结算金额以实际发生</w:t>
            </w:r>
            <w:r>
              <w:rPr>
                <w:rFonts w:hint="eastAsia" w:ascii="宋体" w:hAnsi="宋体" w:eastAsia="宋体" w:cs="宋体"/>
                <w:color w:val="000000" w:themeColor="text1"/>
                <w:sz w:val="21"/>
                <w:szCs w:val="21"/>
                <w:highlight w:val="none"/>
                <w:lang w:val="en-US" w:eastAsia="zh-CN"/>
                <w14:textFill>
                  <w14:solidFill>
                    <w14:schemeClr w14:val="tx1"/>
                  </w14:solidFill>
                </w14:textFill>
              </w:rPr>
              <w:t>用餐金额20%</w:t>
            </w:r>
            <w:r>
              <w:rPr>
                <w:rFonts w:hint="eastAsia" w:ascii="宋体" w:hAnsi="宋体" w:eastAsia="宋体" w:cs="宋体"/>
                <w:color w:val="000000" w:themeColor="text1"/>
                <w:sz w:val="21"/>
                <w:szCs w:val="21"/>
                <w:highlight w:val="none"/>
                <w:lang w:eastAsia="zh-CN"/>
                <w14:textFill>
                  <w14:solidFill>
                    <w14:schemeClr w14:val="tx1"/>
                  </w14:solidFill>
                </w14:textFill>
              </w:rPr>
              <w:t>为准。供应商需提供符合国家要求的正规发票，发票公章必须与公司名称相符，合同方、收款方、发票方三者必须一致。</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24C4BB1">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履约保证金</w:t>
            </w:r>
          </w:p>
        </w:tc>
        <w:tc>
          <w:tcPr>
            <w:tcW w:w="6183" w:type="dxa"/>
            <w:vAlign w:val="top"/>
          </w:tcPr>
          <w:p w14:paraId="321C6542">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65527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6E84CA7">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投标报价包括</w:t>
            </w:r>
          </w:p>
        </w:tc>
        <w:tc>
          <w:tcPr>
            <w:tcW w:w="6183" w:type="dxa"/>
            <w:vAlign w:val="top"/>
          </w:tcPr>
          <w:p w14:paraId="0E97871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人员工资、奖金、劳保社保、意外保险、工伤费、伤亡事故费用和劳务费发票税金等各项费用，中标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不得以任何理由再要求采购人另行支付费用。</w:t>
            </w:r>
          </w:p>
        </w:tc>
      </w:tr>
      <w:tr w14:paraId="0534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06FC031">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合同签订要求</w:t>
            </w:r>
          </w:p>
        </w:tc>
        <w:tc>
          <w:tcPr>
            <w:tcW w:w="6183" w:type="dxa"/>
            <w:vAlign w:val="top"/>
          </w:tcPr>
          <w:p w14:paraId="464463F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888" w:type="dxa"/>
            <w:vAlign w:val="center"/>
          </w:tcPr>
          <w:p w14:paraId="7A790681">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项目其它要求</w:t>
            </w:r>
          </w:p>
        </w:tc>
        <w:tc>
          <w:tcPr>
            <w:tcW w:w="6183" w:type="dxa"/>
            <w:vAlign w:val="center"/>
          </w:tcPr>
          <w:p w14:paraId="35A360D2">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1.合同签订后10个工作日内中标供应商须缴交人民币5万元的履约保证金（以银行保函、保险、金融机构或担保机构保函、汇票等非现金形式缴纳），履保证金在合同期满时无息退还。</w:t>
            </w:r>
          </w:p>
          <w:p w14:paraId="7C20050E">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2.中标供应商在劳务服务过程中如岀现需向采购人支付经济赔偿金、违约罚金等相关费用时，采购人可直接在每月劳务服费结算金额中扣除，如金额不足以支时，差额部分中标供应商需另行向采购人支付。</w:t>
            </w:r>
          </w:p>
          <w:p w14:paraId="3B2AFC88">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3.中标供应商因违反合同约定给采购人造成重大影响或经济损失，由此所造成采购人的经济损失以及引致的法律责任由中标供应商承担。</w:t>
            </w:r>
          </w:p>
        </w:tc>
      </w:tr>
    </w:tbl>
    <w:p w14:paraId="0BF3AEF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5"/>
        <w:tblW w:w="95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171"/>
        <w:gridCol w:w="1014"/>
        <w:gridCol w:w="1281"/>
        <w:gridCol w:w="720"/>
        <w:gridCol w:w="645"/>
        <w:gridCol w:w="1245"/>
        <w:gridCol w:w="1339"/>
        <w:gridCol w:w="705"/>
        <w:gridCol w:w="794"/>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7D7DC7E">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71" w:type="dxa"/>
            <w:vAlign w:val="center"/>
          </w:tcPr>
          <w:p w14:paraId="70AE6C5A">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1014" w:type="dxa"/>
            <w:vAlign w:val="center"/>
          </w:tcPr>
          <w:p w14:paraId="7360F94F">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1" w:type="dxa"/>
            <w:vAlign w:val="center"/>
          </w:tcPr>
          <w:p w14:paraId="78496AA2">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0" w:type="dxa"/>
            <w:vAlign w:val="center"/>
          </w:tcPr>
          <w:p w14:paraId="026703E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45" w:type="dxa"/>
            <w:vAlign w:val="center"/>
          </w:tcPr>
          <w:p w14:paraId="4AFCD6CF">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45" w:type="dxa"/>
            <w:vAlign w:val="center"/>
          </w:tcPr>
          <w:p w14:paraId="1D752AE7">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339" w:type="dxa"/>
            <w:vAlign w:val="center"/>
          </w:tcPr>
          <w:p w14:paraId="5E02BBC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05" w:type="dxa"/>
            <w:vAlign w:val="center"/>
          </w:tcPr>
          <w:p w14:paraId="1FAD587A">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71ABB8D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B4D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B9D5CBE">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1171" w:type="dxa"/>
            <w:vAlign w:val="center"/>
          </w:tcPr>
          <w:p w14:paraId="4AA6B177">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2D0610B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1281" w:type="dxa"/>
            <w:vAlign w:val="center"/>
          </w:tcPr>
          <w:p w14:paraId="714E360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食堂劳务采购</w:t>
            </w:r>
          </w:p>
        </w:tc>
        <w:tc>
          <w:tcPr>
            <w:tcW w:w="720" w:type="dxa"/>
            <w:vAlign w:val="center"/>
          </w:tcPr>
          <w:p w14:paraId="1C42777D">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45" w:type="dxa"/>
            <w:vAlign w:val="center"/>
          </w:tcPr>
          <w:p w14:paraId="6C384655">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p>
        </w:tc>
        <w:tc>
          <w:tcPr>
            <w:tcW w:w="1245" w:type="dxa"/>
            <w:vAlign w:val="center"/>
          </w:tcPr>
          <w:p w14:paraId="4B7F3960">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1242000.00</w:t>
            </w:r>
          </w:p>
        </w:tc>
        <w:tc>
          <w:tcPr>
            <w:tcW w:w="1339" w:type="dxa"/>
            <w:vAlign w:val="center"/>
          </w:tcPr>
          <w:p w14:paraId="150D1B58">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1242000.00</w:t>
            </w:r>
          </w:p>
        </w:tc>
        <w:tc>
          <w:tcPr>
            <w:tcW w:w="705" w:type="dxa"/>
            <w:shd w:val="clear" w:color="auto" w:fill="auto"/>
            <w:vAlign w:val="center"/>
          </w:tcPr>
          <w:p w14:paraId="28B1DD82">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租赁和商务服务业</w:t>
            </w:r>
          </w:p>
        </w:tc>
        <w:tc>
          <w:tcPr>
            <w:tcW w:w="794" w:type="dxa"/>
            <w:shd w:val="clear" w:color="auto" w:fill="auto"/>
            <w:vAlign w:val="center"/>
          </w:tcPr>
          <w:p w14:paraId="6B007D03">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w:t>
            </w:r>
          </w:p>
        </w:tc>
      </w:tr>
    </w:tbl>
    <w:p w14:paraId="072D38E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275E12">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1DC641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阳江市阳东区华南师范大学附属阳东小学食堂劳务采购项目</w:t>
      </w:r>
    </w:p>
    <w:tbl>
      <w:tblPr>
        <w:tblStyle w:val="15"/>
        <w:tblW w:w="95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9"/>
        <w:gridCol w:w="750"/>
        <w:gridCol w:w="7564"/>
      </w:tblGrid>
      <w:tr w14:paraId="1F79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2E9D656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3790369B">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64" w:type="dxa"/>
            <w:vAlign w:val="top"/>
          </w:tcPr>
          <w:p w14:paraId="42FF3933">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19F0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BDFDCF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0" w:type="dxa"/>
            <w:vAlign w:val="top"/>
          </w:tcPr>
          <w:p w14:paraId="2DBC09B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64" w:type="dxa"/>
            <w:vAlign w:val="top"/>
          </w:tcPr>
          <w:p w14:paraId="4DF4F2F2">
            <w:pPr>
              <w:keepNext w:val="0"/>
              <w:keepLines w:val="0"/>
              <w:pageBreakBefore w:val="0"/>
              <w:widowControl/>
              <w:kinsoku/>
              <w:wordWrap/>
              <w:overflowPunct/>
              <w:topLinePunct w:val="0"/>
              <w:autoSpaceDE/>
              <w:autoSpaceDN/>
              <w:bidi w:val="0"/>
              <w:adjustRightInd/>
              <w:snapToGrid/>
              <w:spacing w:line="320" w:lineRule="exac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管理模式</w:t>
            </w:r>
          </w:p>
          <w:p w14:paraId="14EF9AA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采购人实行自主经营，负责食堂的日常协调、财务、仓管、验收、检测等管理。</w:t>
            </w:r>
          </w:p>
          <w:p w14:paraId="48743EE0">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采购人提供食堂场地及食堂所有的设备设施、餐厅桌椅及食堂生产、服务所需用料、食材等所有物资。</w:t>
            </w:r>
          </w:p>
          <w:p w14:paraId="4C313DD2">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采购人负责食堂水电、改造、装修和维修等费用。</w:t>
            </w:r>
          </w:p>
          <w:p w14:paraId="104C122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的监管与评价。</w:t>
            </w:r>
          </w:p>
          <w:p w14:paraId="7261DE07">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采购人负责依法支付</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的管理服务费。</w:t>
            </w:r>
          </w:p>
          <w:p w14:paraId="7AD13609">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派遣餐饮劳务人员为采购人提供餐饮管理与服务，配合采购人工作，听从采购人指挥。</w:t>
            </w:r>
          </w:p>
          <w:p w14:paraId="5A542E3D">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根据学校对饭堂大型团餐服务的工作要求，负责组织服务团队，选派相关专业人员提供食材加工、烹调制作、供餐分配、用具回收与清洁消毒，环境卫生清理（饭堂餐厨、垃圾）等管理服务工作。保证工作高标准、高质量为学校广大教职员工、学生按时供餐。</w:t>
            </w:r>
          </w:p>
          <w:p w14:paraId="54B52E49">
            <w:pPr>
              <w:keepNext w:val="0"/>
              <w:keepLines w:val="0"/>
              <w:pageBreakBefore w:val="0"/>
              <w:widowControl/>
              <w:kinsoku/>
              <w:wordWrap/>
              <w:overflowPunct/>
              <w:topLinePunct w:val="0"/>
              <w:autoSpaceDE/>
              <w:autoSpaceDN/>
              <w:bidi w:val="0"/>
              <w:adjustRightInd/>
              <w:snapToGrid/>
              <w:spacing w:line="320" w:lineRule="exac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劳务人员配置及要求</w:t>
            </w:r>
          </w:p>
          <w:p w14:paraId="7265A02C">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人员配置：</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根据相关政策及就餐人数劳务人员配置比例不得低于标准人数</w:t>
            </w:r>
            <w:r>
              <w:rPr>
                <w:rFonts w:hint="eastAsia" w:ascii="宋体" w:hAnsi="宋体" w:cs="宋体"/>
                <w:color w:val="000000" w:themeColor="text1"/>
                <w:sz w:val="21"/>
                <w:szCs w:val="21"/>
                <w:highlight w:val="none"/>
                <w:lang w:val="en-US" w:eastAsia="zh-CN"/>
                <w14:textFill>
                  <w14:solidFill>
                    <w14:schemeClr w14:val="tx1"/>
                  </w14:solidFill>
                </w14:textFill>
              </w:rPr>
              <w:t>（岗位配置须满足学校需求）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1E86B58">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人员要求：</w:t>
            </w:r>
          </w:p>
          <w:p w14:paraId="5A18465D">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劳务人员年龄不得超过55岁；</w:t>
            </w:r>
          </w:p>
          <w:p w14:paraId="1365842D">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劳务人员</w:t>
            </w:r>
            <w:r>
              <w:rPr>
                <w:rFonts w:hint="eastAsia" w:ascii="宋体" w:hAnsi="宋体" w:eastAsia="宋体" w:cs="宋体"/>
                <w:color w:val="000000" w:themeColor="text1"/>
                <w:sz w:val="21"/>
                <w:szCs w:val="21"/>
                <w:highlight w:val="none"/>
                <w:lang w:val="zh-CN"/>
                <w14:textFill>
                  <w14:solidFill>
                    <w14:schemeClr w14:val="tx1"/>
                  </w14:solidFill>
                </w14:textFill>
              </w:rPr>
              <w:t>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自行招聘，食堂现有工作人员自愿留用的，</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应在同等条件下优先聘用。</w:t>
            </w:r>
            <w:r>
              <w:rPr>
                <w:rFonts w:hint="eastAsia" w:ascii="宋体" w:hAnsi="宋体" w:eastAsia="宋体" w:cs="宋体"/>
                <w:color w:val="000000" w:themeColor="text1"/>
                <w:sz w:val="21"/>
                <w:szCs w:val="21"/>
                <w:highlight w:val="none"/>
                <w:lang w:val="zh-CN"/>
                <w14:textFill>
                  <w14:solidFill>
                    <w14:schemeClr w14:val="tx1"/>
                  </w14:solidFill>
                </w14:textFill>
              </w:rPr>
              <w:t>工资标准参照个人岗位、技能与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公司员工一致，同工同酬，服从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管理，遵守</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企业的规章制度。</w:t>
            </w:r>
          </w:p>
          <w:p w14:paraId="7DE6B62B">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人员必须持有（健康证）方能上岗，并提供健康证、身份证等相关复印件，否则退出工作岗位，</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必须建立相应管理档案与备案。</w:t>
            </w:r>
          </w:p>
          <w:p w14:paraId="242717BD">
            <w:pPr>
              <w:keepNext w:val="0"/>
              <w:keepLines w:val="0"/>
              <w:pageBreakBefore w:val="0"/>
              <w:widowControl/>
              <w:kinsoku/>
              <w:wordWrap/>
              <w:overflowPunct/>
              <w:topLinePunct w:val="0"/>
              <w:autoSpaceDE/>
              <w:autoSpaceDN/>
              <w:bidi w:val="0"/>
              <w:adjustRightInd/>
              <w:snapToGrid/>
              <w:spacing w:line="320" w:lineRule="exac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内部管理</w:t>
            </w:r>
          </w:p>
          <w:p w14:paraId="263C936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应恪守《中华人民共和国食品安全法》、中华人民共和国卫生部关于《餐饮业食品卫生管理办法》、《饮食服务食品安全操作规范》等国家相关法规，</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必须对食堂食品安全负全部责任。</w:t>
            </w:r>
          </w:p>
          <w:p w14:paraId="0B6F7192">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为保证巩固国家卫生城市和创建国家文明城市</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zh-CN"/>
                <w14:textFill>
                  <w14:solidFill>
                    <w14:schemeClr w14:val="tx1"/>
                  </w14:solidFill>
                </w14:textFill>
              </w:rPr>
              <w:t>工作的落实，</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须全力配完善相关工作，对</w:t>
            </w:r>
            <w:r>
              <w:rPr>
                <w:rFonts w:hint="eastAsia" w:ascii="宋体" w:hAnsi="宋体" w:eastAsia="宋体" w:cs="宋体"/>
                <w:color w:val="000000" w:themeColor="text1"/>
                <w:sz w:val="21"/>
                <w:szCs w:val="21"/>
                <w:highlight w:val="none"/>
                <w14:textFill>
                  <w14:solidFill>
                    <w14:schemeClr w14:val="tx1"/>
                  </w14:solidFill>
                </w14:textFill>
              </w:rPr>
              <w:t>学校师生</w:t>
            </w:r>
            <w:r>
              <w:rPr>
                <w:rFonts w:hint="eastAsia" w:ascii="宋体" w:hAnsi="宋体" w:eastAsia="宋体" w:cs="宋体"/>
                <w:color w:val="000000" w:themeColor="text1"/>
                <w:sz w:val="21"/>
                <w:szCs w:val="21"/>
                <w:highlight w:val="none"/>
                <w:lang w:val="zh-CN"/>
                <w14:textFill>
                  <w14:solidFill>
                    <w14:schemeClr w14:val="tx1"/>
                  </w14:solidFill>
                </w14:textFill>
              </w:rPr>
              <w:t>提供安全、卫生、优质、营养的饮食服务，食堂经营产生的饭堂潲水、废弃油脂、废气处理等废弃物要按有关规定自行处理，自觉维护食堂和</w:t>
            </w:r>
            <w:r>
              <w:rPr>
                <w:rFonts w:hint="eastAsia" w:ascii="宋体" w:hAnsi="宋体" w:eastAsia="宋体" w:cs="宋体"/>
                <w:color w:val="000000" w:themeColor="text1"/>
                <w:sz w:val="21"/>
                <w:szCs w:val="21"/>
                <w:highlight w:val="none"/>
                <w14:textFill>
                  <w14:solidFill>
                    <w14:schemeClr w14:val="tx1"/>
                  </w14:solidFill>
                </w14:textFill>
              </w:rPr>
              <w:t>学校</w:t>
            </w:r>
            <w:r>
              <w:rPr>
                <w:rFonts w:hint="eastAsia" w:ascii="宋体" w:hAnsi="宋体" w:eastAsia="宋体" w:cs="宋体"/>
                <w:color w:val="000000" w:themeColor="text1"/>
                <w:sz w:val="21"/>
                <w:szCs w:val="21"/>
                <w:highlight w:val="none"/>
                <w:lang w:val="zh-CN"/>
                <w14:textFill>
                  <w14:solidFill>
                    <w14:schemeClr w14:val="tx1"/>
                  </w14:solidFill>
                </w14:textFill>
              </w:rPr>
              <w:t>环境卫生。</w:t>
            </w:r>
          </w:p>
          <w:p w14:paraId="46B50441">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加强行业岗位培训工作，提高管理人员和</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人员的基本素质和技能，有效控制食物中毒和食源性疾患的发生。</w:t>
            </w:r>
          </w:p>
          <w:p w14:paraId="4CD68E0D">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对出现传染性感冒、腹泻、发热、呕吐、身体出现感染性伤口等疾患的从业人员，应立即安排从业人员脱离工作岗位处理。待从业人员治愈后，向采购人提供治愈医学证明后方可重新上岗。</w:t>
            </w:r>
          </w:p>
          <w:p w14:paraId="3EC7CDAC">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餐饮器械工具使用前必须清洁、消毒。消毒后的餐饮器械工具必须贮存放专用的保洁柜内备用。饭堂的餐饮器械工具设专用洗刷、消毒池；不得与清洗蔬菜、肉类等的设施设备混用。</w:t>
            </w:r>
          </w:p>
          <w:p w14:paraId="22843AF0">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重点防范投毒事件，严禁非饭堂工作人员进入饭堂操作场所及食品原材料存放仓库。</w:t>
            </w:r>
          </w:p>
          <w:p w14:paraId="6DF471E3">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上班时间，饭堂</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人员必须穿工作服、戴工作帽、穿工作鞋、佩戴工号证，严禁饭堂</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人员在饭堂内吸烟、穿拖鞋等不文明举止。各种车辆须按</w:t>
            </w:r>
            <w:r>
              <w:rPr>
                <w:rFonts w:hint="eastAsia" w:ascii="宋体" w:hAnsi="宋体" w:eastAsia="宋体" w:cs="宋体"/>
                <w:color w:val="000000" w:themeColor="text1"/>
                <w:sz w:val="21"/>
                <w:szCs w:val="21"/>
                <w:highlight w:val="none"/>
                <w14:textFill>
                  <w14:solidFill>
                    <w14:schemeClr w14:val="tx1"/>
                  </w14:solidFill>
                </w14:textFill>
              </w:rPr>
              <w:t>学校</w:t>
            </w:r>
            <w:r>
              <w:rPr>
                <w:rFonts w:hint="eastAsia" w:ascii="宋体" w:hAnsi="宋体" w:eastAsia="宋体" w:cs="宋体"/>
                <w:color w:val="000000" w:themeColor="text1"/>
                <w:sz w:val="21"/>
                <w:szCs w:val="21"/>
                <w:highlight w:val="none"/>
                <w:lang w:val="zh-CN"/>
                <w14:textFill>
                  <w14:solidFill>
                    <w14:schemeClr w14:val="tx1"/>
                  </w14:solidFill>
                </w14:textFill>
              </w:rPr>
              <w:t>指定位置和要求停放。</w:t>
            </w:r>
          </w:p>
          <w:p w14:paraId="30AF69DB">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必须保证搞好食品卫生、环境与员工个人卫生，操作间、餐厅、</w:t>
            </w:r>
            <w:r>
              <w:rPr>
                <w:rFonts w:hint="eastAsia" w:ascii="宋体" w:hAnsi="宋体" w:eastAsia="宋体" w:cs="宋体"/>
                <w:color w:val="000000" w:themeColor="text1"/>
                <w:sz w:val="21"/>
                <w:szCs w:val="21"/>
                <w:highlight w:val="none"/>
                <w14:textFill>
                  <w14:solidFill>
                    <w14:schemeClr w14:val="tx1"/>
                  </w14:solidFill>
                </w14:textFill>
              </w:rPr>
              <w:t>老师食堂</w:t>
            </w:r>
            <w:r>
              <w:rPr>
                <w:rFonts w:hint="eastAsia" w:ascii="宋体" w:hAnsi="宋体" w:eastAsia="宋体" w:cs="宋体"/>
                <w:color w:val="000000" w:themeColor="text1"/>
                <w:sz w:val="21"/>
                <w:szCs w:val="21"/>
                <w:highlight w:val="none"/>
                <w:lang w:val="zh-CN"/>
                <w14:textFill>
                  <w14:solidFill>
                    <w14:schemeClr w14:val="tx1"/>
                  </w14:solidFill>
                </w14:textFill>
              </w:rPr>
              <w:t>均属于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管理范围，食堂的卫生防疫、就餐环境必须达到国家食品监督管理局制定的标准。</w:t>
            </w:r>
          </w:p>
          <w:p w14:paraId="0EBF3D4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必须规范经营，不准售卖变质、变味饭菜，</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必须接受上级有关部门的监督和检查，主动配合采购人膳食管理委员会对饭菜品质、份量、价格、卫生条件、服务态度、成本核算等与食堂管理有关内容的检查，对检查发现的问题要及时整改。</w:t>
            </w:r>
          </w:p>
          <w:p w14:paraId="2548C29A">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按时支付员工工资，如因拖欠货款或员工工资导致投诉，影响采购人声誉的，由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须承担平息声誉影响的所有损失。</w:t>
            </w:r>
          </w:p>
          <w:p w14:paraId="4E9B50C5">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必须严格执行学校的作息制度，每天按时为学校师生提供早、午</w:t>
            </w: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lang w:val="zh-CN"/>
                <w14:textFill>
                  <w14:solidFill>
                    <w14:schemeClr w14:val="tx1"/>
                  </w14:solidFill>
                </w14:textFill>
              </w:rPr>
              <w:t>餐膳食服务</w:t>
            </w:r>
            <w:r>
              <w:rPr>
                <w:rFonts w:hint="eastAsia" w:ascii="宋体" w:hAnsi="宋体" w:eastAsia="宋体" w:cs="宋体"/>
                <w:color w:val="000000" w:themeColor="text1"/>
                <w:sz w:val="21"/>
                <w:szCs w:val="21"/>
                <w:highlight w:val="none"/>
                <w14:textFill>
                  <w14:solidFill>
                    <w14:schemeClr w14:val="tx1"/>
                  </w14:solidFill>
                </w14:textFill>
              </w:rPr>
              <w:t>和无条件完成采购人临时安排的份内工作。</w:t>
            </w:r>
          </w:p>
          <w:p w14:paraId="2BD25F59">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按采购人要求在规定时间内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w:t>
            </w:r>
            <w:r>
              <w:rPr>
                <w:rFonts w:hint="eastAsia" w:ascii="宋体" w:hAnsi="宋体" w:eastAsia="宋体" w:cs="宋体"/>
                <w:color w:val="000000" w:themeColor="text1"/>
                <w:sz w:val="21"/>
                <w:szCs w:val="21"/>
                <w:highlight w:val="none"/>
                <w:lang w:val="zh-CN"/>
                <w14:textFill>
                  <w14:solidFill>
                    <w14:schemeClr w14:val="tx1"/>
                  </w14:solidFill>
                </w14:textFill>
              </w:rPr>
              <w:t>就餐</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并在规定时间内收拾餐具</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6BC09791">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按采购人提供</w:t>
            </w:r>
            <w:r>
              <w:rPr>
                <w:rFonts w:hint="eastAsia" w:ascii="宋体" w:hAnsi="宋体" w:eastAsia="宋体" w:cs="宋体"/>
                <w:color w:val="000000" w:themeColor="text1"/>
                <w:sz w:val="21"/>
                <w:szCs w:val="21"/>
                <w:highlight w:val="none"/>
                <w:lang w:val="zh-CN"/>
                <w14:textFill>
                  <w14:solidFill>
                    <w14:schemeClr w14:val="tx1"/>
                  </w14:solidFill>
                </w14:textFill>
              </w:rPr>
              <w:t>每周“菜谱” 计划</w:t>
            </w:r>
            <w:r>
              <w:rPr>
                <w:rFonts w:hint="eastAsia" w:ascii="宋体" w:hAnsi="宋体" w:eastAsia="宋体" w:cs="宋体"/>
                <w:color w:val="000000" w:themeColor="text1"/>
                <w:sz w:val="21"/>
                <w:szCs w:val="21"/>
                <w:highlight w:val="none"/>
                <w14:textFill>
                  <w14:solidFill>
                    <w14:schemeClr w14:val="tx1"/>
                  </w14:solidFill>
                </w14:textFill>
              </w:rPr>
              <w:t>，做好出品工作</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314BDBDB">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须为所有食堂工作人员购买“意外伤害险”。</w:t>
            </w:r>
          </w:p>
          <w:p w14:paraId="14468E6A">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合同期内，</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必须服从采购人监督管理，</w:t>
            </w:r>
            <w:r>
              <w:rPr>
                <w:rFonts w:hint="eastAsia" w:ascii="宋体" w:hAnsi="宋体" w:eastAsia="宋体" w:cs="宋体"/>
                <w:color w:val="000000" w:themeColor="text1"/>
                <w:sz w:val="21"/>
                <w:szCs w:val="21"/>
                <w:highlight w:val="none"/>
                <w14:textFill>
                  <w14:solidFill>
                    <w14:schemeClr w14:val="tx1"/>
                  </w14:solidFill>
                </w14:textFill>
              </w:rPr>
              <w:t>学校每月组织教师、家委会、学生代表对食堂的服务满意度进行至少一次的评价。</w:t>
            </w:r>
          </w:p>
          <w:p w14:paraId="7D4651A7">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《未成年人学校保护规定》第三十六条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学校应当严格执行入职报告和准入查询制度，不得聘用有下列情形的人员：</w:t>
            </w:r>
          </w:p>
          <w:p w14:paraId="4003B8EF">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受到剥夺政治权利或者因故意犯罪受到有期徒刑以上刑事处罚的；</w:t>
            </w:r>
          </w:p>
          <w:p w14:paraId="56D633E0">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因卖淫、嫖娼、吸毒、赌博等违法行为受到治安管理处罚的；</w:t>
            </w:r>
          </w:p>
          <w:p w14:paraId="0E2DCB1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因虐待、性骚扰、体罚或者侮辱学生等情形被开除或者解聘的；</w:t>
            </w:r>
          </w:p>
          <w:p w14:paraId="25027D17">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实施其他被纳入教育领域从业禁止范围的行为的。</w:t>
            </w:r>
          </w:p>
          <w:p w14:paraId="4FE7074C">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中标公司不得违反</w:t>
            </w:r>
            <w:r>
              <w:rPr>
                <w:rFonts w:hint="eastAsia" w:ascii="宋体" w:hAnsi="宋体" w:eastAsia="宋体" w:cs="宋体"/>
                <w:color w:val="000000" w:themeColor="text1"/>
                <w:sz w:val="21"/>
                <w:szCs w:val="21"/>
                <w:highlight w:val="none"/>
                <w14:textFill>
                  <w14:solidFill>
                    <w14:schemeClr w14:val="tx1"/>
                  </w14:solidFill>
                </w14:textFill>
              </w:rPr>
              <w:t>《未成年人学校保护规定》第三十六条</w:t>
            </w:r>
            <w:r>
              <w:rPr>
                <w:rFonts w:hint="eastAsia" w:ascii="宋体" w:hAnsi="宋体" w:eastAsia="宋体" w:cs="宋体"/>
                <w:color w:val="000000" w:themeColor="text1"/>
                <w:sz w:val="21"/>
                <w:szCs w:val="21"/>
                <w:highlight w:val="none"/>
                <w:lang w:eastAsia="zh-CN"/>
                <w14:textFill>
                  <w14:solidFill>
                    <w14:schemeClr w14:val="tx1"/>
                  </w14:solidFill>
                </w14:textFill>
              </w:rPr>
              <w:t>，进入学校的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配送及相关人员，不得有以上行为。</w:t>
            </w:r>
          </w:p>
          <w:p w14:paraId="77AE5E5B">
            <w:pPr>
              <w:keepNext w:val="0"/>
              <w:keepLines w:val="0"/>
              <w:pageBreakBefore w:val="0"/>
              <w:widowControl/>
              <w:kinsoku/>
              <w:wordWrap/>
              <w:overflowPunct/>
              <w:topLinePunct w:val="0"/>
              <w:autoSpaceDE/>
              <w:autoSpaceDN/>
              <w:bidi w:val="0"/>
              <w:adjustRightInd/>
              <w:snapToGrid/>
              <w:spacing w:line="320" w:lineRule="exact"/>
              <w:textAlignment w:val="baseline"/>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cs="宋体"/>
                <w:b/>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14:textFill>
                  <w14:solidFill>
                    <w14:schemeClr w14:val="tx1"/>
                  </w14:solidFill>
                </w14:textFill>
              </w:rPr>
              <w:t>服务期间须承担的费用支出</w:t>
            </w:r>
          </w:p>
          <w:p w14:paraId="5A41CA1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按照国家政策自行承担聘用人员工资、社会保险费、奖金、补贴等费用，并对工作场所及劳务人员上下班途中发生的工伤意外，一切费用由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w:t>
            </w:r>
          </w:p>
          <w:p w14:paraId="753143DA">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采购人食堂设备设施由采购人交付</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使用后，由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妥善保管与使用，厨房内部的设备、设施、餐饮用品维修保养食堂内部供水、供电、空调、消防系统、点餐系统、监控系统日常养护维保由采购人负责。</w:t>
            </w:r>
          </w:p>
          <w:p w14:paraId="4430CF95">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须按国家相应标准负责购置饭堂工作人员的工作服、帽、鞋、</w:t>
            </w:r>
            <w:r>
              <w:rPr>
                <w:rFonts w:hint="eastAsia" w:ascii="宋体" w:hAnsi="宋体" w:eastAsia="宋体" w:cs="宋体"/>
                <w:color w:val="000000" w:themeColor="text1"/>
                <w:sz w:val="21"/>
                <w:szCs w:val="21"/>
                <w:highlight w:val="none"/>
                <w:lang w:val="en-US" w:eastAsia="zh-CN"/>
                <w14:textFill>
                  <w14:solidFill>
                    <w14:schemeClr w14:val="tx1"/>
                  </w14:solidFill>
                </w14:textFill>
              </w:rPr>
              <w:t>口罩、手套、围裙</w:t>
            </w:r>
            <w:r>
              <w:rPr>
                <w:rFonts w:hint="eastAsia" w:ascii="宋体" w:hAnsi="宋体" w:eastAsia="宋体" w:cs="宋体"/>
                <w:color w:val="000000" w:themeColor="text1"/>
                <w:sz w:val="21"/>
                <w:szCs w:val="21"/>
                <w:highlight w:val="none"/>
                <w:lang w:val="zh-CN"/>
                <w14:textFill>
                  <w14:solidFill>
                    <w14:schemeClr w14:val="tx1"/>
                  </w14:solidFill>
                </w14:textFill>
              </w:rPr>
              <w:t>等，费用由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承担。</w:t>
            </w:r>
          </w:p>
          <w:p w14:paraId="7E83D7A9">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采购人提供的经营场地和食堂所有设备、设施及餐饮用品双方每学期对造册登记的物品进行盘点，</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有义务对经营场地和食堂所有设备、设施及餐饮用品等维护，如有自然损耗、报废或</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根据经营需要新增设备等须向采购人备案并申请购置。</w:t>
            </w:r>
          </w:p>
          <w:p w14:paraId="293D073B">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自然损耗、报废更换或新增的设备由采购人负责。</w:t>
            </w:r>
          </w:p>
          <w:p w14:paraId="29D0373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对设备、设施故意损坏或员工不按操作规范造成损坏的，一切费用由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承担。合同期满后如双方解除合约，双方按登记造册清单移交物品，如</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自行购置的设备可无条件自行撤离采购人食堂。</w:t>
            </w:r>
          </w:p>
          <w:p w14:paraId="21B62AD1">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7.食堂员工食宿餐费由中标供应商或厨房员工自行负责。</w:t>
            </w:r>
          </w:p>
          <w:p w14:paraId="3072CB8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8.食堂员工健康证、培训费由中标供应商负责。</w:t>
            </w:r>
          </w:p>
          <w:p w14:paraId="09C8BA00">
            <w:pPr>
              <w:keepNext w:val="0"/>
              <w:keepLines w:val="0"/>
              <w:pageBreakBefore w:val="0"/>
              <w:widowControl/>
              <w:kinsoku/>
              <w:wordWrap/>
              <w:overflowPunct/>
              <w:topLinePunct w:val="0"/>
              <w:autoSpaceDE/>
              <w:autoSpaceDN/>
              <w:bidi w:val="0"/>
              <w:adjustRightInd/>
              <w:snapToGrid/>
              <w:spacing w:line="320" w:lineRule="exact"/>
              <w:textAlignment w:val="baseline"/>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val="zh-CN"/>
                <w14:textFill>
                  <w14:solidFill>
                    <w14:schemeClr w14:val="tx1"/>
                  </w14:solidFill>
                </w14:textFill>
              </w:rPr>
              <w:t>出现下列情况之一的，</w:t>
            </w:r>
            <w:r>
              <w:rPr>
                <w:rFonts w:hint="eastAsia" w:ascii="宋体" w:hAnsi="宋体" w:cs="宋体"/>
                <w:b/>
                <w:bCs/>
                <w:color w:val="000000" w:themeColor="text1"/>
                <w:sz w:val="21"/>
                <w:szCs w:val="21"/>
                <w:highlight w:val="none"/>
                <w:lang w:val="zh-CN"/>
                <w14:textFill>
                  <w14:solidFill>
                    <w14:schemeClr w14:val="tx1"/>
                  </w14:solidFill>
                </w14:textFill>
              </w:rPr>
              <w:t>中标供应商</w:t>
            </w:r>
            <w:r>
              <w:rPr>
                <w:rFonts w:hint="eastAsia" w:ascii="宋体" w:hAnsi="宋体" w:eastAsia="宋体" w:cs="宋体"/>
                <w:b/>
                <w:bCs/>
                <w:color w:val="000000" w:themeColor="text1"/>
                <w:sz w:val="21"/>
                <w:szCs w:val="21"/>
                <w:highlight w:val="none"/>
                <w:lang w:val="zh-CN"/>
                <w14:textFill>
                  <w14:solidFill>
                    <w14:schemeClr w14:val="tx1"/>
                  </w14:solidFill>
                </w14:textFill>
              </w:rPr>
              <w:t>除承担相应的法律和经济责任外，采购人有权终止合同，履约保证金不予退还</w:t>
            </w:r>
            <w:r>
              <w:rPr>
                <w:rFonts w:hint="eastAsia" w:ascii="宋体" w:hAnsi="宋体" w:cs="宋体"/>
                <w:b/>
                <w:bCs/>
                <w:color w:val="000000" w:themeColor="text1"/>
                <w:sz w:val="21"/>
                <w:szCs w:val="21"/>
                <w:highlight w:val="none"/>
                <w:lang w:val="zh-CN"/>
                <w14:textFill>
                  <w14:solidFill>
                    <w14:schemeClr w14:val="tx1"/>
                  </w14:solidFill>
                </w14:textFill>
              </w:rPr>
              <w:t>：</w:t>
            </w:r>
          </w:p>
          <w:p w14:paraId="730D90F6">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发生食物中毒或安全生产责任事故，且造成严重后果的。</w:t>
            </w:r>
          </w:p>
          <w:p w14:paraId="3281D0FB">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因</w:t>
            </w:r>
            <w:r>
              <w:rPr>
                <w:rFonts w:hint="eastAsia" w:ascii="宋体" w:hAnsi="宋体" w:eastAsia="宋体" w:cs="宋体"/>
                <w:color w:val="000000" w:themeColor="text1"/>
                <w:sz w:val="21"/>
                <w:szCs w:val="21"/>
                <w:highlight w:val="none"/>
                <w14:textFill>
                  <w14:solidFill>
                    <w14:schemeClr w14:val="tx1"/>
                  </w14:solidFill>
                </w14:textFill>
              </w:rPr>
              <w:t>饭菜出品</w:t>
            </w:r>
            <w:r>
              <w:rPr>
                <w:rFonts w:hint="eastAsia" w:ascii="宋体" w:hAnsi="宋体" w:eastAsia="宋体" w:cs="宋体"/>
                <w:color w:val="000000" w:themeColor="text1"/>
                <w:sz w:val="21"/>
                <w:szCs w:val="21"/>
                <w:highlight w:val="none"/>
                <w:lang w:val="zh-CN"/>
                <w14:textFill>
                  <w14:solidFill>
                    <w14:schemeClr w14:val="tx1"/>
                  </w14:solidFill>
                </w14:textFill>
              </w:rPr>
              <w:t>质量、卫生和服务等引发就餐职工或</w:t>
            </w:r>
            <w:r>
              <w:rPr>
                <w:rFonts w:hint="eastAsia" w:ascii="宋体" w:hAnsi="宋体" w:eastAsia="宋体" w:cs="宋体"/>
                <w:color w:val="000000" w:themeColor="text1"/>
                <w:sz w:val="21"/>
                <w:szCs w:val="21"/>
                <w:highlight w:val="none"/>
                <w14:textFill>
                  <w14:solidFill>
                    <w14:schemeClr w14:val="tx1"/>
                  </w14:solidFill>
                </w14:textFill>
              </w:rPr>
              <w:t>学生</w:t>
            </w:r>
            <w:r>
              <w:rPr>
                <w:rFonts w:hint="eastAsia" w:ascii="宋体" w:hAnsi="宋体" w:eastAsia="宋体" w:cs="宋体"/>
                <w:color w:val="000000" w:themeColor="text1"/>
                <w:sz w:val="21"/>
                <w:szCs w:val="21"/>
                <w:highlight w:val="none"/>
                <w:lang w:val="zh-CN"/>
                <w14:textFill>
                  <w14:solidFill>
                    <w14:schemeClr w14:val="tx1"/>
                  </w14:solidFill>
                </w14:textFill>
              </w:rPr>
              <w:t>的群发事件，影响恶劣的。</w:t>
            </w:r>
          </w:p>
          <w:p w14:paraId="3536B39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擅自停止经营的。</w:t>
            </w:r>
          </w:p>
          <w:p w14:paraId="01B17F7F">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过程中存在转包行为的。</w:t>
            </w:r>
          </w:p>
          <w:p w14:paraId="0E6AC552">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过程中，因</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过</w:t>
            </w:r>
            <w:r>
              <w:rPr>
                <w:rFonts w:hint="eastAsia" w:ascii="宋体" w:hAnsi="宋体" w:eastAsia="宋体" w:cs="宋体"/>
                <w:color w:val="000000" w:themeColor="text1"/>
                <w:sz w:val="21"/>
                <w:szCs w:val="21"/>
                <w:highlight w:val="none"/>
                <w:lang w:val="zh-CN"/>
                <w14:textFill>
                  <w14:solidFill>
                    <w14:schemeClr w14:val="tx1"/>
                  </w14:solidFill>
                </w14:textFill>
              </w:rPr>
              <w:t>失导致一方或双方被行政处罚或其他违反法律法规导致严重后果的行为的。</w:t>
            </w:r>
          </w:p>
          <w:p w14:paraId="3AC0F9DF">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超过经营范围的。</w:t>
            </w:r>
          </w:p>
          <w:p w14:paraId="1560EC70">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学校每月组织教师、家委会、学生代表对食堂的服务满意度进行至少一次的评价，</w:t>
            </w:r>
            <w:r>
              <w:rPr>
                <w:rFonts w:hint="eastAsia" w:ascii="宋体" w:hAnsi="宋体" w:eastAsia="宋体" w:cs="宋体"/>
                <w:color w:val="000000" w:themeColor="text1"/>
                <w:sz w:val="21"/>
                <w:szCs w:val="21"/>
                <w:highlight w:val="none"/>
                <w:lang w:val="zh-CN"/>
                <w14:textFill>
                  <w14:solidFill>
                    <w14:schemeClr w14:val="tx1"/>
                  </w14:solidFill>
                </w14:textFill>
              </w:rPr>
              <w:t>如</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的服务满意度3次</w:t>
            </w:r>
            <w:r>
              <w:rPr>
                <w:rFonts w:hint="eastAsia" w:ascii="宋体" w:hAnsi="宋体" w:eastAsia="宋体" w:cs="宋体"/>
                <w:color w:val="000000" w:themeColor="text1"/>
                <w:sz w:val="21"/>
                <w:szCs w:val="21"/>
                <w:highlight w:val="none"/>
                <w:lang w:val="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到80%的</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14FE4EFD">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其他违反合同规定，拒不整改或整改后仍未达到要求的。</w:t>
            </w:r>
          </w:p>
        </w:tc>
      </w:tr>
    </w:tbl>
    <w:p w14:paraId="6B021AC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652F2F">
      <w:pPr>
        <w:rPr>
          <w:rFonts w:hint="eastAsia"/>
          <w:color w:val="000000" w:themeColor="text1"/>
          <w:highlight w:val="none"/>
          <w14:textFill>
            <w14:solidFill>
              <w14:schemeClr w14:val="tx1"/>
            </w14:solidFill>
          </w14:textFill>
        </w:rPr>
      </w:pPr>
    </w:p>
    <w:p w14:paraId="7782DC7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367F16">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2" w:name="_Toc252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bookmarkEnd w:id="2"/>
    </w:p>
    <w:p w14:paraId="1A1716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 w:name="_Toc2275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bookmarkEnd w:id="3"/>
    </w:p>
    <w:p w14:paraId="32277E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rPr>
          <w:rFonts w:hint="eastAsia"/>
          <w:color w:val="000000" w:themeColor="text1"/>
          <w:highlight w:val="none"/>
          <w14:textFill>
            <w14:solidFill>
              <w14:schemeClr w14:val="tx1"/>
            </w14:solidFill>
          </w14:textFill>
        </w:rPr>
      </w:pPr>
    </w:p>
    <w:p w14:paraId="0298AE41">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 w:name="_Toc305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bookmarkEnd w:id="4"/>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折扣率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46349FE">
            <w:pPr>
              <w:pStyle w:val="19"/>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1739D59C">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45232A0D">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（内含“开标一览表”、“法定代表人（负责人）证明书”和“法定代表人（负责人）授权书”）</w:t>
            </w:r>
          </w:p>
          <w:p w14:paraId="591705EC">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21E12104">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74201334">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2879BBB8">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00C4ED2B">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79CD7AA">
      <w:pPr>
        <w:rPr>
          <w:rFonts w:hint="eastAsia"/>
          <w:color w:val="000000" w:themeColor="text1"/>
          <w:highlight w:val="none"/>
          <w14:textFill>
            <w14:solidFill>
              <w14:schemeClr w14:val="tx1"/>
            </w14:solidFill>
          </w14:textFill>
        </w:rPr>
      </w:pPr>
    </w:p>
    <w:p w14:paraId="327CE6C0">
      <w:pPr>
        <w:rPr>
          <w:rFonts w:hint="eastAsia"/>
          <w:color w:val="000000" w:themeColor="text1"/>
          <w:highlight w:val="none"/>
          <w14:textFill>
            <w14:solidFill>
              <w14:schemeClr w14:val="tx1"/>
            </w14:solidFill>
          </w14:textFill>
        </w:rPr>
      </w:pPr>
    </w:p>
    <w:p w14:paraId="5C028B5A">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 w:name="_Toc2061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bookmarkEnd w:id="5"/>
    </w:p>
    <w:p w14:paraId="7CD3695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 w:name="_Toc2865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bookmarkEnd w:id="6"/>
    </w:p>
    <w:p w14:paraId="180ADBD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 w:name="_Toc3061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bookmarkEnd w:id="7"/>
    </w:p>
    <w:p w14:paraId="3B575A9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9"/>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9"/>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8" w:name="_Toc345513858"/>
      <w:bookmarkStart w:id="9" w:name="_Toc366072519"/>
      <w:bookmarkStart w:id="10" w:name="_Toc339441078"/>
      <w:bookmarkStart w:id="11" w:name="_Toc333237779"/>
      <w:bookmarkStart w:id="12" w:name="_Toc337632349"/>
      <w:bookmarkStart w:id="13" w:name="_Toc349127617"/>
      <w:bookmarkStart w:id="14" w:name="_Toc339020006"/>
      <w:bookmarkStart w:id="15" w:name="_Toc332270337"/>
      <w:bookmarkStart w:id="16" w:name="_Toc341348329"/>
      <w:bookmarkStart w:id="17" w:name="_Toc333935337"/>
      <w:bookmarkStart w:id="18" w:name="_Toc340507433"/>
      <w:bookmarkStart w:id="19" w:name="_Toc503785420"/>
      <w:bookmarkStart w:id="20" w:name="_Toc374454591"/>
      <w:bookmarkStart w:id="21" w:name="_Toc340677061"/>
      <w:bookmarkStart w:id="22" w:name="_Toc365985170"/>
      <w:bookmarkStart w:id="23" w:name="_Toc342060365"/>
      <w:bookmarkStart w:id="24" w:name="_Toc331684029"/>
      <w:bookmarkStart w:id="25" w:name="_Toc339019880"/>
      <w:bookmarkStart w:id="26" w:name="_Toc332206699"/>
      <w:bookmarkStart w:id="27" w:name="_Toc336681926"/>
      <w:bookmarkStart w:id="28" w:name="_Toc497224218"/>
      <w:bookmarkStart w:id="29" w:name="_Toc336681571"/>
      <w:bookmarkStart w:id="30" w:name="_Toc342296751"/>
      <w:bookmarkStart w:id="31" w:name="_Toc339020086"/>
      <w:bookmarkStart w:id="32" w:name="_Toc333237668"/>
      <w:bookmarkStart w:id="33" w:name="_Toc350756441"/>
      <w:bookmarkStart w:id="34" w:name="_Toc349143580"/>
      <w:bookmarkStart w:id="35" w:name="_Toc330459976"/>
      <w:bookmarkStart w:id="36" w:name="_Toc339362291"/>
      <w:bookmarkStart w:id="37" w:name="_Toc333238624"/>
      <w:bookmarkStart w:id="38" w:name="_Toc331512889"/>
      <w:bookmarkStart w:id="39" w:name="_Toc339020224"/>
      <w:bookmarkStart w:id="40" w:name="_Toc340672860"/>
      <w:bookmarkStart w:id="41" w:name="_Toc350438740"/>
      <w:bookmarkStart w:id="42" w:name="_Toc333935678"/>
      <w:bookmarkStart w:id="43" w:name="_Toc365967064"/>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44" w:name="_Toc336681929"/>
      <w:bookmarkStart w:id="45" w:name="_Toc345513861"/>
      <w:bookmarkStart w:id="46" w:name="_Toc333237671"/>
      <w:bookmarkStart w:id="47" w:name="_Toc331512892"/>
      <w:bookmarkStart w:id="48" w:name="_Toc17227"/>
      <w:bookmarkStart w:id="49" w:name="_Toc337632352"/>
      <w:bookmarkStart w:id="50" w:name="_Toc349127620"/>
      <w:bookmarkStart w:id="51" w:name="_Toc339020009"/>
      <w:bookmarkStart w:id="52" w:name="_Toc350756444"/>
      <w:bookmarkStart w:id="53" w:name="_Toc340672863"/>
      <w:bookmarkStart w:id="54" w:name="_Toc333237782"/>
      <w:bookmarkStart w:id="55" w:name="_Toc339362294"/>
      <w:bookmarkStart w:id="56" w:name="_Toc332206702"/>
      <w:bookmarkStart w:id="57" w:name="_Toc331684032"/>
      <w:bookmarkStart w:id="58" w:name="_Toc342060368"/>
      <w:bookmarkStart w:id="59" w:name="_Toc340677064"/>
      <w:bookmarkStart w:id="60" w:name="_Toc503785423"/>
      <w:bookmarkStart w:id="61" w:name="_Toc333238627"/>
      <w:bookmarkStart w:id="62" w:name="_Toc339441081"/>
      <w:bookmarkStart w:id="63" w:name="_Toc341348332"/>
      <w:bookmarkStart w:id="64" w:name="_Toc336681574"/>
      <w:bookmarkStart w:id="65" w:name="_Toc339020089"/>
      <w:bookmarkStart w:id="66" w:name="_Toc333935681"/>
      <w:bookmarkStart w:id="67" w:name="_Toc333935340"/>
      <w:bookmarkStart w:id="68" w:name="_Toc340507436"/>
      <w:bookmarkStart w:id="69" w:name="_Toc330459979"/>
      <w:bookmarkStart w:id="70" w:name="_Toc365967067"/>
      <w:bookmarkStart w:id="71" w:name="_Toc349143583"/>
      <w:bookmarkStart w:id="72" w:name="_Toc366072522"/>
      <w:bookmarkStart w:id="73" w:name="_Toc350438743"/>
      <w:bookmarkStart w:id="74" w:name="_Toc339019883"/>
      <w:bookmarkStart w:id="75" w:name="_Toc332270340"/>
      <w:bookmarkStart w:id="76" w:name="_Toc342296754"/>
      <w:bookmarkStart w:id="77" w:name="_Toc374454594"/>
      <w:bookmarkStart w:id="78" w:name="_Toc339020227"/>
      <w:bookmarkStart w:id="79" w:name="_Toc365985173"/>
      <w:bookmarkStart w:id="80" w:name="_Toc49722422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1" w:name="_Toc2623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bookmarkEnd w:id="81"/>
    </w:p>
    <w:p w14:paraId="161C8DFB">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2" w:name="_Toc844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bookmarkEnd w:id="82"/>
    </w:p>
    <w:p w14:paraId="6586F6C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3" w:name="_Toc2081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bookmarkEnd w:id="83"/>
    </w:p>
    <w:p w14:paraId="78BC0CC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0B24A5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4" w:name="_Toc30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bookmarkEnd w:id="84"/>
    </w:p>
    <w:p w14:paraId="4D6611C0">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5" w:name="_Toc1988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bookmarkEnd w:id="85"/>
    </w:p>
    <w:p w14:paraId="301AE48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6" w:name="_Toc1427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政府采购政策落实</w:t>
      </w:r>
      <w:bookmarkEnd w:id="86"/>
    </w:p>
    <w:p w14:paraId="7690B82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B31CB2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120C9FF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0B3F22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59E5265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top"/>
          </w:tcPr>
          <w:p w14:paraId="53B4FEC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top"/>
          </w:tcPr>
          <w:p w14:paraId="058CB88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top"/>
          </w:tcPr>
          <w:p w14:paraId="53E0D43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top"/>
          </w:tcPr>
          <w:p w14:paraId="78278C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9"/>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4CFB388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D7CB30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5339E74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7" w:name="_Toc800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评审程序</w:t>
      </w:r>
      <w:bookmarkEnd w:id="87"/>
    </w:p>
    <w:p w14:paraId="0877031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351110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C9CFB7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A60A4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42DCFB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1BA771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4776FA0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836E5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88B5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18991B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03D3DC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27"/>
        <w:gridCol w:w="5772"/>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jc w:val="center"/>
        </w:trPr>
        <w:tc>
          <w:tcPr>
            <w:tcW w:w="972" w:type="dxa"/>
            <w:vAlign w:val="top"/>
          </w:tcPr>
          <w:p w14:paraId="0B5FB8B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099" w:type="dxa"/>
            <w:gridSpan w:val="2"/>
            <w:vAlign w:val="top"/>
          </w:tcPr>
          <w:p w14:paraId="7D81274E">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27" w:type="dxa"/>
            <w:vAlign w:val="center"/>
          </w:tcPr>
          <w:p w14:paraId="4A4B94E8">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772" w:type="dxa"/>
            <w:vAlign w:val="top"/>
          </w:tcPr>
          <w:p w14:paraId="288A0FE5">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w:t>
            </w:r>
          </w:p>
          <w:p w14:paraId="32E55402">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F18955E">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27" w:type="dxa"/>
            <w:vAlign w:val="center"/>
          </w:tcPr>
          <w:p w14:paraId="6F0E634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772" w:type="dxa"/>
            <w:vAlign w:val="top"/>
          </w:tcPr>
          <w:p w14:paraId="3A321888">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114EC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27" w:type="dxa"/>
            <w:vAlign w:val="center"/>
          </w:tcPr>
          <w:p w14:paraId="4D0A1858">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772" w:type="dxa"/>
            <w:vAlign w:val="top"/>
          </w:tcPr>
          <w:p w14:paraId="70ACC952">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EEF0D3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27" w:type="dxa"/>
            <w:vAlign w:val="center"/>
          </w:tcPr>
          <w:p w14:paraId="4E027860">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772" w:type="dxa"/>
            <w:vAlign w:val="top"/>
          </w:tcPr>
          <w:p w14:paraId="14176511">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065FDB1">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27" w:type="dxa"/>
            <w:vAlign w:val="center"/>
          </w:tcPr>
          <w:p w14:paraId="2714BA69">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772" w:type="dxa"/>
            <w:vAlign w:val="top"/>
          </w:tcPr>
          <w:p w14:paraId="1413FCA8">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27" w:type="dxa"/>
            <w:vAlign w:val="center"/>
          </w:tcPr>
          <w:p w14:paraId="7F80A966">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772" w:type="dxa"/>
            <w:vAlign w:val="top"/>
          </w:tcPr>
          <w:p w14:paraId="0B27F42B">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67624D">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27" w:type="dxa"/>
            <w:vAlign w:val="center"/>
          </w:tcPr>
          <w:p w14:paraId="6309543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772" w:type="dxa"/>
            <w:vAlign w:val="top"/>
          </w:tcPr>
          <w:p w14:paraId="780A899B">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tc>
      </w:tr>
      <w:tr w14:paraId="591C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CBF939">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327" w:type="dxa"/>
            <w:vAlign w:val="center"/>
          </w:tcPr>
          <w:p w14:paraId="7330081A">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特定资格要求</w:t>
            </w:r>
          </w:p>
        </w:tc>
        <w:tc>
          <w:tcPr>
            <w:tcW w:w="5772" w:type="dxa"/>
            <w:vAlign w:val="top"/>
          </w:tcPr>
          <w:p w14:paraId="3435B6A9">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投标人须具有有效期内的</w:t>
            </w:r>
            <w:r>
              <w:rPr>
                <w:rFonts w:hint="eastAsia" w:ascii="宋体" w:hAnsi="宋体"/>
                <w:color w:val="000000" w:themeColor="text1"/>
                <w:highlight w:val="none"/>
                <w14:textFill>
                  <w14:solidFill>
                    <w14:schemeClr w14:val="tx1"/>
                  </w14:solidFill>
                </w14:textFill>
              </w:rPr>
              <w:t>人力资源和社会保障部门颁发的《劳务派遣经营许可证》</w:t>
            </w:r>
            <w:r>
              <w:rPr>
                <w:rFonts w:hint="eastAsia" w:ascii="宋体" w:hAnsi="宋体"/>
                <w:color w:val="000000" w:themeColor="text1"/>
                <w:highlight w:val="none"/>
                <w:lang w:eastAsia="zh-CN"/>
                <w14:textFill>
                  <w14:solidFill>
                    <w14:schemeClr w14:val="tx1"/>
                  </w14:solidFill>
                </w14:textFill>
              </w:rPr>
              <w:t>。</w:t>
            </w:r>
          </w:p>
        </w:tc>
      </w:tr>
      <w:tr w14:paraId="2189E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E4E082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327" w:type="dxa"/>
            <w:vAlign w:val="center"/>
          </w:tcPr>
          <w:p w14:paraId="4644F90B">
            <w:pPr>
              <w:pStyle w:val="19"/>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5772" w:type="dxa"/>
            <w:vAlign w:val="top"/>
          </w:tcPr>
          <w:p w14:paraId="7203A06F">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2D6CD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64DB7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327" w:type="dxa"/>
            <w:vAlign w:val="center"/>
          </w:tcPr>
          <w:p w14:paraId="7AC3C04D">
            <w:pPr>
              <w:pStyle w:val="19"/>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5772" w:type="dxa"/>
            <w:vAlign w:val="top"/>
          </w:tcPr>
          <w:p w14:paraId="31554FC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15B116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42"/>
        <w:gridCol w:w="575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top"/>
          </w:tcPr>
          <w:p w14:paraId="2BB47D41">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序号</w:t>
            </w:r>
          </w:p>
        </w:tc>
        <w:tc>
          <w:tcPr>
            <w:tcW w:w="2342" w:type="dxa"/>
            <w:vAlign w:val="top"/>
          </w:tcPr>
          <w:p w14:paraId="0C08A8B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757" w:type="dxa"/>
            <w:vAlign w:val="top"/>
          </w:tcPr>
          <w:p w14:paraId="51898E1C">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42" w:type="dxa"/>
            <w:shd w:val="clear" w:color="auto" w:fill="auto"/>
            <w:vAlign w:val="center"/>
          </w:tcPr>
          <w:p w14:paraId="1C769C7B">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757" w:type="dxa"/>
            <w:shd w:val="clear" w:color="auto" w:fill="auto"/>
            <w:vAlign w:val="top"/>
          </w:tcPr>
          <w:p w14:paraId="7E753EAF">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2026年9月1日至2027年8月31日（为期壹年）。（超出该服务期作无效投标处理）</w:t>
            </w:r>
          </w:p>
        </w:tc>
      </w:tr>
      <w:tr w14:paraId="627A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C712CB0">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342" w:type="dxa"/>
            <w:shd w:val="clear" w:color="auto" w:fill="auto"/>
            <w:vAlign w:val="center"/>
          </w:tcPr>
          <w:p w14:paraId="798F4D6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757" w:type="dxa"/>
            <w:shd w:val="clear" w:color="auto" w:fill="auto"/>
            <w:vAlign w:val="top"/>
          </w:tcPr>
          <w:p w14:paraId="0525E0E4">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折扣</w:t>
            </w:r>
            <w:r>
              <w:rPr>
                <w:rFonts w:hint="eastAsia" w:ascii="宋体" w:hAnsi="宋体"/>
                <w:bCs/>
                <w:color w:val="000000" w:themeColor="text1"/>
                <w:highlight w:val="none"/>
                <w:lang w:val="en-US" w:eastAsia="zh-CN"/>
                <w14:textFill>
                  <w14:solidFill>
                    <w14:schemeClr w14:val="tx1"/>
                  </w14:solidFill>
                </w14:textFill>
              </w:rPr>
              <w:t>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42" w:type="dxa"/>
            <w:shd w:val="clear" w:color="auto" w:fill="auto"/>
            <w:vAlign w:val="center"/>
          </w:tcPr>
          <w:p w14:paraId="5DB4DDB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757" w:type="dxa"/>
            <w:shd w:val="clear" w:color="auto" w:fill="auto"/>
            <w:vAlign w:val="top"/>
          </w:tcPr>
          <w:p w14:paraId="2342A39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2" w:type="dxa"/>
            <w:shd w:val="clear" w:color="auto" w:fill="auto"/>
            <w:vAlign w:val="center"/>
          </w:tcPr>
          <w:p w14:paraId="50FF4EA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757" w:type="dxa"/>
            <w:shd w:val="clear" w:color="auto" w:fill="auto"/>
            <w:vAlign w:val="top"/>
          </w:tcPr>
          <w:p w14:paraId="1D98FD6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1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557"/>
        <w:gridCol w:w="6510"/>
      </w:tblGrid>
      <w:tr w14:paraId="6460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Align w:val="center"/>
          </w:tcPr>
          <w:p w14:paraId="6F7A09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7" w:type="dxa"/>
            <w:gridSpan w:val="2"/>
            <w:vAlign w:val="center"/>
          </w:tcPr>
          <w:p w14:paraId="4895C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EB7A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tcPr>
          <w:p w14:paraId="08F67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7" w:type="dxa"/>
            <w:gridSpan w:val="2"/>
          </w:tcPr>
          <w:p w14:paraId="3BE91B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.0分</w:t>
            </w:r>
          </w:p>
          <w:p w14:paraId="7D46F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0分</w:t>
            </w:r>
          </w:p>
          <w:p w14:paraId="3CBBA4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02A0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5E69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57" w:type="dxa"/>
            <w:vAlign w:val="top"/>
          </w:tcPr>
          <w:p w14:paraId="72C5254A">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vAlign w:val="center"/>
          </w:tcPr>
          <w:p w14:paraId="3C0BDBB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根据项目管理人员配置、管理架构完整性、管理制度、服务质量保障计划、信息反馈及控制措施、服务水平指标、</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工作质量</w:t>
            </w:r>
            <w:r>
              <w:rPr>
                <w:rFonts w:hint="eastAsia" w:ascii="宋体" w:hAnsi="宋体" w:eastAsia="宋体" w:cs="宋体"/>
                <w:color w:val="000000" w:themeColor="text1"/>
                <w:sz w:val="21"/>
                <w:szCs w:val="21"/>
                <w:highlight w:val="none"/>
                <w14:textFill>
                  <w14:solidFill>
                    <w14:schemeClr w14:val="tx1"/>
                  </w14:solidFill>
                </w14:textFill>
              </w:rPr>
              <w:t>指标等。</w:t>
            </w:r>
          </w:p>
          <w:p w14:paraId="6A01C5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服务方案完善、组织结构完整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4927BA6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服务方案较完善、组织结构较完整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73457E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服务方案较完善、组织结构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BC6DFA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服务方案不完善、组织结构不完整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24B35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r>
      <w:tr w14:paraId="6FE69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6CBC3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vAlign w:val="top"/>
          </w:tcPr>
          <w:p w14:paraId="3B05BD09">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管理制度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vAlign w:val="center"/>
          </w:tcPr>
          <w:p w14:paraId="25CF69E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建立完善的现场人员管理制度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521E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人员管理制度完善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详细、合理、</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57CE8B6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人员管理制度较完善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2F94372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人员管理制度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718D474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人员管理制度不完善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F5125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r>
      <w:tr w14:paraId="090A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0C585E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vAlign w:val="top"/>
          </w:tcPr>
          <w:p w14:paraId="74AF81E5">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vAlign w:val="center"/>
          </w:tcPr>
          <w:p w14:paraId="2292A95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具有完善的内部</w:t>
            </w:r>
            <w:r>
              <w:rPr>
                <w:rFonts w:hint="eastAsia" w:ascii="宋体" w:hAnsi="宋体" w:eastAsia="宋体" w:cs="宋体"/>
                <w:color w:val="000000" w:themeColor="text1"/>
                <w:sz w:val="21"/>
                <w:szCs w:val="21"/>
                <w:highlight w:val="none"/>
                <w:lang w:val="en-US" w:eastAsia="zh-CN"/>
                <w14:textFill>
                  <w14:solidFill>
                    <w14:schemeClr w14:val="tx1"/>
                  </w14:solidFill>
                </w14:textFill>
              </w:rPr>
              <w:t>储备人员</w:t>
            </w:r>
            <w:r>
              <w:rPr>
                <w:rFonts w:hint="eastAsia" w:ascii="宋体" w:hAnsi="宋体" w:eastAsia="宋体" w:cs="宋体"/>
                <w:color w:val="000000" w:themeColor="text1"/>
                <w:sz w:val="21"/>
                <w:szCs w:val="21"/>
                <w:highlight w:val="none"/>
                <w14:textFill>
                  <w14:solidFill>
                    <w14:schemeClr w14:val="tx1"/>
                  </w14:solidFill>
                </w14:textFill>
              </w:rPr>
              <w:t>制度，具备一定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招聘、岗前培训</w:t>
            </w:r>
            <w:r>
              <w:rPr>
                <w:rFonts w:hint="eastAsia" w:ascii="宋体" w:hAnsi="宋体" w:eastAsia="宋体" w:cs="宋体"/>
                <w:color w:val="000000" w:themeColor="text1"/>
                <w:sz w:val="21"/>
                <w:szCs w:val="21"/>
                <w:highlight w:val="none"/>
                <w14:textFill>
                  <w14:solidFill>
                    <w14:schemeClr w14:val="tx1"/>
                  </w14:solidFill>
                </w14:textFill>
              </w:rPr>
              <w:t>能力，</w:t>
            </w:r>
            <w:r>
              <w:rPr>
                <w:rFonts w:hint="eastAsia" w:ascii="宋体" w:hAnsi="宋体" w:eastAsia="宋体" w:cs="宋体"/>
                <w:color w:val="000000" w:themeColor="text1"/>
                <w:sz w:val="21"/>
                <w:szCs w:val="21"/>
                <w:highlight w:val="none"/>
                <w:lang w:val="en-US" w:eastAsia="zh-CN"/>
                <w14:textFill>
                  <w14:solidFill>
                    <w14:schemeClr w14:val="tx1"/>
                  </w14:solidFill>
                </w14:textFill>
              </w:rPr>
              <w:t>储备人员</w:t>
            </w:r>
            <w:r>
              <w:rPr>
                <w:rFonts w:hint="eastAsia" w:ascii="宋体" w:hAnsi="宋体" w:eastAsia="宋体" w:cs="宋体"/>
                <w:color w:val="000000" w:themeColor="text1"/>
                <w:sz w:val="21"/>
                <w:szCs w:val="21"/>
                <w:highlight w:val="none"/>
                <w14:textFill>
                  <w14:solidFill>
                    <w14:schemeClr w14:val="tx1"/>
                  </w14:solidFill>
                </w14:textFill>
              </w:rPr>
              <w:t>制度要有对劳务派遣服务的及时性、连续性、保密性和安全性的管理。</w:t>
            </w:r>
          </w:p>
          <w:p w14:paraId="0D81C65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制度详细、可行性高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详细、合理、</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2F58B82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制度较详细、较可行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6D34B19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制度不够详细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E54615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制度</w:t>
            </w:r>
            <w:r>
              <w:rPr>
                <w:rFonts w:hint="eastAsia" w:ascii="宋体" w:hAnsi="宋体" w:eastAsia="宋体" w:cs="宋体"/>
                <w:color w:val="000000" w:themeColor="text1"/>
                <w:sz w:val="21"/>
                <w:szCs w:val="21"/>
                <w:highlight w:val="none"/>
                <w14:textFill>
                  <w14:solidFill>
                    <w14:schemeClr w14:val="tx1"/>
                  </w14:solidFill>
                </w14:textFill>
              </w:rPr>
              <w:t>一般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不详尽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3003829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r>
      <w:tr w14:paraId="6352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3565A14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vAlign w:val="top"/>
          </w:tcPr>
          <w:p w14:paraId="7C424E74">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应急方案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vAlign w:val="center"/>
          </w:tcPr>
          <w:p w14:paraId="12AF91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根据各投标人针对本项目制定的应急方案的详细程度、合理可行性，对社会环境、不可抗力、不可预见等因素所导致的应急措施及紧急增援时间进行打分。</w:t>
            </w:r>
          </w:p>
          <w:p w14:paraId="08E549F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1.针对本项目制定的应急方案详细、合理、</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得10分；</w:t>
            </w:r>
          </w:p>
          <w:p w14:paraId="29058D1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2.针对本项目制定的应急方案较详细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7分；</w:t>
            </w:r>
          </w:p>
          <w:p w14:paraId="01B8E16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3.针对本项目制定的应急方案不够详细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p w14:paraId="63F612F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4.针对本项目制定的应急方案不合理不能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1分；</w:t>
            </w:r>
          </w:p>
          <w:p w14:paraId="3F88FCF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75FC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D7D9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57" w:type="dxa"/>
            <w:shd w:val="clear" w:color="auto" w:fill="auto"/>
            <w:vAlign w:val="top"/>
          </w:tcPr>
          <w:p w14:paraId="0940EC19">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同类项目业绩（20.0分）</w:t>
            </w:r>
          </w:p>
        </w:tc>
        <w:tc>
          <w:tcPr>
            <w:tcW w:w="6510" w:type="dxa"/>
            <w:shd w:val="clear" w:color="auto" w:fill="auto"/>
            <w:vAlign w:val="center"/>
          </w:tcPr>
          <w:p w14:paraId="24D932B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投标人提供</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年1月1日（以合同签订时间为准）至今</w:t>
            </w: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同类项目业绩，提供一项得5分，满分20分。</w:t>
            </w:r>
          </w:p>
          <w:p w14:paraId="2C5586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注：提供合同关键页复印件加盖投标人公章，不提供不得分。</w:t>
            </w:r>
          </w:p>
        </w:tc>
      </w:tr>
      <w:tr w14:paraId="066E3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4A0097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auto"/>
            <w:vAlign w:val="top"/>
          </w:tcPr>
          <w:p w14:paraId="2B3B1EE6">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拟投入本项目人员情况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shd w:val="clear" w:color="auto" w:fill="auto"/>
            <w:vAlign w:val="center"/>
          </w:tcPr>
          <w:p w14:paraId="140DE73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拟投入本项目人员，提供1人得5分，满分20分。</w:t>
            </w:r>
          </w:p>
          <w:p w14:paraId="5C20B4C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注：提供人员学历证书和投标截止前半年的任意一个月社保证明文件复印件加盖投标人公章，不提供不得分。</w:t>
            </w:r>
          </w:p>
        </w:tc>
      </w:tr>
      <w:tr w14:paraId="440D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38BAB0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vAlign w:val="top"/>
          </w:tcPr>
          <w:p w14:paraId="37E9DF46">
            <w:pPr>
              <w:pStyle w:val="23"/>
              <w:widowControl w:val="0"/>
              <w:pBdr>
                <w:left w:val="none" w:color="auto" w:sz="0" w:space="0"/>
                <w:bottom w:val="none" w:color="auto" w:sz="0" w:space="0"/>
                <w:right w:val="none" w:color="auto" w:sz="0" w:space="0"/>
              </w:pBdr>
              <w:spacing w:before="0" w:beforeAutospacing="0" w:after="0" w:afterAutospacing="0" w:line="36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售后服务方案（10.0分）</w:t>
            </w:r>
          </w:p>
        </w:tc>
        <w:tc>
          <w:tcPr>
            <w:tcW w:w="6510" w:type="dxa"/>
            <w:shd w:val="clear" w:color="auto" w:fill="auto"/>
            <w:vAlign w:val="center"/>
          </w:tcPr>
          <w:p w14:paraId="69964FC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1.投标人针对本项目制定的售后服务方案详细合理、</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得10分；</w:t>
            </w:r>
          </w:p>
          <w:p w14:paraId="0BB79BC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2.投标人针对本项目制定的售后服务方案较详细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得7分；</w:t>
            </w:r>
          </w:p>
          <w:p w14:paraId="10B413F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3.投标人针对本项目制定的售后服务方案不够详细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得4分；</w:t>
            </w:r>
          </w:p>
          <w:p w14:paraId="250AC5B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4.投标人针对本项目制定的售后服务方案不详细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1分。</w:t>
            </w:r>
          </w:p>
          <w:p w14:paraId="5BE28EC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582D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0" w:hRule="atLeast"/>
        </w:trPr>
        <w:tc>
          <w:tcPr>
            <w:tcW w:w="1093" w:type="dxa"/>
          </w:tcPr>
          <w:p w14:paraId="7478E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57" w:type="dxa"/>
            <w:vAlign w:val="top"/>
          </w:tcPr>
          <w:p w14:paraId="57A61581">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(10.0分)</w:t>
            </w:r>
          </w:p>
        </w:tc>
        <w:tc>
          <w:tcPr>
            <w:tcW w:w="6510" w:type="dxa"/>
            <w:vAlign w:val="top"/>
          </w:tcPr>
          <w:p w14:paraId="5FDCF134">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14:paraId="1BF5400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8" w:name="_Toc3142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bookmarkEnd w:id="88"/>
    </w:p>
    <w:p w14:paraId="394825B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9"/>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9"/>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9"/>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9"/>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544095E">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49F7778B">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6AED60AC">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796C716">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F9CCD0A">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35F537A">
      <w:pPr>
        <w:pStyle w:val="19"/>
        <w:keepNext w:val="0"/>
        <w:keepLines w:val="0"/>
        <w:pageBreakBefore w:val="0"/>
        <w:kinsoku/>
        <w:wordWrap/>
        <w:overflowPunct/>
        <w:topLinePunct w:val="0"/>
        <w:autoSpaceDE/>
        <w:autoSpaceDN/>
        <w:bidi w:val="0"/>
        <w:adjustRightInd/>
        <w:snapToGrid/>
        <w:spacing w:before="0" w:after="0" w:line="360" w:lineRule="auto"/>
        <w:ind w:left="0" w:right="0" w:firstLine="404"/>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根据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的采购结果，按照《中华人民共和国政府采购法》、《中华人民共和国民法典(合同编)》的规定，经双方协商，本着平等互利和诚实信用的原则，一致同意签订本合同如下。</w:t>
      </w:r>
    </w:p>
    <w:p w14:paraId="3D8B4137">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一、货物内容</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315"/>
        <w:gridCol w:w="854"/>
        <w:gridCol w:w="577"/>
        <w:gridCol w:w="577"/>
        <w:gridCol w:w="947"/>
        <w:gridCol w:w="947"/>
      </w:tblGrid>
      <w:tr w14:paraId="02E3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6DD2F55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9E69E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32CBAEF6">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C95ACFC">
            <w:pPr>
              <w:pStyle w:val="19"/>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81B447">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95E63B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p w14:paraId="58323990">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F82A8B7">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金额</w:t>
            </w:r>
          </w:p>
          <w:p w14:paraId="5AC23FAA">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r>
      <w:tr w14:paraId="1C9C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E7642EA">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22D0ED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AA917C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FA842E1">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27EF61F">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A22258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7B15766">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670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AF17D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871B090">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3147B1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875FA06">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56505D6">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EB101F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6FD321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F7C7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5D9417A">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0D365830">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B07E03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E2F3D9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87E67E4">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E8A465F">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8DC841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65413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1FA089">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7714BFC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1FC248DA">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CCD944F">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314DAA4">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23A4ED9">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D5CD63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1B38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7F389D">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9DC075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E92CA34">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085B1BA">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72B06A8">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F9BDDE7">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E4456D0">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4682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4215CF">
            <w:pPr>
              <w:pStyle w:val="19"/>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917ED7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2095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nil"/>
              <w:left w:val="nil"/>
              <w:bottom w:val="nil"/>
              <w:right w:val="nil"/>
            </w:tcBorders>
          </w:tcPr>
          <w:p w14:paraId="5DDEE7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516" w:type="dxa"/>
            <w:tcBorders>
              <w:top w:val="nil"/>
              <w:left w:val="nil"/>
              <w:bottom w:val="nil"/>
              <w:right w:val="nil"/>
            </w:tcBorders>
          </w:tcPr>
          <w:p w14:paraId="6A21D99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6" w:type="dxa"/>
            <w:tcBorders>
              <w:top w:val="nil"/>
              <w:left w:val="nil"/>
              <w:bottom w:val="nil"/>
              <w:right w:val="nil"/>
            </w:tcBorders>
          </w:tcPr>
          <w:p w14:paraId="51B9CC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0F691F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4D28AE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A2840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43FA6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7B8AFB5">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0C4C0D5">
      <w:pPr>
        <w:pStyle w:val="19"/>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8C590AD">
      <w:pPr>
        <w:pStyle w:val="19"/>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注：货物名称内容必须与投标文件中货物名称内容一致。</w:t>
      </w:r>
    </w:p>
    <w:p w14:paraId="3F5C27D4">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二、合同金额</w:t>
      </w:r>
    </w:p>
    <w:p w14:paraId="264F42F3">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合同金额为（大写）：_________________元（￥_______________元）人民币。</w:t>
      </w:r>
    </w:p>
    <w:p w14:paraId="6C5475CE">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三、设备要求</w:t>
      </w:r>
    </w:p>
    <w:p w14:paraId="7586669D">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货物为原制造商制造的全新产品，整机无污染，无侵权行为、表面无划损、无任何缺陷隐患，在中国境内可依常规安全合法使用。</w:t>
      </w:r>
    </w:p>
    <w:p w14:paraId="442F02F5">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四、交货期、交货方式及交货地点</w:t>
      </w:r>
    </w:p>
    <w:p w14:paraId="2D8F0CC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1.交货期：</w:t>
      </w:r>
    </w:p>
    <w:p w14:paraId="5D20EF6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2.交货方式：</w:t>
      </w:r>
    </w:p>
    <w:p w14:paraId="380EC3B6">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3.交货地点：</w:t>
      </w:r>
    </w:p>
    <w:p w14:paraId="207101A6">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五、付款方式</w:t>
      </w:r>
    </w:p>
    <w:p w14:paraId="4C12B8B2">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由甲方按下列程序在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内付款：</w:t>
      </w:r>
    </w:p>
    <w:p w14:paraId="05C7419B">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1.预付款：签订合同后，支付合同总价的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BFA0F5">
      <w:pPr>
        <w:pStyle w:val="19"/>
        <w:keepNext w:val="0"/>
        <w:keepLines w:val="0"/>
        <w:pageBreakBefore w:val="0"/>
        <w:kinsoku/>
        <w:wordWrap/>
        <w:overflowPunct/>
        <w:topLinePunct w:val="0"/>
        <w:autoSpaceDE/>
        <w:autoSpaceDN/>
        <w:bidi w:val="0"/>
        <w:adjustRightInd/>
        <w:snapToGrid/>
        <w:spacing w:before="0" w:after="0" w:line="360" w:lineRule="auto"/>
        <w:ind w:left="630" w:leftChars="200" w:right="0" w:hanging="210" w:hangingChars="1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2.设备安装调试结束，提交全部报告材料，调试完成并验收合格后，支付至合同金额的</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61C5AF">
      <w:pPr>
        <w:pStyle w:val="19"/>
        <w:keepNext w:val="0"/>
        <w:keepLines w:val="0"/>
        <w:pageBreakBefore w:val="0"/>
        <w:kinsoku/>
        <w:wordWrap/>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同时无息退还乙方的合同履约保证金。</w:t>
      </w:r>
    </w:p>
    <w:p w14:paraId="6160010D">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3.从验收合格之日起，正常使用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44CD75">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575DFE">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六、质保期及售后服务要求</w:t>
      </w:r>
    </w:p>
    <w:p w14:paraId="678F4B8F">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1.本合同的质量保证期（简称“质保期”）为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(免费/有偿)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维修保养服务。</w:t>
      </w:r>
    </w:p>
    <w:p w14:paraId="3705144F">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2.质保期内，如设备或零部件因质量原因出现故障而造成短期停用时，则质保期和免费维修期相应顺延。如停用时间累计超过60天则质保期重新计算。</w:t>
      </w:r>
    </w:p>
    <w:p w14:paraId="5A3F0341">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3.对甲方的服务通知，乙方在接报后1小时内响应，4小时内到达现场，48小时内处理完毕。若在48小时内仍未能有效解决，乙方须免费提供同规格的设备予甲方临时使用。</w:t>
      </w:r>
    </w:p>
    <w:p w14:paraId="1E3B629E">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七、安装与调试</w:t>
      </w:r>
    </w:p>
    <w:p w14:paraId="486E98A4">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1.乙方必须依照招标文件的要求和报价文件的承诺，将设备、系统安装并调试至正常运行的最佳状态。</w:t>
      </w:r>
    </w:p>
    <w:p w14:paraId="6C6A22F2">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八、验收：</w:t>
      </w:r>
    </w:p>
    <w:p w14:paraId="365FB2AB">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1C3E03DF">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2.进口产品必须具备原产地证明和商检局的检验证明及合法进货渠道证明。</w:t>
      </w:r>
    </w:p>
    <w:p w14:paraId="7D5237F0">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3.货物为原厂商未启封全新包装，具出厂合格证，序列号、包装箱号与出厂批号一致，并可追索查阅。所有随设备的附件必须齐全。</w:t>
      </w:r>
    </w:p>
    <w:p w14:paraId="52B18C98">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4.乙方应将关键主机设备的用户手册、保修手册、有关单证资料及配备件、随机工具等交付给甲方，使用操作及安全须知等重要资料应附有中文说明。</w:t>
      </w:r>
    </w:p>
    <w:p w14:paraId="4F70E881">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CEE7453">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九、违约责任与赔偿损失</w:t>
      </w:r>
    </w:p>
    <w:p w14:paraId="0E35EFF3">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3DD6ED06">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2.乙方未能按本合同规定的交货时间交付货物的/提供服务，从逾期之日起每日按本合同总价3‰的数额向甲方支付违约金；逾期半个月以上的，甲方有权终止合同，由此造成的甲方经济损失由乙方承担。</w:t>
      </w:r>
    </w:p>
    <w:p w14:paraId="043B0C4E">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242AE41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.其它违约责任按《中华人民共和国民法典(合同编)》处理。</w:t>
      </w:r>
    </w:p>
    <w:p w14:paraId="06A531B2">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十、争议的解决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合同执行过程中发生的任何争议，如双方不能通过友好协商解决，按相关法律法规处理。</w:t>
      </w:r>
    </w:p>
    <w:p w14:paraId="7D3C3DCE">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十一、不可抗力</w:t>
      </w:r>
    </w:p>
    <w:p w14:paraId="043BAE40">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86DD78E">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十二、税费</w:t>
      </w:r>
    </w:p>
    <w:p w14:paraId="4FFEF4E5">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1.在中国境内、外发生的与本合同执行有关的一切税费均由乙方负担。</w:t>
      </w:r>
    </w:p>
    <w:p w14:paraId="12D6A94F">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其它</w:t>
      </w:r>
    </w:p>
    <w:p w14:paraId="54EE4988">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1.本合同所有附件、招标文件、投标文件、中标通知书均为合同的有效组成部分，与本合同具有同等法律效力。</w:t>
      </w:r>
    </w:p>
    <w:p w14:paraId="3E798EB5">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2.在执行本合同的过程中，所有经双方签署确认的文件（包括会议纪要、补充协议、往来信函）即成为本合同的有效组成部分。</w:t>
      </w:r>
    </w:p>
    <w:p w14:paraId="5CC3F4E7">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3.如一方地址、电话、传真号码有变更，应在变更当日内书面通知对方，否则，应承担相应责任。</w:t>
      </w:r>
    </w:p>
    <w:p w14:paraId="594E5862">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4.除甲方事先书面同意外，乙方不得部分或全部转让其应履行的合同项下的义务。</w:t>
      </w:r>
    </w:p>
    <w:p w14:paraId="1D526C4B">
      <w:pPr>
        <w:pStyle w:val="19"/>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十四、合同生效</w:t>
      </w:r>
    </w:p>
    <w:p w14:paraId="3A884C78">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1.本合同在甲乙双方法人代表或其授权代表签字盖章后生效。</w:t>
      </w:r>
    </w:p>
    <w:p w14:paraId="25C93847">
      <w:pPr>
        <w:pStyle w:val="19"/>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2.合同一式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w:t>
      </w:r>
    </w:p>
    <w:p w14:paraId="70987380">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B5CE8">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甲方（盖章）：</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乙方（盖章）：</w:t>
      </w:r>
    </w:p>
    <w:p w14:paraId="5795BC0D">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p>
    <w:p w14:paraId="7C1E815A">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签订地点：</w:t>
      </w:r>
    </w:p>
    <w:p w14:paraId="626EA5DF">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p>
    <w:p w14:paraId="5CA16C8F">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开户名称：</w:t>
      </w:r>
    </w:p>
    <w:p w14:paraId="4DB93683">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银行帐号：</w:t>
      </w:r>
    </w:p>
    <w:p w14:paraId="22561CFB">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 户 行：</w:t>
      </w:r>
    </w:p>
    <w:p w14:paraId="0862F88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9" w:name="_Toc26589"/>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bookmarkEnd w:id="89"/>
    </w:p>
    <w:p w14:paraId="59B65CA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bookmarkStart w:id="90" w:name="_Toc16633"/>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bookmarkEnd w:id="90"/>
    </w:p>
    <w:p w14:paraId="207F05C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YXCG-20260528</w:t>
      </w:r>
    </w:p>
    <w:p w14:paraId="7DF91495">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91" w:name="_Toc14169"/>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bookmarkEnd w:id="91"/>
    </w:p>
    <w:p w14:paraId="74FFEE6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E42DA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2" w:name="_Toc2600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格式一：投标函</w:t>
      </w:r>
      <w:bookmarkEnd w:id="92"/>
    </w:p>
    <w:p w14:paraId="76A39A0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FB71F5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3192CDAE">
      <w:pPr>
        <w:rPr>
          <w:rFonts w:hint="eastAsia"/>
          <w:color w:val="000000" w:themeColor="text1"/>
          <w:highlight w:val="none"/>
          <w14:textFill>
            <w14:solidFill>
              <w14:schemeClr w14:val="tx1"/>
            </w14:solidFill>
          </w14:textFill>
        </w:rPr>
      </w:pPr>
    </w:p>
    <w:p w14:paraId="40707F08">
      <w:pPr>
        <w:rPr>
          <w:rFonts w:hint="eastAsia"/>
          <w:color w:val="000000" w:themeColor="text1"/>
          <w:highlight w:val="none"/>
          <w14:textFill>
            <w14:solidFill>
              <w14:schemeClr w14:val="tx1"/>
            </w14:solidFill>
          </w14:textFill>
        </w:rPr>
      </w:pPr>
    </w:p>
    <w:p w14:paraId="6D305A8F">
      <w:pPr>
        <w:rPr>
          <w:rFonts w:hint="eastAsia"/>
          <w:color w:val="000000" w:themeColor="text1"/>
          <w:highlight w:val="none"/>
          <w14:textFill>
            <w14:solidFill>
              <w14:schemeClr w14:val="tx1"/>
            </w14:solidFill>
          </w14:textFill>
        </w:rPr>
      </w:pPr>
    </w:p>
    <w:p w14:paraId="701D9689">
      <w:pPr>
        <w:rPr>
          <w:rFonts w:hint="eastAsia"/>
          <w:color w:val="000000" w:themeColor="text1"/>
          <w:highlight w:val="none"/>
          <w14:textFill>
            <w14:solidFill>
              <w14:schemeClr w14:val="tx1"/>
            </w14:solidFill>
          </w14:textFill>
        </w:rPr>
      </w:pPr>
    </w:p>
    <w:p w14:paraId="5FCF5025">
      <w:pPr>
        <w:rPr>
          <w:rFonts w:hint="eastAsia"/>
          <w:color w:val="000000" w:themeColor="text1"/>
          <w:highlight w:val="none"/>
          <w14:textFill>
            <w14:solidFill>
              <w14:schemeClr w14:val="tx1"/>
            </w14:solidFill>
          </w14:textFill>
        </w:rPr>
      </w:pPr>
    </w:p>
    <w:p w14:paraId="73BD6DEC">
      <w:pPr>
        <w:rPr>
          <w:rFonts w:hint="eastAsia"/>
          <w:color w:val="000000" w:themeColor="text1"/>
          <w:highlight w:val="none"/>
          <w14:textFill>
            <w14:solidFill>
              <w14:schemeClr w14:val="tx1"/>
            </w14:solidFill>
          </w14:textFill>
        </w:rPr>
      </w:pPr>
    </w:p>
    <w:p w14:paraId="261C1F62">
      <w:pPr>
        <w:rPr>
          <w:rFonts w:hint="eastAsia"/>
          <w:color w:val="000000" w:themeColor="text1"/>
          <w:highlight w:val="none"/>
          <w14:textFill>
            <w14:solidFill>
              <w14:schemeClr w14:val="tx1"/>
            </w14:solidFill>
          </w14:textFill>
        </w:rPr>
      </w:pPr>
    </w:p>
    <w:p w14:paraId="08BA5173">
      <w:pPr>
        <w:rPr>
          <w:rFonts w:hint="eastAsia"/>
          <w:color w:val="000000" w:themeColor="text1"/>
          <w:highlight w:val="none"/>
          <w14:textFill>
            <w14:solidFill>
              <w14:schemeClr w14:val="tx1"/>
            </w14:solidFill>
          </w14:textFill>
        </w:rPr>
      </w:pPr>
    </w:p>
    <w:p w14:paraId="62E74CD5">
      <w:pPr>
        <w:rPr>
          <w:rFonts w:hint="eastAsia"/>
          <w:color w:val="000000" w:themeColor="text1"/>
          <w:highlight w:val="none"/>
          <w14:textFill>
            <w14:solidFill>
              <w14:schemeClr w14:val="tx1"/>
            </w14:solidFill>
          </w14:textFill>
        </w:rPr>
      </w:pPr>
    </w:p>
    <w:p w14:paraId="25C4A467">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E15902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3" w:name="_Toc910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格式二：开标一览表</w:t>
      </w:r>
      <w:bookmarkEnd w:id="93"/>
    </w:p>
    <w:p w14:paraId="6C181EC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B6CB39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298F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302CC1A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5DA1C13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44A3EEA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0D957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43A41DA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223E8D4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00B67F4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585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248791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102FB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4D3CA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71C07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11EBA2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2B08A">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7A8A58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4" w:name="_Toc2291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格式三：分项报价表</w:t>
      </w:r>
      <w:bookmarkEnd w:id="94"/>
    </w:p>
    <w:p w14:paraId="5EE9D84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10D23A">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30A4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7F2D6F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315F19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74809B0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4A4C0F8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20382DF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4915826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2BCED8D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3E7E8E7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60690E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1494613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81E7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3E3417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18C654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16468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C8A5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20CE4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29E58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14625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F01D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9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6A054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7333C6A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AD62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0A16FF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2519F56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F65296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F716F8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225049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0498883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6457DE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4C3A274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6B3B1D6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BE587B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7588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9B42B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667A42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85898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9F776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6A76F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4F60F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C8FCE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CA27F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6CC8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7EFBD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217A39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F5189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0D79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2F8EC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5" w:name="_Toc1895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格式四：政策适用性说明</w:t>
      </w:r>
      <w:bookmarkEnd w:id="95"/>
    </w:p>
    <w:p w14:paraId="10E51DD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94194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6" w:name="_Toc2326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bookmarkEnd w:id="96"/>
    </w:p>
    <w:p w14:paraId="29AEDC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9"/>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9"/>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E4E7">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2C90222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9"/>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153F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7" w:name="_Toc2991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证明书</w:t>
      </w:r>
      <w:bookmarkEnd w:id="97"/>
    </w:p>
    <w:p w14:paraId="1907FBA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E860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8" w:name="_Toc985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授权书</w:t>
      </w:r>
      <w:bookmarkEnd w:id="98"/>
    </w:p>
    <w:p w14:paraId="09A847A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7615FAB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9" w:name="_Toc922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格式八：投标保证金</w:t>
      </w:r>
      <w:bookmarkEnd w:id="99"/>
    </w:p>
    <w:p w14:paraId="6AEE07B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BA277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45F88A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2C320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1D7D3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0" w:name="_Toc9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格式九：提供具有独立承担民事责任的能力的证明材料</w:t>
      </w:r>
      <w:bookmarkEnd w:id="100"/>
    </w:p>
    <w:p w14:paraId="69BB158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64CE26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95184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317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1" w:name="_Toc179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格式十：资格性审查要求的其他资质证明文件</w:t>
      </w:r>
      <w:bookmarkEnd w:id="101"/>
    </w:p>
    <w:p w14:paraId="659E221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9E0ADD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CBA44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2" w:name="_Toc414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格式十一：承诺函</w:t>
      </w:r>
      <w:bookmarkEnd w:id="102"/>
    </w:p>
    <w:p w14:paraId="462DCA6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7F51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DF9205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3" w:name="_Toc346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格式十二：中小企业声明函</w:t>
      </w:r>
      <w:bookmarkEnd w:id="103"/>
    </w:p>
    <w:p w14:paraId="44FF4C1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C95CF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  </w:t>
      </w:r>
    </w:p>
    <w:p w14:paraId="62FE257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14:paraId="6DEE2D8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45C4B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C27AF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4" w:name="_Toc1495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格式十三：监狱企业</w:t>
      </w:r>
      <w:bookmarkEnd w:id="104"/>
    </w:p>
    <w:p w14:paraId="74EFF51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77BB8C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BB1AF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5" w:name="_Toc1399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格式十四：残疾人福利性单位声明函</w:t>
      </w:r>
      <w:bookmarkEnd w:id="105"/>
    </w:p>
    <w:p w14:paraId="0E3F77E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26C1E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AF5C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6" w:name="_Toc927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格式十五：联合体共同投标协议书</w:t>
      </w:r>
      <w:bookmarkEnd w:id="106"/>
    </w:p>
    <w:p w14:paraId="39CD9B4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B84E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26AA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7" w:name="_Toc1323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格式十六：投标人业绩情况表</w:t>
      </w:r>
      <w:bookmarkEnd w:id="107"/>
    </w:p>
    <w:p w14:paraId="1F96257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122D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58760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8" w:name="_Toc1617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格式十七：《技术和服务要求响应表》</w:t>
      </w:r>
      <w:bookmarkEnd w:id="108"/>
    </w:p>
    <w:p w14:paraId="70AFD6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B75D1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7B2054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9" w:name="_Toc2656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格式十八：《商务条件响应表》</w:t>
      </w:r>
      <w:bookmarkEnd w:id="109"/>
    </w:p>
    <w:p w14:paraId="518C213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C31EF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3F69855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296" w:type="dxa"/>
            <w:vAlign w:val="top"/>
          </w:tcPr>
          <w:p w14:paraId="641AF8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296" w:type="dxa"/>
            <w:vAlign w:val="top"/>
          </w:tcPr>
          <w:p w14:paraId="7B18919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296" w:type="dxa"/>
            <w:vAlign w:val="top"/>
          </w:tcPr>
          <w:p w14:paraId="56D6A0F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296" w:type="dxa"/>
            <w:vAlign w:val="top"/>
          </w:tcPr>
          <w:p w14:paraId="17504B6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296" w:type="dxa"/>
            <w:vAlign w:val="top"/>
          </w:tcPr>
          <w:p w14:paraId="7F05847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296" w:type="dxa"/>
            <w:vAlign w:val="top"/>
          </w:tcPr>
          <w:p w14:paraId="461AC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7D67B3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2F572F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296"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75B8F5D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296"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6238325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296"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4D95A4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296"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F0902A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296"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5B401F3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296"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1A0671B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296"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67B701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296"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48459CF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0" w:name="_Toc2533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格式十九：履约进度计划表</w:t>
      </w:r>
      <w:bookmarkEnd w:id="110"/>
    </w:p>
    <w:p w14:paraId="11660AF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90D71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F826E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1" w:name="_Toc2064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格式二十：各类证明材料</w:t>
      </w:r>
      <w:bookmarkEnd w:id="111"/>
    </w:p>
    <w:p w14:paraId="1E8FC8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4CFF80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88DDD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2" w:name="_Toc2847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格式二十一：采购代理服务费支付承诺书</w:t>
      </w:r>
      <w:bookmarkEnd w:id="112"/>
    </w:p>
    <w:p w14:paraId="4896881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798B7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阳江市阳东区华南师范大学附属阳东小学食堂劳务采购项目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74672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3" w:name="_Toc312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格式二十二：需要采购人提供的附加条件</w:t>
      </w:r>
      <w:bookmarkEnd w:id="113"/>
    </w:p>
    <w:p w14:paraId="6C678DB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892B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67A7D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4" w:name="_Toc3175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格式二十三：询问函、质疑函、投诉书格式</w:t>
      </w:r>
      <w:bookmarkEnd w:id="114"/>
    </w:p>
    <w:p w14:paraId="68D1F28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45FB1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4F9E0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5" w:name="_Toc138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格式二十四：项目实施方案、质量保证及售后服务承诺等内容和格式自拟</w:t>
      </w:r>
      <w:bookmarkEnd w:id="115"/>
    </w:p>
    <w:p w14:paraId="0E4751E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9"/>
        <w:rPr>
          <w:rFonts w:hint="eastAsia"/>
          <w:color w:val="000000" w:themeColor="text1"/>
          <w:highlight w:val="none"/>
          <w:lang w:val="en-US" w:eastAsia="zh-Hans"/>
          <w14:textFill>
            <w14:solidFill>
              <w14:schemeClr w14:val="tx1"/>
            </w14:solidFill>
          </w14:textFill>
        </w:rPr>
      </w:pPr>
    </w:p>
    <w:p w14:paraId="708D0FA9">
      <w:pPr>
        <w:pStyle w:val="19"/>
        <w:rPr>
          <w:rFonts w:hint="eastAsia"/>
          <w:color w:val="000000" w:themeColor="text1"/>
          <w:highlight w:val="none"/>
          <w:lang w:val="en-US" w:eastAsia="zh-Hans"/>
          <w14:textFill>
            <w14:solidFill>
              <w14:schemeClr w14:val="tx1"/>
            </w14:solidFill>
          </w14:textFill>
        </w:rPr>
      </w:pPr>
    </w:p>
    <w:p w14:paraId="334AC9EE">
      <w:pPr>
        <w:pStyle w:val="19"/>
        <w:rPr>
          <w:rFonts w:hint="eastAsia"/>
          <w:color w:val="000000" w:themeColor="text1"/>
          <w:highlight w:val="none"/>
          <w:lang w:val="en-US" w:eastAsia="zh-Hans"/>
          <w14:textFill>
            <w14:solidFill>
              <w14:schemeClr w14:val="tx1"/>
            </w14:solidFill>
          </w14:textFill>
        </w:rPr>
      </w:pPr>
    </w:p>
    <w:p w14:paraId="1CE47668">
      <w:pPr>
        <w:pStyle w:val="19"/>
        <w:rPr>
          <w:rFonts w:hint="eastAsia"/>
          <w:color w:val="000000" w:themeColor="text1"/>
          <w:highlight w:val="none"/>
          <w:lang w:val="en-US" w:eastAsia="zh-Hans"/>
          <w14:textFill>
            <w14:solidFill>
              <w14:schemeClr w14:val="tx1"/>
            </w14:solidFill>
          </w14:textFill>
        </w:rPr>
      </w:pPr>
    </w:p>
    <w:p w14:paraId="1BC77DC0">
      <w:pPr>
        <w:pStyle w:val="19"/>
        <w:rPr>
          <w:rFonts w:hint="eastAsia"/>
          <w:color w:val="000000" w:themeColor="text1"/>
          <w:highlight w:val="none"/>
          <w:lang w:val="en-US" w:eastAsia="zh-Hans"/>
          <w14:textFill>
            <w14:solidFill>
              <w14:schemeClr w14:val="tx1"/>
            </w14:solidFill>
          </w14:textFill>
        </w:rPr>
      </w:pPr>
    </w:p>
    <w:p w14:paraId="0DD684D0">
      <w:pPr>
        <w:pStyle w:val="19"/>
        <w:rPr>
          <w:rFonts w:hint="eastAsia"/>
          <w:color w:val="000000" w:themeColor="text1"/>
          <w:highlight w:val="none"/>
          <w:lang w:val="en-US" w:eastAsia="zh-Hans"/>
          <w14:textFill>
            <w14:solidFill>
              <w14:schemeClr w14:val="tx1"/>
            </w14:solidFill>
          </w14:textFill>
        </w:rPr>
      </w:pPr>
    </w:p>
    <w:p w14:paraId="23118824">
      <w:pPr>
        <w:pStyle w:val="19"/>
        <w:rPr>
          <w:rFonts w:hint="eastAsia"/>
          <w:color w:val="000000" w:themeColor="text1"/>
          <w:highlight w:val="none"/>
          <w:lang w:val="en-US" w:eastAsia="zh-Hans"/>
          <w14:textFill>
            <w14:solidFill>
              <w14:schemeClr w14:val="tx1"/>
            </w14:solidFill>
          </w14:textFill>
        </w:rPr>
      </w:pPr>
    </w:p>
    <w:p w14:paraId="39A3EB57">
      <w:pPr>
        <w:pStyle w:val="19"/>
        <w:rPr>
          <w:rFonts w:hint="eastAsia"/>
          <w:color w:val="000000" w:themeColor="text1"/>
          <w:highlight w:val="none"/>
          <w:lang w:val="en-US" w:eastAsia="zh-Hans"/>
          <w14:textFill>
            <w14:solidFill>
              <w14:schemeClr w14:val="tx1"/>
            </w14:solidFill>
          </w14:textFill>
        </w:rPr>
      </w:pPr>
    </w:p>
    <w:p w14:paraId="3A82B74E">
      <w:pPr>
        <w:pStyle w:val="19"/>
        <w:rPr>
          <w:rFonts w:hint="eastAsia"/>
          <w:color w:val="000000" w:themeColor="text1"/>
          <w:highlight w:val="none"/>
          <w:lang w:val="en-US" w:eastAsia="zh-Hans"/>
          <w14:textFill>
            <w14:solidFill>
              <w14:schemeClr w14:val="tx1"/>
            </w14:solidFill>
          </w14:textFill>
        </w:rPr>
      </w:pPr>
    </w:p>
    <w:p w14:paraId="5D04EF79">
      <w:pPr>
        <w:pStyle w:val="19"/>
        <w:rPr>
          <w:rFonts w:hint="eastAsia"/>
          <w:color w:val="000000" w:themeColor="text1"/>
          <w:highlight w:val="none"/>
          <w:lang w:val="en-US" w:eastAsia="zh-Hans"/>
          <w14:textFill>
            <w14:solidFill>
              <w14:schemeClr w14:val="tx1"/>
            </w14:solidFill>
          </w14:textFill>
        </w:rPr>
      </w:pPr>
    </w:p>
    <w:p w14:paraId="740D9E95">
      <w:pPr>
        <w:pStyle w:val="19"/>
        <w:rPr>
          <w:rFonts w:hint="eastAsia"/>
          <w:color w:val="000000" w:themeColor="text1"/>
          <w:highlight w:val="none"/>
          <w:lang w:val="en-US" w:eastAsia="zh-Hans"/>
          <w14:textFill>
            <w14:solidFill>
              <w14:schemeClr w14:val="tx1"/>
            </w14:solidFill>
          </w14:textFill>
        </w:rPr>
      </w:pPr>
    </w:p>
    <w:p w14:paraId="6F2EADD6">
      <w:pPr>
        <w:pStyle w:val="19"/>
        <w:rPr>
          <w:rFonts w:hint="eastAsia"/>
          <w:color w:val="000000" w:themeColor="text1"/>
          <w:highlight w:val="none"/>
          <w:lang w:val="en-US" w:eastAsia="zh-Hans"/>
          <w14:textFill>
            <w14:solidFill>
              <w14:schemeClr w14:val="tx1"/>
            </w14:solidFill>
          </w14:textFill>
        </w:rPr>
      </w:pPr>
    </w:p>
    <w:p w14:paraId="237296C9">
      <w:pPr>
        <w:pStyle w:val="19"/>
        <w:rPr>
          <w:rFonts w:hint="eastAsia"/>
          <w:color w:val="000000" w:themeColor="text1"/>
          <w:highlight w:val="none"/>
          <w:lang w:val="en-US" w:eastAsia="zh-Hans"/>
          <w14:textFill>
            <w14:solidFill>
              <w14:schemeClr w14:val="tx1"/>
            </w14:solidFill>
          </w14:textFill>
        </w:rPr>
      </w:pPr>
    </w:p>
    <w:p w14:paraId="6F7079CA">
      <w:pPr>
        <w:pStyle w:val="19"/>
        <w:rPr>
          <w:rFonts w:hint="eastAsia"/>
          <w:color w:val="000000" w:themeColor="text1"/>
          <w:highlight w:val="none"/>
          <w:lang w:val="en-US" w:eastAsia="zh-Hans"/>
          <w14:textFill>
            <w14:solidFill>
              <w14:schemeClr w14:val="tx1"/>
            </w14:solidFill>
          </w14:textFill>
        </w:rPr>
      </w:pPr>
    </w:p>
    <w:p w14:paraId="25E036EE">
      <w:pPr>
        <w:pStyle w:val="19"/>
        <w:rPr>
          <w:rFonts w:hint="eastAsia"/>
          <w:color w:val="000000" w:themeColor="text1"/>
          <w:highlight w:val="none"/>
          <w:lang w:val="en-US" w:eastAsia="zh-Hans"/>
          <w14:textFill>
            <w14:solidFill>
              <w14:schemeClr w14:val="tx1"/>
            </w14:solidFill>
          </w14:textFill>
        </w:rPr>
      </w:pPr>
    </w:p>
    <w:p w14:paraId="1AE79E39">
      <w:pPr>
        <w:pStyle w:val="19"/>
        <w:rPr>
          <w:rFonts w:hint="eastAsia"/>
          <w:color w:val="000000" w:themeColor="text1"/>
          <w:highlight w:val="none"/>
          <w:lang w:val="en-US" w:eastAsia="zh-Hans"/>
          <w14:textFill>
            <w14:solidFill>
              <w14:schemeClr w14:val="tx1"/>
            </w14:solidFill>
          </w14:textFill>
        </w:rPr>
      </w:pPr>
    </w:p>
    <w:p w14:paraId="2D455EC8">
      <w:pPr>
        <w:pStyle w:val="19"/>
        <w:rPr>
          <w:rFonts w:hint="eastAsia"/>
          <w:color w:val="000000" w:themeColor="text1"/>
          <w:highlight w:val="none"/>
          <w:lang w:val="en-US" w:eastAsia="zh-Hans"/>
          <w14:textFill>
            <w14:solidFill>
              <w14:schemeClr w14:val="tx1"/>
            </w14:solidFill>
          </w14:textFill>
        </w:rPr>
      </w:pPr>
    </w:p>
    <w:p w14:paraId="74F96EEC">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bCs/>
          <w:color w:val="000000" w:themeColor="text1"/>
          <w:kern w:val="0"/>
          <w:sz w:val="28"/>
          <w:szCs w:val="28"/>
          <w:highlight w:val="none"/>
          <w14:textFill>
            <w14:solidFill>
              <w14:schemeClr w14:val="tx1"/>
            </w14:solidFill>
          </w14:textFill>
        </w:rPr>
      </w:pPr>
      <w:bookmarkStart w:id="116" w:name="_Toc5955"/>
      <w:r>
        <w:rPr>
          <w:rFonts w:hint="eastAsia" w:ascii="宋体" w:hAnsi="宋体" w:eastAsia="宋体" w:cs="宋体"/>
          <w:b/>
          <w:bCs/>
          <w:color w:val="000000" w:themeColor="text1"/>
          <w:kern w:val="0"/>
          <w:sz w:val="28"/>
          <w:szCs w:val="28"/>
          <w:highlight w:val="none"/>
          <w14:textFill>
            <w14:solidFill>
              <w14:schemeClr w14:val="tx1"/>
            </w14:solidFill>
          </w14:textFill>
        </w:rPr>
        <w:t>附件</w:t>
      </w:r>
      <w:bookmarkEnd w:id="116"/>
    </w:p>
    <w:p w14:paraId="29047022">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cs="宋体"/>
          <w:b/>
          <w:bCs/>
          <w:color w:val="000000" w:themeColor="text1"/>
          <w:kern w:val="0"/>
          <w:sz w:val="32"/>
          <w:szCs w:val="32"/>
          <w:highlight w:val="none"/>
          <w14:textFill>
            <w14:solidFill>
              <w14:schemeClr w14:val="tx1"/>
            </w14:solidFill>
          </w14:textFill>
        </w:rPr>
      </w:pPr>
      <w:bookmarkStart w:id="117" w:name="_Toc28279"/>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bookmarkEnd w:id="117"/>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b/>
          <w:bCs/>
          <w:color w:val="000000" w:themeColor="text1"/>
          <w:sz w:val="44"/>
          <w:szCs w:val="44"/>
          <w:highlight w:val="none"/>
          <w14:textFill>
            <w14:solidFill>
              <w14:schemeClr w14:val="tx1"/>
            </w14:solidFill>
          </w14:textFill>
        </w:rPr>
      </w:pPr>
      <w:bookmarkStart w:id="118" w:name="_Toc15968"/>
      <w:bookmarkStart w:id="119" w:name="_Hlk534184791"/>
      <w:r>
        <w:rPr>
          <w:rFonts w:hint="eastAsia"/>
          <w:b/>
          <w:bCs/>
          <w:color w:val="000000" w:themeColor="text1"/>
          <w:sz w:val="44"/>
          <w:szCs w:val="44"/>
          <w:highlight w:val="none"/>
          <w14:textFill>
            <w14:solidFill>
              <w14:schemeClr w14:val="tx1"/>
            </w14:solidFill>
          </w14:textFill>
        </w:rPr>
        <w:t>购买标书登记表</w:t>
      </w:r>
      <w:bookmarkEnd w:id="118"/>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119"/>
    <w:p w14:paraId="1FF65EEB">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24261A6"/>
    <w:rsid w:val="025832D3"/>
    <w:rsid w:val="038C2F8B"/>
    <w:rsid w:val="039D04CA"/>
    <w:rsid w:val="04161698"/>
    <w:rsid w:val="042172CF"/>
    <w:rsid w:val="04BA09A7"/>
    <w:rsid w:val="04D05CEB"/>
    <w:rsid w:val="0566160C"/>
    <w:rsid w:val="05F15F19"/>
    <w:rsid w:val="063D4CBA"/>
    <w:rsid w:val="06E1489A"/>
    <w:rsid w:val="06FA07EB"/>
    <w:rsid w:val="070E48A8"/>
    <w:rsid w:val="075838FA"/>
    <w:rsid w:val="078D7EC3"/>
    <w:rsid w:val="083D71F3"/>
    <w:rsid w:val="09EF276F"/>
    <w:rsid w:val="0A634F0B"/>
    <w:rsid w:val="0B3A5C6C"/>
    <w:rsid w:val="0B495EAF"/>
    <w:rsid w:val="0B9C568C"/>
    <w:rsid w:val="0C7A48B8"/>
    <w:rsid w:val="0C8C24F7"/>
    <w:rsid w:val="0CA57A2F"/>
    <w:rsid w:val="0CC41D6A"/>
    <w:rsid w:val="0D6604F6"/>
    <w:rsid w:val="0DDC74AE"/>
    <w:rsid w:val="0E464928"/>
    <w:rsid w:val="0E556903"/>
    <w:rsid w:val="0E7771D7"/>
    <w:rsid w:val="108865E6"/>
    <w:rsid w:val="11230F50"/>
    <w:rsid w:val="11A07096"/>
    <w:rsid w:val="1283439D"/>
    <w:rsid w:val="14467430"/>
    <w:rsid w:val="14C940E6"/>
    <w:rsid w:val="15D942D4"/>
    <w:rsid w:val="162163A6"/>
    <w:rsid w:val="177F50ED"/>
    <w:rsid w:val="18463EA2"/>
    <w:rsid w:val="18C617AF"/>
    <w:rsid w:val="190F698A"/>
    <w:rsid w:val="193E7F56"/>
    <w:rsid w:val="1A917758"/>
    <w:rsid w:val="1AA66E7A"/>
    <w:rsid w:val="1B4D5548"/>
    <w:rsid w:val="1B882A24"/>
    <w:rsid w:val="1BF81957"/>
    <w:rsid w:val="1C101B3C"/>
    <w:rsid w:val="1C6A3ED7"/>
    <w:rsid w:val="1D0B1216"/>
    <w:rsid w:val="1D21234A"/>
    <w:rsid w:val="1D412F68"/>
    <w:rsid w:val="1D767D77"/>
    <w:rsid w:val="1D9B2B44"/>
    <w:rsid w:val="207B2D2A"/>
    <w:rsid w:val="207D242B"/>
    <w:rsid w:val="208539D6"/>
    <w:rsid w:val="21B21B9E"/>
    <w:rsid w:val="221943D6"/>
    <w:rsid w:val="22F10EAE"/>
    <w:rsid w:val="23156E23"/>
    <w:rsid w:val="234B69D8"/>
    <w:rsid w:val="23FB55E8"/>
    <w:rsid w:val="2499649D"/>
    <w:rsid w:val="24C30629"/>
    <w:rsid w:val="255F2A47"/>
    <w:rsid w:val="257007B0"/>
    <w:rsid w:val="26025181"/>
    <w:rsid w:val="26105AEF"/>
    <w:rsid w:val="26415CA9"/>
    <w:rsid w:val="2694227D"/>
    <w:rsid w:val="27167136"/>
    <w:rsid w:val="27C070A1"/>
    <w:rsid w:val="281E0CB9"/>
    <w:rsid w:val="287C121A"/>
    <w:rsid w:val="29935E30"/>
    <w:rsid w:val="299747E3"/>
    <w:rsid w:val="29DB5F49"/>
    <w:rsid w:val="2AC67A36"/>
    <w:rsid w:val="2B2A092C"/>
    <w:rsid w:val="2B51698E"/>
    <w:rsid w:val="2BB313F7"/>
    <w:rsid w:val="2D346567"/>
    <w:rsid w:val="2D5C569C"/>
    <w:rsid w:val="2DB71F51"/>
    <w:rsid w:val="2E2747FA"/>
    <w:rsid w:val="2E7D5CEC"/>
    <w:rsid w:val="2ED51684"/>
    <w:rsid w:val="2EFC463E"/>
    <w:rsid w:val="2F1429B9"/>
    <w:rsid w:val="30C97B57"/>
    <w:rsid w:val="31E367AE"/>
    <w:rsid w:val="32C43EEA"/>
    <w:rsid w:val="32FE5EB6"/>
    <w:rsid w:val="335C05C6"/>
    <w:rsid w:val="337551E4"/>
    <w:rsid w:val="340B78F6"/>
    <w:rsid w:val="34FA4631"/>
    <w:rsid w:val="35270760"/>
    <w:rsid w:val="357A4D33"/>
    <w:rsid w:val="35FC0739"/>
    <w:rsid w:val="36A93B22"/>
    <w:rsid w:val="36EA7640"/>
    <w:rsid w:val="37555A58"/>
    <w:rsid w:val="37810484"/>
    <w:rsid w:val="378555CE"/>
    <w:rsid w:val="384855BD"/>
    <w:rsid w:val="38DD7AB3"/>
    <w:rsid w:val="396226AE"/>
    <w:rsid w:val="398048E2"/>
    <w:rsid w:val="39D87235"/>
    <w:rsid w:val="3A83468A"/>
    <w:rsid w:val="3BB56AC5"/>
    <w:rsid w:val="3C425ABB"/>
    <w:rsid w:val="3C77021F"/>
    <w:rsid w:val="3CBD0327"/>
    <w:rsid w:val="3D1B3AA0"/>
    <w:rsid w:val="3E2A590C"/>
    <w:rsid w:val="3E9C5D1B"/>
    <w:rsid w:val="3F035D9A"/>
    <w:rsid w:val="3F9A2A03"/>
    <w:rsid w:val="40774C91"/>
    <w:rsid w:val="409500FD"/>
    <w:rsid w:val="415428DD"/>
    <w:rsid w:val="42075BA1"/>
    <w:rsid w:val="429F5DD9"/>
    <w:rsid w:val="4301065E"/>
    <w:rsid w:val="43544E16"/>
    <w:rsid w:val="43CA332A"/>
    <w:rsid w:val="44435C86"/>
    <w:rsid w:val="450D7972"/>
    <w:rsid w:val="451C4E7E"/>
    <w:rsid w:val="45A54CE6"/>
    <w:rsid w:val="46690BD8"/>
    <w:rsid w:val="47F70466"/>
    <w:rsid w:val="491D5CAA"/>
    <w:rsid w:val="49B303BC"/>
    <w:rsid w:val="49BE157C"/>
    <w:rsid w:val="49D217F6"/>
    <w:rsid w:val="4A340EAF"/>
    <w:rsid w:val="4B086B5A"/>
    <w:rsid w:val="4B0D06CC"/>
    <w:rsid w:val="4B2772B4"/>
    <w:rsid w:val="4B3317B5"/>
    <w:rsid w:val="4DAB1AD6"/>
    <w:rsid w:val="4E0F475B"/>
    <w:rsid w:val="4F974A08"/>
    <w:rsid w:val="4FB56C3C"/>
    <w:rsid w:val="4FCB54A7"/>
    <w:rsid w:val="509B4084"/>
    <w:rsid w:val="51695B6B"/>
    <w:rsid w:val="51CB61A4"/>
    <w:rsid w:val="52927709"/>
    <w:rsid w:val="53B316E5"/>
    <w:rsid w:val="53B52B8D"/>
    <w:rsid w:val="5488491F"/>
    <w:rsid w:val="568C47D3"/>
    <w:rsid w:val="56F75D8C"/>
    <w:rsid w:val="571D28A3"/>
    <w:rsid w:val="575925A3"/>
    <w:rsid w:val="57D460CD"/>
    <w:rsid w:val="58B02697"/>
    <w:rsid w:val="58C223CA"/>
    <w:rsid w:val="594F3C5E"/>
    <w:rsid w:val="5A0343A1"/>
    <w:rsid w:val="5A7E2464"/>
    <w:rsid w:val="5CF7615A"/>
    <w:rsid w:val="5EB90EE3"/>
    <w:rsid w:val="60562B7F"/>
    <w:rsid w:val="60A61B01"/>
    <w:rsid w:val="60AC0895"/>
    <w:rsid w:val="60BA7F29"/>
    <w:rsid w:val="62DE6052"/>
    <w:rsid w:val="63660521"/>
    <w:rsid w:val="63807109"/>
    <w:rsid w:val="63B079EF"/>
    <w:rsid w:val="63B76FCA"/>
    <w:rsid w:val="63D556A7"/>
    <w:rsid w:val="63DD630A"/>
    <w:rsid w:val="64F658D5"/>
    <w:rsid w:val="66613222"/>
    <w:rsid w:val="675F30F2"/>
    <w:rsid w:val="685E5C6B"/>
    <w:rsid w:val="68C33D20"/>
    <w:rsid w:val="68D0643D"/>
    <w:rsid w:val="68E465BF"/>
    <w:rsid w:val="693966D8"/>
    <w:rsid w:val="6B7632CC"/>
    <w:rsid w:val="6BD64493"/>
    <w:rsid w:val="6C0703C8"/>
    <w:rsid w:val="6C9205D9"/>
    <w:rsid w:val="6CCB2A08"/>
    <w:rsid w:val="6CF546C4"/>
    <w:rsid w:val="6D0C2FBA"/>
    <w:rsid w:val="6E6733A0"/>
    <w:rsid w:val="6EA166FA"/>
    <w:rsid w:val="6EAD34A8"/>
    <w:rsid w:val="6F305E87"/>
    <w:rsid w:val="6F834209"/>
    <w:rsid w:val="6F857F81"/>
    <w:rsid w:val="6FD9207B"/>
    <w:rsid w:val="70544A29"/>
    <w:rsid w:val="70595806"/>
    <w:rsid w:val="70C1148D"/>
    <w:rsid w:val="70F03B20"/>
    <w:rsid w:val="717A70B8"/>
    <w:rsid w:val="71B96608"/>
    <w:rsid w:val="71CF3736"/>
    <w:rsid w:val="71E73175"/>
    <w:rsid w:val="725231E8"/>
    <w:rsid w:val="72701D1A"/>
    <w:rsid w:val="73027B3B"/>
    <w:rsid w:val="73FE47A6"/>
    <w:rsid w:val="75CC75E6"/>
    <w:rsid w:val="76143E0D"/>
    <w:rsid w:val="77F79321"/>
    <w:rsid w:val="78056103"/>
    <w:rsid w:val="78972AD3"/>
    <w:rsid w:val="78A56B5E"/>
    <w:rsid w:val="7A1E34AC"/>
    <w:rsid w:val="7A3C3932"/>
    <w:rsid w:val="7AD85D51"/>
    <w:rsid w:val="7AEA5A84"/>
    <w:rsid w:val="7B890DF9"/>
    <w:rsid w:val="7D345B87"/>
    <w:rsid w:val="7D743B77"/>
    <w:rsid w:val="7DB44158"/>
    <w:rsid w:val="7DB55F5E"/>
    <w:rsid w:val="7E696CC0"/>
    <w:rsid w:val="7E7A7402"/>
    <w:rsid w:val="7E8C132A"/>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Body Text Indent"/>
    <w:basedOn w:val="1"/>
    <w:qFormat/>
    <w:uiPriority w:val="0"/>
    <w:pPr>
      <w:spacing w:after="120" w:afterLines="0"/>
      <w:ind w:left="420" w:leftChars="200"/>
    </w:pPr>
    <w:rPr>
      <w:rFonts w:ascii="Times New Roman" w:hAnsi="Times New Roman" w:cs="Times New Roman"/>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next w:val="5"/>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qFormat/>
    <w:uiPriority w:val="0"/>
    <w:pPr>
      <w:spacing w:after="0" w:afterLines="0"/>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styleId="20">
    <w:name w:val="Placeholder Text"/>
    <w:basedOn w:val="17"/>
    <w:semiHidden/>
    <w:qFormat/>
    <w:uiPriority w:val="99"/>
    <w:rPr>
      <w:color w:val="808080"/>
    </w:rPr>
  </w:style>
  <w:style w:type="paragraph" w:customStyle="1" w:styleId="2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2">
    <w:name w:val="XU2"/>
    <w:basedOn w:val="1"/>
    <w:qFormat/>
    <w:uiPriority w:val="0"/>
    <w:pPr>
      <w:autoSpaceDE w:val="0"/>
      <w:autoSpaceDN w:val="0"/>
      <w:adjustRightInd w:val="0"/>
      <w:spacing w:before="120" w:after="120"/>
      <w:textAlignment w:val="baseline"/>
    </w:pPr>
    <w:rPr>
      <w:b/>
      <w:kern w:val="0"/>
      <w:sz w:val="24"/>
      <w:szCs w:val="20"/>
      <w:lang w:val="fr-FR"/>
    </w:rPr>
  </w:style>
  <w:style w:type="paragraph" w:customStyle="1" w:styleId="2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6761</Words>
  <Characters>7183</Characters>
  <Lines>0</Lines>
  <Paragraphs>0</Paragraphs>
  <TotalTime>1</TotalTime>
  <ScaleCrop>false</ScaleCrop>
  <LinksUpToDate>false</LinksUpToDate>
  <CharactersWithSpaces>7331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2026-06-05T08:19:02Z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