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E2C20">
      <w:pPr>
        <w:pStyle w:val="8"/>
        <w:widowControl/>
        <w:adjustRightInd w:val="0"/>
        <w:snapToGrid w:val="0"/>
        <w:spacing w:line="360" w:lineRule="auto"/>
        <w:rPr>
          <w:rFonts w:hint="eastAsia" w:ascii="黑体" w:eastAsia="黑体"/>
          <w:bCs/>
          <w:color w:val="000000" w:themeColor="text1"/>
          <w:sz w:val="32"/>
          <w:highlight w:val="none"/>
          <w:lang w:eastAsia="zh-CN"/>
          <w14:textFill>
            <w14:solidFill>
              <w14:schemeClr w14:val="tx1"/>
            </w14:solidFill>
          </w14:textFill>
        </w:rPr>
      </w:pPr>
    </w:p>
    <w:p w14:paraId="4B26FB77">
      <w:pPr>
        <w:bidi w:val="0"/>
        <w:jc w:val="center"/>
        <w:rPr>
          <w:rFonts w:hint="eastAsia" w:asciiTheme="minorEastAsia" w:hAnsiTheme="minorEastAsia" w:eastAsiaTheme="minorEastAsia" w:cstheme="minorEastAsia"/>
          <w:b/>
          <w:bCs/>
          <w:color w:val="000000" w:themeColor="text1"/>
          <w:sz w:val="52"/>
          <w:szCs w:val="52"/>
          <w:highlight w:val="none"/>
          <w14:textFill>
            <w14:solidFill>
              <w14:schemeClr w14:val="tx1"/>
            </w14:solidFill>
          </w14:textFill>
        </w:rPr>
      </w:pPr>
    </w:p>
    <w:p w14:paraId="6F1A422D">
      <w:pPr>
        <w:bidi w:val="0"/>
        <w:jc w:val="center"/>
        <w:rPr>
          <w:rFonts w:hint="eastAsia" w:asciiTheme="minorEastAsia" w:hAnsiTheme="minorEastAsia" w:eastAsiaTheme="minorEastAsia" w:cstheme="minorEastAsia"/>
          <w:b/>
          <w:bCs/>
          <w:color w:val="000000" w:themeColor="text1"/>
          <w:sz w:val="52"/>
          <w:szCs w:val="52"/>
          <w:highlight w:val="none"/>
          <w14:textFill>
            <w14:solidFill>
              <w14:schemeClr w14:val="tx1"/>
            </w14:solidFill>
          </w14:textFill>
        </w:rPr>
      </w:pPr>
    </w:p>
    <w:p w14:paraId="0FA75861">
      <w:pPr>
        <w:bidi w:val="0"/>
        <w:rPr>
          <w:rFonts w:hint="eastAsia"/>
          <w:color w:val="000000" w:themeColor="text1"/>
          <w:highlight w:val="none"/>
          <w14:textFill>
            <w14:solidFill>
              <w14:schemeClr w14:val="tx1"/>
            </w14:solidFill>
          </w14:textFill>
        </w:rPr>
      </w:pPr>
    </w:p>
    <w:p w14:paraId="5A246B51">
      <w:pPr>
        <w:bidi w:val="0"/>
        <w:jc w:val="center"/>
        <w:rPr>
          <w:rFonts w:hint="eastAsia" w:asciiTheme="minorEastAsia" w:hAnsiTheme="minorEastAsia" w:eastAsiaTheme="minorEastAsia" w:cstheme="minorEastAsia"/>
          <w:b/>
          <w:bCs/>
          <w:color w:val="000000" w:themeColor="text1"/>
          <w:sz w:val="52"/>
          <w:szCs w:val="52"/>
          <w:highlight w:val="none"/>
          <w14:textFill>
            <w14:solidFill>
              <w14:schemeClr w14:val="tx1"/>
            </w14:solidFill>
          </w14:textFill>
        </w:rPr>
      </w:pPr>
    </w:p>
    <w:p w14:paraId="60434571">
      <w:pPr>
        <w:bidi w:val="0"/>
        <w:jc w:val="center"/>
        <w:rPr>
          <w:rFonts w:hint="eastAsia" w:asciiTheme="minorEastAsia" w:hAnsiTheme="minorEastAsia" w:eastAsiaTheme="minorEastAsia" w:cstheme="minorEastAsia"/>
          <w:b/>
          <w:bCs/>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52"/>
          <w:szCs w:val="52"/>
          <w:highlight w:val="none"/>
          <w14:textFill>
            <w14:solidFill>
              <w14:schemeClr w14:val="tx1"/>
            </w14:solidFill>
          </w14:textFill>
        </w:rPr>
        <w:t>公开招标</w:t>
      </w:r>
    </w:p>
    <w:p w14:paraId="7B92528C">
      <w:pPr>
        <w:bidi w:val="0"/>
        <w:jc w:val="cente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pPr>
    </w:p>
    <w:p w14:paraId="34E52397">
      <w:pPr>
        <w:bidi w:val="0"/>
        <w:jc w:val="cente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pPr>
    </w:p>
    <w:p w14:paraId="450F14E0">
      <w:pPr>
        <w:bidi w:val="0"/>
        <w:jc w:val="cente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t xml:space="preserve">招 </w:t>
      </w:r>
      <w:r>
        <w:rPr>
          <w:rFonts w:hint="eastAsia" w:asciiTheme="minorEastAsia" w:hAnsiTheme="minorEastAsia" w:eastAsiaTheme="minorEastAsia" w:cstheme="minorEastAsia"/>
          <w:b/>
          <w:bCs/>
          <w:color w:val="000000" w:themeColor="text1"/>
          <w:sz w:val="72"/>
          <w:szCs w:val="72"/>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t xml:space="preserve"> 标 </w:t>
      </w:r>
      <w:r>
        <w:rPr>
          <w:rFonts w:hint="eastAsia" w:asciiTheme="minorEastAsia" w:hAnsiTheme="minorEastAsia" w:eastAsiaTheme="minorEastAsia" w:cstheme="minorEastAsia"/>
          <w:b/>
          <w:bCs/>
          <w:color w:val="000000" w:themeColor="text1"/>
          <w:sz w:val="72"/>
          <w:szCs w:val="72"/>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t xml:space="preserve"> 文 </w:t>
      </w:r>
      <w:r>
        <w:rPr>
          <w:rFonts w:hint="eastAsia" w:asciiTheme="minorEastAsia" w:hAnsiTheme="minorEastAsia" w:eastAsiaTheme="minorEastAsia" w:cstheme="minorEastAsia"/>
          <w:b/>
          <w:bCs/>
          <w:color w:val="000000" w:themeColor="text1"/>
          <w:sz w:val="72"/>
          <w:szCs w:val="72"/>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t xml:space="preserve"> 件</w:t>
      </w:r>
    </w:p>
    <w:p w14:paraId="29D27A15">
      <w:pPr>
        <w:bidi w:val="0"/>
        <w:jc w:val="center"/>
        <w:rPr>
          <w:rFonts w:hint="eastAsia" w:asciiTheme="minorEastAsia" w:hAnsiTheme="minorEastAsia" w:eastAsiaTheme="minorEastAsia" w:cstheme="minorEastAsia"/>
          <w:b/>
          <w:bCs/>
          <w:color w:val="000000" w:themeColor="text1"/>
          <w:sz w:val="44"/>
          <w:szCs w:val="44"/>
          <w:highlight w:val="none"/>
          <w:lang w:eastAsia="zh-CN"/>
          <w14:textFill>
            <w14:solidFill>
              <w14:schemeClr w14:val="tx1"/>
            </w14:solidFill>
          </w14:textFill>
        </w:rPr>
      </w:pPr>
    </w:p>
    <w:p w14:paraId="60B7876F">
      <w:pPr>
        <w:bidi w:val="0"/>
        <w:jc w:val="center"/>
        <w:rPr>
          <w:rFonts w:hint="eastAsia" w:asciiTheme="minorEastAsia" w:hAnsiTheme="minorEastAsia" w:eastAsiaTheme="minorEastAsia" w:cstheme="minorEastAsia"/>
          <w:b/>
          <w:bCs/>
          <w:color w:val="000000" w:themeColor="text1"/>
          <w:sz w:val="44"/>
          <w:szCs w:val="4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44"/>
          <w:szCs w:val="4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44"/>
          <w:szCs w:val="44"/>
          <w:highlight w:val="none"/>
          <w:lang w:val="en-US" w:eastAsia="zh-CN"/>
          <w14:textFill>
            <w14:solidFill>
              <w14:schemeClr w14:val="tx1"/>
            </w14:solidFill>
          </w14:textFill>
        </w:rPr>
        <w:t>论证版</w:t>
      </w:r>
      <w:r>
        <w:rPr>
          <w:rFonts w:hint="eastAsia" w:asciiTheme="minorEastAsia" w:hAnsiTheme="minorEastAsia" w:eastAsiaTheme="minorEastAsia" w:cstheme="minorEastAsia"/>
          <w:b/>
          <w:bCs/>
          <w:color w:val="000000" w:themeColor="text1"/>
          <w:sz w:val="44"/>
          <w:szCs w:val="44"/>
          <w:highlight w:val="none"/>
          <w:lang w:eastAsia="zh-CN"/>
          <w14:textFill>
            <w14:solidFill>
              <w14:schemeClr w14:val="tx1"/>
            </w14:solidFill>
          </w14:textFill>
        </w:rPr>
        <w:t>）</w:t>
      </w:r>
    </w:p>
    <w:p w14:paraId="064B4A69">
      <w:pPr>
        <w:pStyle w:val="8"/>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14:paraId="687D0FC1">
      <w:pPr>
        <w:pStyle w:val="8"/>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2BD5D3BA">
      <w:pPr>
        <w:pStyle w:val="8"/>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0D0791A9">
      <w:pPr>
        <w:bidi w:val="0"/>
        <w:rPr>
          <w:color w:val="000000" w:themeColor="text1"/>
          <w:highlight w:val="none"/>
          <w14:textFill>
            <w14:solidFill>
              <w14:schemeClr w14:val="tx1"/>
            </w14:solidFill>
          </w14:textFill>
        </w:rPr>
      </w:pPr>
    </w:p>
    <w:tbl>
      <w:tblPr>
        <w:tblStyle w:val="15"/>
        <w:tblW w:w="7989" w:type="dxa"/>
        <w:jc w:val="center"/>
        <w:tblLayout w:type="fixed"/>
        <w:tblCellMar>
          <w:top w:w="0" w:type="dxa"/>
          <w:left w:w="108" w:type="dxa"/>
          <w:bottom w:w="0" w:type="dxa"/>
          <w:right w:w="108" w:type="dxa"/>
        </w:tblCellMar>
      </w:tblPr>
      <w:tblGrid>
        <w:gridCol w:w="1951"/>
        <w:gridCol w:w="284"/>
        <w:gridCol w:w="5754"/>
      </w:tblGrid>
      <w:tr w14:paraId="5A3C51A6">
        <w:trPr>
          <w:trHeight w:val="567" w:hRule="atLeast"/>
          <w:jc w:val="center"/>
        </w:trPr>
        <w:tc>
          <w:tcPr>
            <w:tcW w:w="1951" w:type="dxa"/>
            <w:vAlign w:val="center"/>
          </w:tcPr>
          <w:p w14:paraId="7A3F55DA">
            <w:pP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项目编号</w:t>
            </w:r>
          </w:p>
        </w:tc>
        <w:tc>
          <w:tcPr>
            <w:tcW w:w="284" w:type="dxa"/>
            <w:vAlign w:val="center"/>
          </w:tcPr>
          <w:p w14:paraId="58B83D3F">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w:t>
            </w:r>
          </w:p>
        </w:tc>
        <w:tc>
          <w:tcPr>
            <w:tcW w:w="5754" w:type="dxa"/>
            <w:vAlign w:val="center"/>
          </w:tcPr>
          <w:p w14:paraId="361C0AD5">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eastAsia="zh-CN"/>
                <w14:textFill>
                  <w14:solidFill>
                    <w14:schemeClr w14:val="tx1"/>
                  </w14:solidFill>
                </w14:textFill>
              </w:rPr>
              <w:t>YXCG-20260527</w:t>
            </w:r>
          </w:p>
        </w:tc>
      </w:tr>
      <w:tr w14:paraId="201EA358">
        <w:tblPrEx>
          <w:tblCellMar>
            <w:top w:w="0" w:type="dxa"/>
            <w:left w:w="108" w:type="dxa"/>
            <w:bottom w:w="0" w:type="dxa"/>
            <w:right w:w="108" w:type="dxa"/>
          </w:tblCellMar>
        </w:tblPrEx>
        <w:trPr>
          <w:trHeight w:val="964" w:hRule="atLeast"/>
          <w:jc w:val="center"/>
        </w:trPr>
        <w:tc>
          <w:tcPr>
            <w:tcW w:w="1951" w:type="dxa"/>
            <w:vAlign w:val="center"/>
          </w:tcPr>
          <w:p w14:paraId="46C4C6AC">
            <w:pP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项目名称</w:t>
            </w:r>
          </w:p>
        </w:tc>
        <w:tc>
          <w:tcPr>
            <w:tcW w:w="284" w:type="dxa"/>
            <w:vAlign w:val="center"/>
          </w:tcPr>
          <w:p w14:paraId="548C1013">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w:t>
            </w:r>
          </w:p>
        </w:tc>
        <w:tc>
          <w:tcPr>
            <w:tcW w:w="5754" w:type="dxa"/>
            <w:vAlign w:val="center"/>
          </w:tcPr>
          <w:p w14:paraId="50278C2B">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eastAsia="zh-CN"/>
                <w14:textFill>
                  <w14:solidFill>
                    <w14:schemeClr w14:val="tx1"/>
                  </w14:solidFill>
                </w14:textFill>
              </w:rPr>
              <w:t>阳江市阳东区华南师范大学附属阳东小学食堂大宗食材配送服务采购项目</w:t>
            </w:r>
          </w:p>
        </w:tc>
      </w:tr>
      <w:tr w14:paraId="25B4EDC8">
        <w:tblPrEx>
          <w:tblCellMar>
            <w:top w:w="0" w:type="dxa"/>
            <w:left w:w="108" w:type="dxa"/>
            <w:bottom w:w="0" w:type="dxa"/>
            <w:right w:w="108" w:type="dxa"/>
          </w:tblCellMar>
        </w:tblPrEx>
        <w:trPr>
          <w:trHeight w:val="567" w:hRule="atLeast"/>
          <w:jc w:val="center"/>
        </w:trPr>
        <w:tc>
          <w:tcPr>
            <w:tcW w:w="1951" w:type="dxa"/>
            <w:vAlign w:val="center"/>
          </w:tcPr>
          <w:p w14:paraId="635A148E">
            <w:pP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采购人</w:t>
            </w:r>
          </w:p>
        </w:tc>
        <w:tc>
          <w:tcPr>
            <w:tcW w:w="284" w:type="dxa"/>
            <w:vAlign w:val="center"/>
          </w:tcPr>
          <w:p w14:paraId="3B9DAA92">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w:t>
            </w:r>
          </w:p>
        </w:tc>
        <w:tc>
          <w:tcPr>
            <w:tcW w:w="5754" w:type="dxa"/>
            <w:vAlign w:val="center"/>
          </w:tcPr>
          <w:p w14:paraId="0DF35F5B">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eastAsia="zh-CN"/>
                <w14:textFill>
                  <w14:solidFill>
                    <w14:schemeClr w14:val="tx1"/>
                  </w14:solidFill>
                </w14:textFill>
              </w:rPr>
              <w:t>阳江市阳东区华南师范大学附属阳东小学</w:t>
            </w:r>
          </w:p>
        </w:tc>
      </w:tr>
      <w:tr w14:paraId="04EA55A4">
        <w:tblPrEx>
          <w:tblCellMar>
            <w:top w:w="0" w:type="dxa"/>
            <w:left w:w="108" w:type="dxa"/>
            <w:bottom w:w="0" w:type="dxa"/>
            <w:right w:w="108" w:type="dxa"/>
          </w:tblCellMar>
        </w:tblPrEx>
        <w:trPr>
          <w:trHeight w:val="567" w:hRule="atLeast"/>
          <w:jc w:val="center"/>
        </w:trPr>
        <w:tc>
          <w:tcPr>
            <w:tcW w:w="1951" w:type="dxa"/>
            <w:vAlign w:val="center"/>
          </w:tcPr>
          <w:p w14:paraId="173D92AD">
            <w:pP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采购代理机构</w:t>
            </w:r>
          </w:p>
        </w:tc>
        <w:tc>
          <w:tcPr>
            <w:tcW w:w="284" w:type="dxa"/>
            <w:vAlign w:val="center"/>
          </w:tcPr>
          <w:p w14:paraId="6226FD9E">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w:t>
            </w:r>
          </w:p>
        </w:tc>
        <w:tc>
          <w:tcPr>
            <w:tcW w:w="5754" w:type="dxa"/>
            <w:vAlign w:val="center"/>
          </w:tcPr>
          <w:p w14:paraId="13520CA5">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广东业信采购招标有限公司</w:t>
            </w:r>
          </w:p>
        </w:tc>
      </w:tr>
    </w:tbl>
    <w:p w14:paraId="7B6BC2A1">
      <w:pPr>
        <w:pStyle w:val="8"/>
        <w:widowControl/>
        <w:adjustRightInd w:val="0"/>
        <w:snapToGrid w:val="0"/>
        <w:spacing w:line="360" w:lineRule="auto"/>
        <w:jc w:val="center"/>
        <w:rPr>
          <w:rFonts w:hint="eastAsia" w:hAnsi="宋体"/>
          <w:b/>
          <w:bCs/>
          <w:color w:val="000000" w:themeColor="text1"/>
          <w:sz w:val="24"/>
          <w:highlight w:val="none"/>
          <w14:textFill>
            <w14:solidFill>
              <w14:schemeClr w14:val="tx1"/>
            </w14:solidFill>
          </w14:textFill>
        </w:rPr>
      </w:pPr>
    </w:p>
    <w:p w14:paraId="5AD33397">
      <w:pPr>
        <w:pStyle w:val="8"/>
        <w:widowControl/>
        <w:adjustRightInd w:val="0"/>
        <w:snapToGrid w:val="0"/>
        <w:spacing w:line="360" w:lineRule="auto"/>
        <w:jc w:val="center"/>
        <w:rPr>
          <w:rFonts w:hint="eastAsia" w:hAnsi="宋体"/>
          <w:b/>
          <w:bCs/>
          <w:color w:val="000000" w:themeColor="text1"/>
          <w:sz w:val="28"/>
          <w:szCs w:val="21"/>
          <w:highlight w:val="none"/>
          <w14:textFill>
            <w14:solidFill>
              <w14:schemeClr w14:val="tx1"/>
            </w14:solidFill>
          </w14:textFill>
        </w:rPr>
      </w:pPr>
      <w:r>
        <w:rPr>
          <w:rFonts w:hint="eastAsia" w:hAnsi="宋体"/>
          <w:b/>
          <w:bCs/>
          <w:color w:val="000000" w:themeColor="text1"/>
          <w:sz w:val="28"/>
          <w:szCs w:val="21"/>
          <w:highlight w:val="none"/>
          <w14:textFill>
            <w14:solidFill>
              <w14:schemeClr w14:val="tx1"/>
            </w14:solidFill>
          </w14:textFill>
        </w:rPr>
        <w:t>二○</w:t>
      </w:r>
      <w:r>
        <w:rPr>
          <w:rFonts w:hint="eastAsia" w:hAnsi="宋体"/>
          <w:b/>
          <w:bCs/>
          <w:color w:val="000000" w:themeColor="text1"/>
          <w:sz w:val="28"/>
          <w:szCs w:val="21"/>
          <w:highlight w:val="none"/>
          <w:lang w:val="en-US" w:eastAsia="zh-CN"/>
          <w14:textFill>
            <w14:solidFill>
              <w14:schemeClr w14:val="tx1"/>
            </w14:solidFill>
          </w14:textFill>
        </w:rPr>
        <w:t>二六</w:t>
      </w:r>
      <w:r>
        <w:rPr>
          <w:rFonts w:hint="eastAsia" w:hAnsi="宋体"/>
          <w:b/>
          <w:bCs/>
          <w:color w:val="000000" w:themeColor="text1"/>
          <w:sz w:val="28"/>
          <w:szCs w:val="21"/>
          <w:highlight w:val="none"/>
          <w14:textFill>
            <w14:solidFill>
              <w14:schemeClr w14:val="tx1"/>
            </w14:solidFill>
          </w14:textFill>
        </w:rPr>
        <w:t>年</w:t>
      </w:r>
      <w:r>
        <w:rPr>
          <w:rFonts w:hint="eastAsia" w:hAnsi="宋体"/>
          <w:b/>
          <w:bCs/>
          <w:color w:val="000000" w:themeColor="text1"/>
          <w:sz w:val="28"/>
          <w:szCs w:val="21"/>
          <w:highlight w:val="none"/>
          <w:lang w:val="en-US" w:eastAsia="zh-CN"/>
          <w14:textFill>
            <w14:solidFill>
              <w14:schemeClr w14:val="tx1"/>
            </w14:solidFill>
          </w14:textFill>
        </w:rPr>
        <w:t>六</w:t>
      </w:r>
      <w:r>
        <w:rPr>
          <w:rFonts w:hint="eastAsia" w:hAnsi="宋体"/>
          <w:b/>
          <w:bCs/>
          <w:color w:val="000000" w:themeColor="text1"/>
          <w:sz w:val="28"/>
          <w:szCs w:val="21"/>
          <w:highlight w:val="none"/>
          <w14:textFill>
            <w14:solidFill>
              <w14:schemeClr w14:val="tx1"/>
            </w14:solidFill>
          </w14:textFill>
        </w:rPr>
        <w:t>月</w:t>
      </w:r>
    </w:p>
    <w:p w14:paraId="031F3758">
      <w:pPr>
        <w:jc w:val="center"/>
        <w:rPr>
          <w:rFonts w:hint="eastAsia" w:eastAsia="宋体"/>
          <w:color w:val="000000" w:themeColor="text1"/>
          <w:highlight w:val="none"/>
          <w:lang w:eastAsia="zh-CN"/>
          <w14:textFill>
            <w14:solidFill>
              <w14:schemeClr w14:val="tx1"/>
            </w14:solidFill>
          </w14:textFill>
        </w:rPr>
      </w:pPr>
    </w:p>
    <w:p w14:paraId="4F5F7FF2">
      <w:pPr>
        <w:spacing w:before="0" w:beforeLines="0" w:after="0" w:afterLines="0" w:line="240" w:lineRule="auto"/>
        <w:ind w:left="0" w:leftChars="0" w:right="0" w:rightChars="0" w:firstLine="0" w:firstLineChars="0"/>
        <w:jc w:val="center"/>
        <w:rPr>
          <w:b/>
          <w:bCs/>
          <w:color w:val="000000" w:themeColor="text1"/>
          <w:sz w:val="32"/>
          <w:szCs w:val="32"/>
          <w:highlight w:val="none"/>
          <w14:textFill>
            <w14:solidFill>
              <w14:schemeClr w14:val="tx1"/>
            </w14:solidFill>
          </w14:textFill>
        </w:rPr>
      </w:pPr>
      <w:r>
        <w:rPr>
          <w:rFonts w:ascii="宋体" w:hAnsi="宋体" w:eastAsia="宋体"/>
          <w:b/>
          <w:bCs/>
          <w:color w:val="000000" w:themeColor="text1"/>
          <w:sz w:val="32"/>
          <w:szCs w:val="32"/>
          <w:highlight w:val="none"/>
          <w14:textFill>
            <w14:solidFill>
              <w14:schemeClr w14:val="tx1"/>
            </w14:solidFill>
          </w14:textFill>
        </w:rPr>
        <w:t>目</w:t>
      </w:r>
      <w:r>
        <w:rPr>
          <w:rFonts w:hint="eastAsia" w:ascii="宋体" w:hAnsi="宋体" w:eastAsia="宋体"/>
          <w:b/>
          <w:bCs/>
          <w:color w:val="000000" w:themeColor="text1"/>
          <w:sz w:val="32"/>
          <w:szCs w:val="32"/>
          <w:highlight w:val="none"/>
          <w:lang w:val="en-US" w:eastAsia="zh-CN"/>
          <w14:textFill>
            <w14:solidFill>
              <w14:schemeClr w14:val="tx1"/>
            </w14:solidFill>
          </w14:textFill>
        </w:rPr>
        <w:t xml:space="preserve"> </w:t>
      </w:r>
      <w:r>
        <w:rPr>
          <w:rFonts w:ascii="宋体" w:hAnsi="宋体" w:eastAsia="宋体"/>
          <w:b/>
          <w:bCs/>
          <w:color w:val="000000" w:themeColor="text1"/>
          <w:sz w:val="32"/>
          <w:szCs w:val="32"/>
          <w:highlight w:val="none"/>
          <w14:textFill>
            <w14:solidFill>
              <w14:schemeClr w14:val="tx1"/>
            </w14:solidFill>
          </w14:textFill>
        </w:rPr>
        <w:t>录</w:t>
      </w:r>
    </w:p>
    <w:p w14:paraId="3F9DEBD4">
      <w:pPr>
        <w:pStyle w:val="11"/>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TOC \o "1-3" \h \u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_Toc5465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8"/>
          <w:highlight w:val="none"/>
          <w14:textFill>
            <w14:solidFill>
              <w14:schemeClr w14:val="tx1"/>
            </w14:solidFill>
          </w14:textFill>
        </w:rPr>
        <w:t>第一章</w:t>
      </w:r>
      <w:r>
        <w:rPr>
          <w:rFonts w:hint="eastAsia" w:asciiTheme="minorEastAsia" w:hAnsiTheme="minorEastAsia" w:cstheme="minorEastAsia"/>
          <w:color w:val="000000" w:themeColor="text1"/>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8"/>
          <w:highlight w:val="none"/>
          <w14:textFill>
            <w14:solidFill>
              <w14:schemeClr w14:val="tx1"/>
            </w14:solidFill>
          </w14:textFill>
        </w:rPr>
        <w:t>投标邀请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_Toc5465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2F2F089">
      <w:pPr>
        <w:pStyle w:val="11"/>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_Toc7348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8"/>
          <w:highlight w:val="none"/>
          <w14:textFill>
            <w14:solidFill>
              <w14:schemeClr w14:val="tx1"/>
            </w14:solidFill>
          </w14:textFill>
        </w:rPr>
        <w:t>第二章 采购需求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_Toc7348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EE3AB9D">
      <w:pPr>
        <w:pStyle w:val="11"/>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_Toc14847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8"/>
          <w:highlight w:val="none"/>
          <w14:textFill>
            <w14:solidFill>
              <w14:schemeClr w14:val="tx1"/>
            </w14:solidFill>
          </w14:textFill>
        </w:rPr>
        <w:t>第三章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_Toc14847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360F84A">
      <w:pPr>
        <w:pStyle w:val="12"/>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_Toc21748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一、名词解释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_Toc21748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C13D75D">
      <w:pPr>
        <w:pStyle w:val="12"/>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_Toc17609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二、须知前附表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_Toc17609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BEA4354">
      <w:pPr>
        <w:pStyle w:val="12"/>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_Toc10146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三、说明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_Toc10146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D94F130">
      <w:pPr>
        <w:pStyle w:val="12"/>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_Toc19130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四、招标文件的澄清和修改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_Toc19130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968C54C">
      <w:pPr>
        <w:pStyle w:val="12"/>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_Toc5747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五、投标要求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_Toc5747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F6FD3F5">
      <w:pPr>
        <w:pStyle w:val="12"/>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_Toc3192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六、开标、评标和定标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FEE30B2">
      <w:pPr>
        <w:pStyle w:val="12"/>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_Toc30285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七、询问、质疑与投诉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_Toc30285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28A889B">
      <w:pPr>
        <w:pStyle w:val="12"/>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_Toc3796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八、合同签订和履行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_Toc3796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FBD3355">
      <w:pPr>
        <w:pStyle w:val="11"/>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_Toc22038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8"/>
          <w:highlight w:val="none"/>
          <w14:textFill>
            <w14:solidFill>
              <w14:schemeClr w14:val="tx1"/>
            </w14:solidFill>
          </w14:textFill>
        </w:rPr>
        <w:t>第四章 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_Toc22038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D1E2D59">
      <w:pPr>
        <w:pStyle w:val="12"/>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_Toc21752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一、评标要求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_Toc21752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93D400A">
      <w:pPr>
        <w:pStyle w:val="12"/>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_Toc1227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二</w:t>
      </w:r>
      <w:r>
        <w:rPr>
          <w:rFonts w:hint="eastAsia" w:asciiTheme="minorEastAsia" w:hAnsiTheme="minorEastAsia" w:cs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政府采购政策落实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FEF2C4B">
      <w:pPr>
        <w:pStyle w:val="12"/>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_Toc12443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三、评审程序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_Toc12443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9563486">
      <w:pPr>
        <w:pStyle w:val="11"/>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_Toc31047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8"/>
          <w:highlight w:val="none"/>
          <w14:textFill>
            <w14:solidFill>
              <w14:schemeClr w14:val="tx1"/>
            </w14:solidFill>
          </w14:textFill>
        </w:rPr>
        <w:t>第五章 合同</w:t>
      </w:r>
      <w:r>
        <w:rPr>
          <w:rFonts w:hint="eastAsia" w:asciiTheme="minorEastAsia" w:hAnsiTheme="minorEastAsia" w:cstheme="minorEastAsia"/>
          <w:color w:val="000000" w:themeColor="text1"/>
          <w:szCs w:val="28"/>
          <w:highlight w:val="none"/>
          <w:lang w:val="en-US" w:eastAsia="zh-CN"/>
          <w14:textFill>
            <w14:solidFill>
              <w14:schemeClr w14:val="tx1"/>
            </w14:solidFill>
          </w14:textFill>
        </w:rPr>
        <w:t>范</w:t>
      </w:r>
      <w:r>
        <w:rPr>
          <w:rFonts w:hint="eastAsia" w:asciiTheme="minorEastAsia" w:hAnsiTheme="minorEastAsia" w:eastAsiaTheme="minorEastAsia" w:cstheme="minorEastAsia"/>
          <w:color w:val="000000" w:themeColor="text1"/>
          <w:szCs w:val="28"/>
          <w:highlight w:val="none"/>
          <w14:textFill>
            <w14:solidFill>
              <w14:schemeClr w14:val="tx1"/>
            </w14:solidFill>
          </w14:textFill>
        </w:rPr>
        <w:t>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_Toc31047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00D1938">
      <w:pPr>
        <w:pStyle w:val="11"/>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_Toc287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8"/>
          <w:highlight w:val="none"/>
          <w14:textFill>
            <w14:solidFill>
              <w14:schemeClr w14:val="tx1"/>
            </w14:solidFill>
          </w14:textFill>
        </w:rPr>
        <w:t>第六章 投标文件格式与要求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90D5BAC">
      <w:pPr>
        <w:pStyle w:val="12"/>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_Toc12657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bCs w:val="0"/>
          <w:color w:val="000000" w:themeColor="text1"/>
          <w:szCs w:val="44"/>
          <w:highlight w:val="none"/>
          <w14:textFill>
            <w14:solidFill>
              <w14:schemeClr w14:val="tx1"/>
            </w14:solidFill>
          </w14:textFill>
        </w:rPr>
        <w:t>投标文件封面</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_Toc12657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B195DBB">
      <w:pPr>
        <w:pStyle w:val="12"/>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_Toc16540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8"/>
          <w:highlight w:val="none"/>
          <w14:textFill>
            <w14:solidFill>
              <w14:schemeClr w14:val="tx1"/>
            </w14:solidFill>
          </w14:textFill>
        </w:rPr>
        <w:t>投标文件目录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DB65B93">
      <w:pPr>
        <w:pStyle w:val="7"/>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_Toc2983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格式一：投标函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029F36F">
      <w:pPr>
        <w:pStyle w:val="7"/>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_Toc30226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格式二：开标一览表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_Toc30226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1BECD08">
      <w:pPr>
        <w:pStyle w:val="7"/>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_Toc29849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格式三：分项报价表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_Toc29849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02AC599">
      <w:pPr>
        <w:pStyle w:val="7"/>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_Toc7773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格式四：政策适用性说明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_Toc7773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F1CBB43">
      <w:pPr>
        <w:pStyle w:val="7"/>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_Toc27043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格式五：关于符合本国产品标准的声明函等有关证明文件（如适用）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_Toc27043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08DB600">
      <w:pPr>
        <w:pStyle w:val="7"/>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_Toc17826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格式六：</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_Toc17826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612A726">
      <w:pPr>
        <w:pStyle w:val="7"/>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_Toc22863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格式七：</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_Toc22863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47353D3">
      <w:pPr>
        <w:pStyle w:val="7"/>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_Toc1593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格式八：投标保证金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8F9A5E8">
      <w:pPr>
        <w:pStyle w:val="7"/>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_Toc27357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格式九：提供具有独立承担民事责任的能力的证明材料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_Toc27357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F6E8FAD">
      <w:pPr>
        <w:pStyle w:val="7"/>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_Toc20793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格式十：资格性审查要求的其他资质证明文件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_Toc20793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F3124BA">
      <w:pPr>
        <w:pStyle w:val="7"/>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_Toc7678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格式十一：承诺函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_Toc7678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4EF4FFB">
      <w:pPr>
        <w:pStyle w:val="7"/>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_Toc16914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格式十二：中小企业声明函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_Toc16914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F1FDCAF">
      <w:pPr>
        <w:pStyle w:val="7"/>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_Toc22748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格式十三：监狱企业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_Toc22748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445955A">
      <w:pPr>
        <w:pStyle w:val="7"/>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_Toc25815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格式十四：残疾人福利性单位声明函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_Toc25815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9D28873">
      <w:pPr>
        <w:pStyle w:val="7"/>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_Toc907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格式十五：联合体共同投标协议书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45F09C1">
      <w:pPr>
        <w:pStyle w:val="7"/>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_Toc1139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格式十六：投标人业绩情况表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C2AFE25">
      <w:pPr>
        <w:pStyle w:val="7"/>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_Toc15331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格式十七：《技术和服务要求响应表》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_Toc15331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3253419">
      <w:pPr>
        <w:pStyle w:val="7"/>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_Toc13195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格式十八：《商务条件响应表》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_Toc13195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F4013FB">
      <w:pPr>
        <w:pStyle w:val="7"/>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_Toc19804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格式十九：履约进度计划表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_Toc19804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6E59A83">
      <w:pPr>
        <w:pStyle w:val="7"/>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_Toc11641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格式二十：各类证明材料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_Toc11641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515BDA0">
      <w:pPr>
        <w:pStyle w:val="7"/>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_Toc13480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格式二十一：采购代理服务费支付承诺书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_Toc13480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ECB6B0C">
      <w:pPr>
        <w:pStyle w:val="7"/>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_Toc22522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格式二十二：需要采购人提供的附加条件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_Toc22522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1CD50CD">
      <w:pPr>
        <w:pStyle w:val="7"/>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_Toc29970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格式二十三：询问函、质疑函、投诉书格式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_Toc29970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D0CA189">
      <w:pPr>
        <w:pStyle w:val="7"/>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_Toc13201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格式二十四：项目实施方案、质量保证及售后服务承诺等内容和格式自拟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_Toc13201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7FB13DD">
      <w:pPr>
        <w:pStyle w:val="11"/>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_Toc30194 </w:instrText>
      </w:r>
      <w:r>
        <w:rPr>
          <w:color w:val="000000" w:themeColor="text1"/>
          <w:highlight w:val="none"/>
          <w14:textFill>
            <w14:solidFill>
              <w14:schemeClr w14:val="tx1"/>
            </w14:solidFill>
          </w14:textFill>
        </w:rPr>
        <w:fldChar w:fldCharType="separate"/>
      </w:r>
      <w:r>
        <w:rPr>
          <w:rFonts w:hint="eastAsia"/>
          <w:bCs/>
          <w:color w:val="000000" w:themeColor="text1"/>
          <w:szCs w:val="28"/>
          <w:highlight w:val="none"/>
          <w14:textFill>
            <w14:solidFill>
              <w14:schemeClr w14:val="tx1"/>
            </w14:solidFill>
          </w14:textFill>
        </w:rPr>
        <w:t>附件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_Toc30194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F15F624">
      <w:pPr>
        <w:pStyle w:val="12"/>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_Toc14244 </w:instrText>
      </w:r>
      <w:r>
        <w:rPr>
          <w:color w:val="000000" w:themeColor="text1"/>
          <w:highlight w:val="none"/>
          <w14:textFill>
            <w14:solidFill>
              <w14:schemeClr w14:val="tx1"/>
            </w14:solidFill>
          </w14:textFill>
        </w:rPr>
        <w:fldChar w:fldCharType="separate"/>
      </w:r>
      <w:r>
        <w:rPr>
          <w:rFonts w:hint="eastAsia" w:ascii="宋体" w:hAnsi="宋体" w:cs="宋体"/>
          <w:bCs/>
          <w:color w:val="000000" w:themeColor="text1"/>
          <w:kern w:val="0"/>
          <w:szCs w:val="32"/>
          <w:highlight w:val="none"/>
          <w14:textFill>
            <w14:solidFill>
              <w14:schemeClr w14:val="tx1"/>
            </w14:solidFill>
          </w14:textFill>
        </w:rPr>
        <w:t>阳江市政府采购供应商资格信用承诺函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_Toc14244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A8DF1E4">
      <w:pPr>
        <w:pStyle w:val="12"/>
        <w:tabs>
          <w:tab w:val="right" w:leader="dot" w:pos="907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_Toc4283 </w:instrText>
      </w:r>
      <w:r>
        <w:rPr>
          <w:color w:val="000000" w:themeColor="text1"/>
          <w:highlight w:val="none"/>
          <w14:textFill>
            <w14:solidFill>
              <w14:schemeClr w14:val="tx1"/>
            </w14:solidFill>
          </w14:textFill>
        </w:rPr>
        <w:fldChar w:fldCharType="separate"/>
      </w:r>
      <w:r>
        <w:rPr>
          <w:rFonts w:hint="eastAsia"/>
          <w:bCs/>
          <w:color w:val="000000" w:themeColor="text1"/>
          <w:szCs w:val="44"/>
          <w:highlight w:val="none"/>
          <w14:textFill>
            <w14:solidFill>
              <w14:schemeClr w14:val="tx1"/>
            </w14:solidFill>
          </w14:textFill>
        </w:rPr>
        <w:t>购买标书登记表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_Toc4283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96DAF33">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end"/>
      </w:r>
    </w:p>
    <w:p w14:paraId="183BE9AD">
      <w:pPr>
        <w:rPr>
          <w:color w:val="000000" w:themeColor="text1"/>
          <w:highlight w:val="none"/>
          <w14:textFill>
            <w14:solidFill>
              <w14:schemeClr w14:val="tx1"/>
            </w14:solidFill>
          </w14:textFill>
        </w:rPr>
      </w:pPr>
    </w:p>
    <w:p w14:paraId="6D2926E5">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3692808D">
      <w:pPr>
        <w:pStyle w:val="18"/>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bookmarkStart w:id="0" w:name="_Toc5465"/>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第一章</w:t>
      </w:r>
      <w:r>
        <w:rPr>
          <w:rFonts w:hint="eastAsia" w:asciiTheme="minorEastAsia" w:hAnsiTheme="minorEastAsia" w:cstheme="minorEastAsia"/>
          <w:b/>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投标邀请</w:t>
      </w:r>
      <w:bookmarkEnd w:id="0"/>
    </w:p>
    <w:p w14:paraId="152FE80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受</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阳江市阳东区华南师范大学附属阳东小学</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的委托，采用公开招标方式组织采购</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阳江市阳东区华南师范大学附属阳东小学食堂大宗食材配送服务采购项目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。欢迎符合资格条件的国内供应商参加投标。</w:t>
      </w:r>
    </w:p>
    <w:p w14:paraId="75D5FF0D">
      <w:pPr>
        <w:pStyle w:val="18"/>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一.项目概述</w:t>
      </w:r>
    </w:p>
    <w:p w14:paraId="29DC24EE">
      <w:pPr>
        <w:pStyle w:val="18"/>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1.名称与编号</w:t>
      </w:r>
    </w:p>
    <w:p w14:paraId="4F7D286E">
      <w:pPr>
        <w:pStyle w:val="18"/>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阳江市阳东区华南师范大学附属阳东小学食堂大宗食材配送服务采购项目</w:t>
      </w:r>
    </w:p>
    <w:p w14:paraId="1409E65B">
      <w:pPr>
        <w:pStyle w:val="18"/>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采购项目编号：</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YXCG-20260527</w:t>
      </w:r>
    </w:p>
    <w:p w14:paraId="704EAF9D">
      <w:pPr>
        <w:pStyle w:val="18"/>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采购方式：公开招标</w:t>
      </w:r>
    </w:p>
    <w:p w14:paraId="22F06AFF">
      <w:pPr>
        <w:pStyle w:val="18"/>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预算金额：</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4533300.00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元</w:t>
      </w:r>
    </w:p>
    <w:p w14:paraId="2D029601">
      <w:pPr>
        <w:pStyle w:val="18"/>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2.项目内容及需求情况（采购项目技术规格、参数及要求）</w:t>
      </w:r>
    </w:p>
    <w:p w14:paraId="36368941">
      <w:pPr>
        <w:pStyle w:val="18"/>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color w:val="000000" w:themeColor="text1"/>
          <w:szCs w:val="21"/>
          <w:highlight w:val="none"/>
          <w:lang w:val="en-US" w:eastAsia="zh-CN"/>
          <w14:textFill>
            <w14:solidFill>
              <w14:schemeClr w14:val="tx1"/>
            </w14:solidFill>
          </w14:textFill>
        </w:rPr>
        <w:t>阳江市阳东区华南师范大学附属阳东小学食堂大宗食材配送服务采购项目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9070426">
      <w:pPr>
        <w:pStyle w:val="18"/>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采购包预算金额：</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4533300.00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元</w:t>
      </w:r>
    </w:p>
    <w:tbl>
      <w:tblPr>
        <w:tblStyle w:val="15"/>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6"/>
        <w:gridCol w:w="1367"/>
        <w:gridCol w:w="2850"/>
        <w:gridCol w:w="1296"/>
        <w:gridCol w:w="1296"/>
        <w:gridCol w:w="1296"/>
      </w:tblGrid>
      <w:tr w14:paraId="421197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66" w:type="dxa"/>
            <w:vAlign w:val="center"/>
          </w:tcPr>
          <w:p w14:paraId="7FF0A711">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品目号</w:t>
            </w:r>
          </w:p>
        </w:tc>
        <w:tc>
          <w:tcPr>
            <w:tcW w:w="1367" w:type="dxa"/>
            <w:vAlign w:val="center"/>
          </w:tcPr>
          <w:p w14:paraId="3BFEAC3B">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品目名称</w:t>
            </w:r>
          </w:p>
        </w:tc>
        <w:tc>
          <w:tcPr>
            <w:tcW w:w="2850" w:type="dxa"/>
            <w:vAlign w:val="center"/>
          </w:tcPr>
          <w:p w14:paraId="762C3C92">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采购标的</w:t>
            </w:r>
          </w:p>
        </w:tc>
        <w:tc>
          <w:tcPr>
            <w:tcW w:w="1296" w:type="dxa"/>
            <w:vAlign w:val="center"/>
          </w:tcPr>
          <w:p w14:paraId="1170525C">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数量（单位）</w:t>
            </w:r>
          </w:p>
        </w:tc>
        <w:tc>
          <w:tcPr>
            <w:tcW w:w="1296" w:type="dxa"/>
            <w:vAlign w:val="center"/>
          </w:tcPr>
          <w:p w14:paraId="2F3E3B03">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技术规格、参数及要求</w:t>
            </w:r>
          </w:p>
        </w:tc>
        <w:tc>
          <w:tcPr>
            <w:tcW w:w="1296" w:type="dxa"/>
            <w:vAlign w:val="center"/>
          </w:tcPr>
          <w:p w14:paraId="306DCC2B">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是否允许进口产品</w:t>
            </w:r>
          </w:p>
        </w:tc>
      </w:tr>
      <w:tr w14:paraId="0FC603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66" w:type="dxa"/>
            <w:vAlign w:val="center"/>
          </w:tcPr>
          <w:p w14:paraId="46DDC788">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w:t>
            </w:r>
          </w:p>
        </w:tc>
        <w:tc>
          <w:tcPr>
            <w:tcW w:w="1367" w:type="dxa"/>
            <w:vAlign w:val="center"/>
          </w:tcPr>
          <w:p w14:paraId="637D7D40">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其他服务</w:t>
            </w:r>
          </w:p>
        </w:tc>
        <w:tc>
          <w:tcPr>
            <w:tcW w:w="2850" w:type="dxa"/>
            <w:vAlign w:val="center"/>
          </w:tcPr>
          <w:p w14:paraId="2146208F">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阳江市阳东区华南师范大学附属阳东小学食堂大宗食材配送服务采购</w:t>
            </w:r>
          </w:p>
        </w:tc>
        <w:tc>
          <w:tcPr>
            <w:tcW w:w="1296" w:type="dxa"/>
            <w:vAlign w:val="center"/>
          </w:tcPr>
          <w:p w14:paraId="1DB0D46A">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项</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c>
          <w:tcPr>
            <w:tcW w:w="1296" w:type="dxa"/>
            <w:vAlign w:val="center"/>
          </w:tcPr>
          <w:p w14:paraId="4C8E9459">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详见第二章</w:t>
            </w:r>
          </w:p>
        </w:tc>
        <w:tc>
          <w:tcPr>
            <w:tcW w:w="1296" w:type="dxa"/>
            <w:vAlign w:val="center"/>
          </w:tcPr>
          <w:p w14:paraId="5C1E65E1">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否</w:t>
            </w:r>
          </w:p>
        </w:tc>
      </w:tr>
    </w:tbl>
    <w:p w14:paraId="7483E6FC">
      <w:pPr>
        <w:pStyle w:val="18"/>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p>
    <w:p w14:paraId="65109642">
      <w:pPr>
        <w:pStyle w:val="18"/>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合同分包：不允许合同分包</w:t>
      </w:r>
    </w:p>
    <w:p w14:paraId="36DD5BE6">
      <w:pPr>
        <w:pStyle w:val="18"/>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合同履行期限：</w:t>
      </w:r>
      <w:r>
        <w:rPr>
          <w:rFonts w:hint="eastAsia" w:ascii="宋体" w:hAnsi="宋体" w:eastAsia="宋体" w:cs="宋体"/>
          <w:color w:val="000000" w:themeColor="text1"/>
          <w:sz w:val="21"/>
          <w:szCs w:val="21"/>
          <w:highlight w:val="none"/>
          <w:lang w:val="en-US" w:eastAsia="zh-CN"/>
          <w14:textFill>
            <w14:solidFill>
              <w14:schemeClr w14:val="tx1"/>
            </w14:solidFill>
          </w14:textFill>
        </w:rPr>
        <w:t>2026年9月1日至2027年8月31日（为期壹年）。（超出该服务期作无效投标处理）</w:t>
      </w:r>
    </w:p>
    <w:p w14:paraId="38EB562C">
      <w:pPr>
        <w:pStyle w:val="18"/>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二.投标人的资格要求</w:t>
      </w:r>
    </w:p>
    <w:p w14:paraId="24E94B23">
      <w:pPr>
        <w:pStyle w:val="18"/>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1.投标人应具备《中华人民共和国政府采购法》第二十二条规定的条件，提供下列材料：</w:t>
      </w:r>
    </w:p>
    <w:p w14:paraId="271A913D">
      <w:pPr>
        <w:pStyle w:val="18"/>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1）具有独立承担民事责任的能力：在中华人民共和国境内注册的法人或其他组织或自然人， 投</w:t>
      </w:r>
    </w:p>
    <w:p w14:paraId="7462F864">
      <w:pPr>
        <w:pStyle w:val="18"/>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标（响应）时提交有效的营业执照（或事业法人登记证或身份证等相关证明） 副本复印件。分支机构投标的，须提供总公司和分公司营业执照副本复印件，总公司出具给分支机构的授权书。</w:t>
      </w:r>
    </w:p>
    <w:p w14:paraId="75FFFAA8">
      <w:pPr>
        <w:pStyle w:val="18"/>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有依法缴纳税收和社会保障资金的良好记录：提供投标截止日前6个月内任意1个月依法缴</w:t>
      </w:r>
    </w:p>
    <w:p w14:paraId="3F51D827">
      <w:pPr>
        <w:pStyle w:val="18"/>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纳税收和社会保障资金的相关材料或出具《承诺函》。如依法免税或不需要缴纳社会保障资金的，提供相应证明材料。</w:t>
      </w:r>
    </w:p>
    <w:p w14:paraId="7190A8B1">
      <w:pPr>
        <w:pStyle w:val="18"/>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具有良好的商业信誉和健全的财务会计制度：投标人必须具有良好的商业信誉和健全的财务</w:t>
      </w:r>
    </w:p>
    <w:p w14:paraId="02F9CBCE">
      <w:pPr>
        <w:pStyle w:val="18"/>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会计制度（提供202</w:t>
      </w: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年度财务状况报告或202</w:t>
      </w: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年至今任意一个月的财务报表或基本开户行出具的资信证明或出具《承诺函》）。</w:t>
      </w:r>
    </w:p>
    <w:p w14:paraId="282AA8B8">
      <w:pPr>
        <w:pStyle w:val="18"/>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4）履行合同所必需的设备和专业技术能力：</w:t>
      </w: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提供</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设备及专业技术能力情况或出具《承诺函》。</w:t>
      </w:r>
    </w:p>
    <w:p w14:paraId="5F143DCA">
      <w:pPr>
        <w:pStyle w:val="18"/>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5）参加采购活动前3年内，在经营活动中没有重大违法记录：</w:t>
      </w: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提供</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11011585">
      <w:pPr>
        <w:pStyle w:val="18"/>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2.落实政府采购政策需满足的资格要求：</w:t>
      </w:r>
    </w:p>
    <w:p w14:paraId="3EFC7425">
      <w:pPr>
        <w:pStyle w:val="18"/>
        <w:keepNext w:val="0"/>
        <w:keepLines w:val="0"/>
        <w:pageBreakBefore w:val="0"/>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采购包1(阳江市阳东区华南师范大学附属阳东小学食堂大宗食材配送服务采购项目)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：本项目整体专门面向中小企业采购。</w:t>
      </w:r>
    </w:p>
    <w:p w14:paraId="099BCB7A">
      <w:pPr>
        <w:pStyle w:val="18"/>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3.本项目特定的资格要求：</w:t>
      </w:r>
    </w:p>
    <w:p w14:paraId="3898C1BB">
      <w:pPr>
        <w:pStyle w:val="18"/>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采购包1(阳江市阳东区华南师范大学附属阳东小学食堂大宗食材配送服务采购项目)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545999F8">
      <w:pPr>
        <w:pStyle w:val="18"/>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6ED1781B">
      <w:pPr>
        <w:pStyle w:val="18"/>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p w14:paraId="56AFF1A1">
      <w:pPr>
        <w:keepNext w:val="0"/>
        <w:keepLines w:val="0"/>
        <w:pageBreakBefore w:val="0"/>
        <w:widowControl/>
        <w:kinsoku/>
        <w:wordWrap/>
        <w:overflowPunct/>
        <w:topLinePunct w:val="0"/>
        <w:autoSpaceDE/>
        <w:autoSpaceDN/>
        <w:bidi w:val="0"/>
        <w:adjustRightInd w:val="0"/>
        <w:snapToGrid w:val="0"/>
        <w:spacing w:line="360" w:lineRule="auto"/>
        <w:textAlignment w:val="auto"/>
        <w:outlineLvl w:val="9"/>
        <w:rPr>
          <w:rFonts w:hint="eastAsia" w:ascii="宋体" w:hAnsi="宋体"/>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投标</w:t>
      </w:r>
      <w:r>
        <w:rPr>
          <w:rFonts w:hint="eastAsia" w:ascii="宋体" w:hAnsi="宋体"/>
          <w:color w:val="000000" w:themeColor="text1"/>
          <w:highlight w:val="none"/>
          <w:lang w:eastAsia="zh-CN"/>
          <w14:textFill>
            <w14:solidFill>
              <w14:schemeClr w14:val="tx1"/>
            </w14:solidFill>
          </w14:textFill>
        </w:rPr>
        <w:t>人</w:t>
      </w:r>
      <w:r>
        <w:rPr>
          <w:rFonts w:hint="eastAsia" w:ascii="宋体" w:hAnsi="宋体"/>
          <w:color w:val="000000" w:themeColor="text1"/>
          <w:highlight w:val="none"/>
          <w14:textFill>
            <w14:solidFill>
              <w14:schemeClr w14:val="tx1"/>
            </w14:solidFill>
          </w14:textFill>
        </w:rPr>
        <w:t>须具有在有效期内的《食品经营许可证》，提供复印件加盖投标</w:t>
      </w:r>
      <w:r>
        <w:rPr>
          <w:rFonts w:hint="eastAsia" w:ascii="宋体" w:hAnsi="宋体"/>
          <w:color w:val="000000" w:themeColor="text1"/>
          <w:highlight w:val="none"/>
          <w:lang w:eastAsia="zh-CN"/>
          <w14:textFill>
            <w14:solidFill>
              <w14:schemeClr w14:val="tx1"/>
            </w14:solidFill>
          </w14:textFill>
        </w:rPr>
        <w:t>人</w:t>
      </w:r>
      <w:r>
        <w:rPr>
          <w:rFonts w:hint="eastAsia" w:ascii="宋体" w:hAnsi="宋体"/>
          <w:color w:val="000000" w:themeColor="text1"/>
          <w:highlight w:val="none"/>
          <w14:textFill>
            <w14:solidFill>
              <w14:schemeClr w14:val="tx1"/>
            </w14:solidFill>
          </w14:textFill>
        </w:rPr>
        <w:t>公章；</w:t>
      </w:r>
    </w:p>
    <w:p w14:paraId="514CDF8E">
      <w:pPr>
        <w:keepNext w:val="0"/>
        <w:keepLines w:val="0"/>
        <w:pageBreakBefore w:val="0"/>
        <w:widowControl/>
        <w:kinsoku/>
        <w:wordWrap/>
        <w:overflowPunct/>
        <w:topLinePunct w:val="0"/>
        <w:autoSpaceDE/>
        <w:autoSpaceDN/>
        <w:bidi w:val="0"/>
        <w:adjustRightInd w:val="0"/>
        <w:snapToGrid w:val="0"/>
        <w:spacing w:line="360" w:lineRule="auto"/>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4）</w:t>
      </w:r>
      <w:r>
        <w:rPr>
          <w:rFonts w:hint="eastAsia" w:ascii="宋体" w:hAnsi="宋体"/>
          <w:color w:val="000000" w:themeColor="text1"/>
          <w:highlight w:val="none"/>
          <w14:textFill>
            <w14:solidFill>
              <w14:schemeClr w14:val="tx1"/>
            </w14:solidFill>
          </w14:textFill>
        </w:rPr>
        <w:t>经营场所、仓库距离粪坑、污水池、暴露垃圾场（站）、旱厕等污染源25米以上，不得设置在粉尘、有害气体、放射性物质和其他扩散性污染源的影响范围之内。（提供承诺函，格式自拟）</w:t>
      </w:r>
    </w:p>
    <w:p w14:paraId="4D6EF9F1">
      <w:pPr>
        <w:keepNext w:val="0"/>
        <w:keepLines w:val="0"/>
        <w:pageBreakBefore w:val="0"/>
        <w:widowControl/>
        <w:kinsoku/>
        <w:wordWrap/>
        <w:overflowPunct/>
        <w:topLinePunct w:val="0"/>
        <w:autoSpaceDE/>
        <w:autoSpaceDN/>
        <w:bidi w:val="0"/>
        <w:adjustRightInd w:val="0"/>
        <w:snapToGrid w:val="0"/>
        <w:spacing w:line="360" w:lineRule="auto"/>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5）</w:t>
      </w:r>
      <w:r>
        <w:rPr>
          <w:rFonts w:hint="eastAsia" w:ascii="宋体" w:hAnsi="宋体"/>
          <w:color w:val="000000" w:themeColor="text1"/>
          <w:highlight w:val="none"/>
          <w14:textFill>
            <w14:solidFill>
              <w14:schemeClr w14:val="tx1"/>
            </w14:solidFill>
          </w14:textFill>
        </w:rPr>
        <w:t>建立良好的食品安全管理体系，建立食品安全管理架构和相关食品安全管理制度，建立“日管控、周排查、月调度”食品安全自查制度，食品采购、贮存、加工、运输符合相关法律法规要求。（提供承诺函，格式自拟）</w:t>
      </w:r>
    </w:p>
    <w:p w14:paraId="72D84A06">
      <w:pPr>
        <w:keepNext w:val="0"/>
        <w:keepLines w:val="0"/>
        <w:pageBreakBefore w:val="0"/>
        <w:widowControl/>
        <w:kinsoku/>
        <w:wordWrap/>
        <w:overflowPunct/>
        <w:topLinePunct w:val="0"/>
        <w:autoSpaceDE/>
        <w:autoSpaceDN/>
        <w:bidi w:val="0"/>
        <w:adjustRightInd w:val="0"/>
        <w:snapToGrid w:val="0"/>
        <w:spacing w:line="360" w:lineRule="auto"/>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6）</w:t>
      </w:r>
      <w:r>
        <w:rPr>
          <w:rFonts w:hint="eastAsia" w:ascii="宋体" w:hAnsi="宋体"/>
          <w:color w:val="000000" w:themeColor="text1"/>
          <w:highlight w:val="none"/>
          <w14:textFill>
            <w14:solidFill>
              <w14:schemeClr w14:val="tx1"/>
            </w14:solidFill>
          </w14:textFill>
        </w:rPr>
        <w:t>建有监控系统，能够保存15天或以上的食品贮存、加工过程视频监控。（提供承诺函，格式自拟）</w:t>
      </w:r>
    </w:p>
    <w:p w14:paraId="1AB85752">
      <w:pPr>
        <w:keepNext w:val="0"/>
        <w:keepLines w:val="0"/>
        <w:pageBreakBefore w:val="0"/>
        <w:widowControl/>
        <w:kinsoku/>
        <w:wordWrap/>
        <w:overflowPunct/>
        <w:topLinePunct w:val="0"/>
        <w:autoSpaceDE/>
        <w:autoSpaceDN/>
        <w:bidi w:val="0"/>
        <w:adjustRightInd w:val="0"/>
        <w:snapToGrid w:val="0"/>
        <w:spacing w:line="360" w:lineRule="auto"/>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7）</w:t>
      </w:r>
      <w:r>
        <w:rPr>
          <w:rFonts w:hint="eastAsia" w:ascii="宋体" w:hAnsi="宋体"/>
          <w:color w:val="000000" w:themeColor="text1"/>
          <w:highlight w:val="none"/>
          <w14:textFill>
            <w14:solidFill>
              <w14:schemeClr w14:val="tx1"/>
            </w14:solidFill>
          </w14:textFill>
        </w:rPr>
        <w:t>本项目不接受联合体投标。</w:t>
      </w:r>
    </w:p>
    <w:p w14:paraId="13B3DF8B">
      <w:pPr>
        <w:pStyle w:val="18"/>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投标人须在采购</w:t>
      </w:r>
      <w:r>
        <w:rPr>
          <w:rFonts w:hint="eastAsia" w:ascii="宋体" w:hAnsi="宋体" w:eastAsia="宋体" w:cs="宋体"/>
          <w:color w:val="000000" w:themeColor="text1"/>
          <w:sz w:val="21"/>
          <w:szCs w:val="21"/>
          <w:highlight w:val="none"/>
          <w14:textFill>
            <w14:solidFill>
              <w14:schemeClr w14:val="tx1"/>
            </w14:solidFill>
          </w14:textFill>
        </w:rPr>
        <w:t>代理机构登记并购买</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w:t>
      </w:r>
      <w:r>
        <w:rPr>
          <w:rFonts w:hint="eastAsia" w:ascii="宋体" w:hAnsi="宋体" w:eastAsia="宋体" w:cs="宋体"/>
          <w:color w:val="000000" w:themeColor="text1"/>
          <w:sz w:val="21"/>
          <w:szCs w:val="21"/>
          <w:highlight w:val="none"/>
          <w14:textFill>
            <w14:solidFill>
              <w14:schemeClr w14:val="tx1"/>
            </w14:solidFill>
          </w14:textFill>
        </w:rPr>
        <w:t>文件。</w:t>
      </w:r>
    </w:p>
    <w:p w14:paraId="607921E9">
      <w:pPr>
        <w:pStyle w:val="18"/>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三.购买招标文件的时间、地点、方式及招标文件售价</w:t>
      </w:r>
    </w:p>
    <w:p w14:paraId="663ECCF8">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315" w:hanging="315" w:hangingChars="150"/>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2026年6月5日</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2026年6月12日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14:paraId="212D1108">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w:t>
      </w:r>
      <w:r>
        <w:rPr>
          <w:rFonts w:hint="eastAsia" w:ascii="宋体" w:hAnsi="宋体" w:eastAsia="宋体" w:cs="宋体"/>
          <w:color w:val="000000" w:themeColor="text1"/>
          <w:szCs w:val="21"/>
          <w:highlight w:val="none"/>
          <w14:textFill>
            <w14:solidFill>
              <w14:schemeClr w14:val="tx1"/>
            </w14:solidFill>
          </w14:textFill>
        </w:rPr>
        <w:t>205室。</w:t>
      </w:r>
    </w:p>
    <w:p w14:paraId="42836859">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招标文件每套人民币500元，售后不退</w:t>
      </w:r>
      <w:r>
        <w:rPr>
          <w:rFonts w:hint="eastAsia" w:ascii="宋体" w:hAnsi="宋体" w:eastAsia="宋体" w:cs="宋体"/>
          <w:bCs/>
          <w:color w:val="000000" w:themeColor="text1"/>
          <w:highlight w:val="none"/>
          <w14:textFill>
            <w14:solidFill>
              <w14:schemeClr w14:val="tx1"/>
            </w14:solidFill>
          </w14:textFill>
        </w:rPr>
        <w:t>。</w:t>
      </w:r>
    </w:p>
    <w:p w14:paraId="026162ED">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100" w:hanging="210" w:hangingChars="100"/>
        <w:textAlignment w:val="auto"/>
        <w:outlineLvl w:val="9"/>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14:paraId="34AEE131">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100" w:hanging="210" w:hangingChars="100"/>
        <w:textAlignment w:val="auto"/>
        <w:outlineLvl w:val="9"/>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14:paraId="22440D6C">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659" w:leftChars="164" w:hanging="315" w:hangingChars="150"/>
        <w:textAlignment w:val="auto"/>
        <w:outlineLvl w:val="9"/>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复印件和相关资质证书复印件及《购买标书登记表》加盖投标人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报名时投标单位的资料与以上报名条件不符合、不齐全、复印件不清晰或未盖投标人公章的将不予受理</w:t>
      </w:r>
      <w:r>
        <w:rPr>
          <w:rFonts w:hint="eastAsia" w:ascii="宋体" w:hAnsi="宋体" w:eastAsia="宋体" w:cs="宋体"/>
          <w:bCs/>
          <w:color w:val="000000" w:themeColor="text1"/>
          <w:highlight w:val="none"/>
          <w14:textFill>
            <w14:solidFill>
              <w14:schemeClr w14:val="tx1"/>
            </w14:solidFill>
          </w14:textFill>
        </w:rPr>
        <w:t>。</w:t>
      </w:r>
    </w:p>
    <w:p w14:paraId="79F23F04">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660" w:leftChars="164" w:hanging="316" w:hangingChars="150"/>
        <w:textAlignment w:val="auto"/>
        <w:outlineLvl w:val="9"/>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w:t>
      </w:r>
      <w:r>
        <w:rPr>
          <w:rFonts w:hint="eastAsia" w:ascii="宋体" w:hAnsi="宋体" w:eastAsia="宋体" w:cs="宋体"/>
          <w:b w:val="0"/>
          <w:bCs w:val="0"/>
          <w:color w:val="000000" w:themeColor="text1"/>
          <w:highlight w:val="none"/>
          <w14:textFill>
            <w14:solidFill>
              <w14:schemeClr w14:val="tx1"/>
            </w14:solidFill>
          </w14:textFill>
        </w:rPr>
        <w:t>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w:t>
      </w:r>
      <w:r>
        <w:rPr>
          <w:rFonts w:hint="eastAsia" w:ascii="宋体" w:hAnsi="宋体" w:eastAsia="宋体" w:cs="宋体"/>
          <w:b/>
          <w:bCs/>
          <w:color w:val="000000" w:themeColor="text1"/>
          <w:highlight w:val="none"/>
          <w14:textFill>
            <w14:solidFill>
              <w14:schemeClr w14:val="tx1"/>
            </w14:solidFill>
          </w14:textFill>
        </w:rPr>
        <w:t>截图。（证明文件须加盖投标人公章）（以采购代理机构或采购人查询结果为准，如相关失信记录已失效，供应商需提供相关证明资料）。</w:t>
      </w:r>
    </w:p>
    <w:p w14:paraId="1955268A">
      <w:pPr>
        <w:pStyle w:val="18"/>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四.</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招标文件的公示</w:t>
      </w:r>
    </w:p>
    <w:p w14:paraId="36764E8F">
      <w:pPr>
        <w:keepNext w:val="0"/>
        <w:keepLines w:val="0"/>
        <w:pageBreakBefore w:val="0"/>
        <w:kinsoku/>
        <w:wordWrap/>
        <w:overflowPunct/>
        <w:topLinePunct w:val="0"/>
        <w:autoSpaceDE/>
        <w:autoSpaceDN/>
        <w:bidi w:val="0"/>
        <w:spacing w:line="360" w:lineRule="auto"/>
        <w:ind w:firstLine="210" w:firstLineChars="100"/>
        <w:textAlignment w:val="auto"/>
        <w:outlineLvl w:val="9"/>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招标文件公示时</w:t>
      </w:r>
      <w:r>
        <w:rPr>
          <w:rFonts w:hint="eastAsia" w:ascii="宋体" w:hAnsi="宋体" w:eastAsia="宋体" w:cs="宋体"/>
          <w:bCs/>
          <w:color w:val="000000" w:themeColor="text1"/>
          <w:highlight w:val="none"/>
          <w14:textFill>
            <w14:solidFill>
              <w14:schemeClr w14:val="tx1"/>
            </w14:solidFill>
          </w14:textFill>
        </w:rPr>
        <w:t>间及下载：</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3e06b179-ff53-448b-b9eb-3ff6c55a5c19}"/>
          </w:placeholder>
          <w:date w:fullDate="2026-06-05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2026年6月5日</w:t>
          </w:r>
        </w:sdtContent>
      </w:sdt>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2026年6月12日</w:t>
      </w:r>
      <w:r>
        <w:rPr>
          <w:rFonts w:hint="eastAsia" w:ascii="宋体" w:hAnsi="宋体" w:eastAsia="宋体" w:cs="宋体"/>
          <w:bCs/>
          <w:color w:val="000000" w:themeColor="text1"/>
          <w:highlight w:val="none"/>
          <w14:textFill>
            <w14:solidFill>
              <w14:schemeClr w14:val="tx1"/>
            </w14:solidFill>
          </w14:textFill>
        </w:rPr>
        <w:t>。</w:t>
      </w:r>
    </w:p>
    <w:p w14:paraId="461B3135">
      <w:pPr>
        <w:keepNext w:val="0"/>
        <w:keepLines w:val="0"/>
        <w:pageBreakBefore w:val="0"/>
        <w:widowControl/>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五.</w:t>
      </w:r>
      <w:r>
        <w:rPr>
          <w:rFonts w:hint="eastAsia" w:ascii="宋体" w:hAnsi="宋体" w:eastAsia="宋体" w:cs="宋体"/>
          <w:b/>
          <w:bCs/>
          <w:color w:val="000000" w:themeColor="text1"/>
          <w:szCs w:val="21"/>
          <w:highlight w:val="none"/>
          <w14:textFill>
            <w14:solidFill>
              <w14:schemeClr w14:val="tx1"/>
            </w14:solidFill>
          </w14:textFill>
        </w:rPr>
        <w:t>投标截止时间、开标时间及地点</w:t>
      </w:r>
    </w:p>
    <w:p w14:paraId="5815D0D2">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 1.递交投标文件时间：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2026年6月26日</w:t>
      </w:r>
      <w:r>
        <w:rPr>
          <w:rFonts w:hint="eastAsia" w:ascii="宋体" w:hAnsi="宋体" w:eastAsia="宋体" w:cs="宋体"/>
          <w:color w:val="000000" w:themeColor="text1"/>
          <w:highlight w:val="none"/>
          <w14:textFill>
            <w14:solidFill>
              <w14:schemeClr w14:val="tx1"/>
            </w14:solidFill>
          </w14:textFill>
        </w:rPr>
        <w:t>9:00-9:30 (北京时间)。</w:t>
      </w:r>
    </w:p>
    <w:p w14:paraId="36FAE56E">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210" w:firstLineChars="100"/>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2026年6月26日</w:t>
      </w:r>
      <w:r>
        <w:rPr>
          <w:rFonts w:hint="eastAsia" w:ascii="宋体" w:hAnsi="宋体" w:eastAsia="宋体" w:cs="宋体"/>
          <w:color w:val="000000" w:themeColor="text1"/>
          <w:highlight w:val="none"/>
          <w14:textFill>
            <w14:solidFill>
              <w14:schemeClr w14:val="tx1"/>
            </w14:solidFill>
          </w14:textFill>
        </w:rPr>
        <w:t>9:30(北京时间)。</w:t>
      </w:r>
    </w:p>
    <w:p w14:paraId="40DF13E0">
      <w:pPr>
        <w:pStyle w:val="18"/>
        <w:keepNext w:val="0"/>
        <w:keepLines w:val="0"/>
        <w:pageBreakBefore w:val="0"/>
        <w:kinsoku/>
        <w:wordWrap/>
        <w:overflowPunct/>
        <w:topLinePunct w:val="0"/>
        <w:autoSpaceDE/>
        <w:autoSpaceDN/>
        <w:bidi w:val="0"/>
        <w:adjustRightInd/>
        <w:snapToGrid/>
        <w:spacing w:line="360" w:lineRule="auto"/>
        <w:ind w:left="0" w:leftChars="0" w:firstLine="426" w:firstLineChars="203"/>
        <w:textAlignment w:val="auto"/>
        <w:outlineLvl w:val="9"/>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3.递交投标文件地点、开标地点：阳江市江城区猫山四街33号A座2楼201开标室</w:t>
      </w:r>
    </w:p>
    <w:p w14:paraId="2EE6EB2C">
      <w:pPr>
        <w:pStyle w:val="18"/>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六.本项目联系方式：</w:t>
      </w:r>
    </w:p>
    <w:p w14:paraId="4AF82EC1">
      <w:pPr>
        <w:pStyle w:val="18"/>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 1.采购人信息</w:t>
      </w:r>
    </w:p>
    <w:p w14:paraId="762BDF3E">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名称：</w:t>
      </w:r>
      <w:r>
        <w:rPr>
          <w:rFonts w:hint="eastAsia" w:ascii="宋体" w:hAnsi="宋体" w:eastAsia="宋体" w:cs="宋体"/>
          <w:color w:val="000000" w:themeColor="text1"/>
          <w:sz w:val="21"/>
          <w:szCs w:val="21"/>
          <w:highlight w:val="none"/>
          <w:lang w:eastAsia="zh-CN"/>
          <w14:textFill>
            <w14:solidFill>
              <w14:schemeClr w14:val="tx1"/>
            </w14:solidFill>
          </w14:textFill>
        </w:rPr>
        <w:t>阳江市阳东区华南师范大学附属阳东小学</w:t>
      </w:r>
    </w:p>
    <w:p w14:paraId="57E42F38">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地</w:t>
      </w:r>
      <w:bookmarkStart w:id="120" w:name="_GoBack"/>
      <w:bookmarkEnd w:id="120"/>
      <w:r>
        <w:rPr>
          <w:rFonts w:hint="eastAsia" w:ascii="宋体" w:hAnsi="宋体" w:eastAsia="宋体" w:cs="宋体"/>
          <w:color w:val="000000" w:themeColor="text1"/>
          <w:sz w:val="21"/>
          <w:szCs w:val="21"/>
          <w:highlight w:val="none"/>
          <w:lang w:eastAsia="zh-CN"/>
          <w14:textFill>
            <w14:solidFill>
              <w14:schemeClr w14:val="tx1"/>
            </w14:solidFill>
          </w14:textFill>
        </w:rPr>
        <w:t>址：阳江市阳东区南华路以北，龙塘路以西路段</w:t>
      </w:r>
    </w:p>
    <w:p w14:paraId="7EC0A7DD">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联 系 人：苑丽红</w:t>
      </w:r>
    </w:p>
    <w:p w14:paraId="4514964E">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联系电话：0662-6626999</w:t>
      </w:r>
    </w:p>
    <w:p w14:paraId="013F29A0">
      <w:pPr>
        <w:pStyle w:val="18"/>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 2.采购代理机构信息</w:t>
      </w:r>
    </w:p>
    <w:p w14:paraId="561A8027">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名称：</w:t>
      </w:r>
      <w:r>
        <w:rPr>
          <w:rFonts w:hint="eastAsia" w:ascii="宋体" w:hAnsi="宋体" w:eastAsia="宋体" w:cs="宋体"/>
          <w:color w:val="000000" w:themeColor="text1"/>
          <w:sz w:val="21"/>
          <w:szCs w:val="21"/>
          <w:highlight w:val="none"/>
          <w:lang w:eastAsia="zh-CN"/>
          <w14:textFill>
            <w14:solidFill>
              <w14:schemeClr w14:val="tx1"/>
            </w14:solidFill>
          </w14:textFill>
        </w:rPr>
        <w:t>广东业信采购招标有限公司</w:t>
      </w:r>
    </w:p>
    <w:p w14:paraId="5EF78746">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地址：</w:t>
      </w:r>
      <w:r>
        <w:rPr>
          <w:rFonts w:hint="eastAsia" w:ascii="宋体" w:hAnsi="宋体" w:eastAsia="宋体" w:cs="宋体"/>
          <w:color w:val="000000" w:themeColor="text1"/>
          <w:sz w:val="21"/>
          <w:szCs w:val="21"/>
          <w:highlight w:val="none"/>
          <w:lang w:eastAsia="zh-CN"/>
          <w14:textFill>
            <w14:solidFill>
              <w14:schemeClr w14:val="tx1"/>
            </w14:solidFill>
          </w14:textFill>
        </w:rPr>
        <w:t>阳江市江城区猫山四街33号A座2楼</w:t>
      </w:r>
    </w:p>
    <w:p w14:paraId="33A9A7F5">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联系方式：</w:t>
      </w:r>
      <w:r>
        <w:rPr>
          <w:rFonts w:hint="eastAsia" w:ascii="宋体" w:hAnsi="宋体" w:eastAsia="宋体" w:cs="宋体"/>
          <w:color w:val="000000" w:themeColor="text1"/>
          <w:sz w:val="21"/>
          <w:szCs w:val="21"/>
          <w:highlight w:val="none"/>
          <w:lang w:eastAsia="zh-CN"/>
          <w14:textFill>
            <w14:solidFill>
              <w14:schemeClr w14:val="tx1"/>
            </w14:solidFill>
          </w14:textFill>
        </w:rPr>
        <w:t>0662-3167266</w:t>
      </w:r>
    </w:p>
    <w:p w14:paraId="0E91710D">
      <w:pPr>
        <w:pStyle w:val="18"/>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 3.项目联系方式</w:t>
      </w:r>
    </w:p>
    <w:p w14:paraId="0E44FB77">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项目联系人：</w:t>
      </w:r>
      <w:r>
        <w:rPr>
          <w:rFonts w:hint="eastAsia" w:ascii="宋体" w:hAnsi="宋体" w:eastAsia="宋体" w:cs="宋体"/>
          <w:color w:val="000000" w:themeColor="text1"/>
          <w:sz w:val="21"/>
          <w:szCs w:val="21"/>
          <w:highlight w:val="none"/>
          <w:lang w:eastAsia="zh-CN"/>
          <w14:textFill>
            <w14:solidFill>
              <w14:schemeClr w14:val="tx1"/>
            </w14:solidFill>
          </w14:textFill>
        </w:rPr>
        <w:t>谢小姐</w:t>
      </w:r>
    </w:p>
    <w:p w14:paraId="08E61D5A">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电话：</w:t>
      </w:r>
      <w:r>
        <w:rPr>
          <w:rFonts w:hint="eastAsia" w:ascii="宋体" w:hAnsi="宋体" w:eastAsia="宋体" w:cs="宋体"/>
          <w:color w:val="000000" w:themeColor="text1"/>
          <w:sz w:val="21"/>
          <w:szCs w:val="21"/>
          <w:highlight w:val="none"/>
          <w:lang w:eastAsia="zh-CN"/>
          <w14:textFill>
            <w14:solidFill>
              <w14:schemeClr w14:val="tx1"/>
            </w14:solidFill>
          </w14:textFill>
        </w:rPr>
        <w:t>0662-3167266</w:t>
      </w:r>
    </w:p>
    <w:p w14:paraId="34FBDA04">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p>
    <w:p w14:paraId="4D0BA224">
      <w:pPr>
        <w:pStyle w:val="18"/>
        <w:keepNext w:val="0"/>
        <w:keepLines w:val="0"/>
        <w:pageBreakBefore w:val="0"/>
        <w:kinsoku/>
        <w:wordWrap/>
        <w:overflowPunct/>
        <w:topLinePunct w:val="0"/>
        <w:autoSpaceDE/>
        <w:autoSpaceDN/>
        <w:bidi w:val="0"/>
        <w:adjustRightInd/>
        <w:snapToGrid/>
        <w:spacing w:line="360" w:lineRule="auto"/>
        <w:ind w:firstLine="480"/>
        <w:jc w:val="right"/>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广东业信采购招标有限公司</w:t>
      </w:r>
    </w:p>
    <w:p w14:paraId="5ACD884F">
      <w:pPr>
        <w:pStyle w:val="18"/>
        <w:keepNext w:val="0"/>
        <w:keepLines w:val="0"/>
        <w:pageBreakBefore w:val="0"/>
        <w:kinsoku/>
        <w:wordWrap/>
        <w:overflowPunct/>
        <w:topLinePunct w:val="0"/>
        <w:autoSpaceDE/>
        <w:autoSpaceDN/>
        <w:bidi w:val="0"/>
        <w:adjustRightInd/>
        <w:snapToGrid/>
        <w:spacing w:line="360" w:lineRule="auto"/>
        <w:ind w:firstLine="480"/>
        <w:jc w:val="right"/>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2026年6月5日</w:t>
      </w:r>
    </w:p>
    <w:p w14:paraId="2DB6FFD1">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53B046C1">
      <w:pPr>
        <w:pStyle w:val="18"/>
        <w:keepNext w:val="0"/>
        <w:keepLines w:val="0"/>
        <w:pageBreakBefore w:val="0"/>
        <w:widowControl/>
        <w:kinsoku/>
        <w:wordWrap/>
        <w:overflowPunct/>
        <w:topLinePunct w:val="0"/>
        <w:autoSpaceDE/>
        <w:autoSpaceDN/>
        <w:bidi w:val="0"/>
        <w:adjustRightInd/>
        <w:snapToGrid/>
        <w:spacing w:line="360" w:lineRule="auto"/>
        <w:ind w:firstLine="482"/>
        <w:jc w:val="center"/>
        <w:textAlignment w:val="auto"/>
        <w:outlineLvl w:val="0"/>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bookmarkStart w:id="1" w:name="_Toc7348"/>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第二章 采购需求</w:t>
      </w:r>
      <w:bookmarkEnd w:id="1"/>
    </w:p>
    <w:p w14:paraId="43B8EF45">
      <w:pPr>
        <w:pStyle w:val="21"/>
        <w:keepNext w:val="0"/>
        <w:keepLines w:val="0"/>
        <w:pageBreakBefore w:val="0"/>
        <w:widowControl w:val="0"/>
        <w:kinsoku/>
        <w:wordWrap/>
        <w:overflowPunct/>
        <w:topLinePunct w:val="0"/>
        <w:autoSpaceDE/>
        <w:autoSpaceDN/>
        <w:bidi w:val="0"/>
        <w:adjustRightInd/>
        <w:spacing w:line="360" w:lineRule="auto"/>
        <w:ind w:firstLine="0" w:firstLineChars="0"/>
        <w:textAlignment w:val="auto"/>
        <w:outlineLvl w:val="9"/>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一</w:t>
      </w:r>
      <w:r>
        <w:rPr>
          <w:rFonts w:hint="eastAsia" w:ascii="宋体" w:hAnsi="宋体"/>
          <w:b/>
          <w:color w:val="000000" w:themeColor="text1"/>
          <w:szCs w:val="21"/>
          <w:highlight w:val="none"/>
          <w14:textFill>
            <w14:solidFill>
              <w14:schemeClr w14:val="tx1"/>
            </w14:solidFill>
          </w14:textFill>
        </w:rPr>
        <w:t>、总体要求</w:t>
      </w:r>
    </w:p>
    <w:p w14:paraId="2108F3B9">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outlineLvl w:val="9"/>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★所有食材要求为非转基因食品。</w:t>
      </w:r>
    </w:p>
    <w:p w14:paraId="1261074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2</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所供的物品必须符合</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中华人民共和国食品</w:t>
      </w:r>
      <w:r>
        <w:rPr>
          <w:rFonts w:hint="eastAsia" w:ascii="宋体" w:hAnsi="宋体"/>
          <w:color w:val="000000" w:themeColor="text1"/>
          <w:highlight w:val="none"/>
          <w:lang w:val="en-US" w:eastAsia="zh-CN"/>
          <w14:textFill>
            <w14:solidFill>
              <w14:schemeClr w14:val="tx1"/>
            </w14:solidFill>
          </w14:textFill>
        </w:rPr>
        <w:t>安全</w:t>
      </w:r>
      <w:r>
        <w:rPr>
          <w:rFonts w:hint="eastAsia" w:ascii="宋体" w:hAnsi="宋体"/>
          <w:color w:val="000000" w:themeColor="text1"/>
          <w:highlight w:val="none"/>
          <w14:textFill>
            <w14:solidFill>
              <w14:schemeClr w14:val="tx1"/>
            </w14:solidFill>
          </w14:textFill>
        </w:rPr>
        <w:t>法</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要求。</w:t>
      </w:r>
    </w:p>
    <w:p w14:paraId="7BD642A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lang w:eastAsia="zh-CN"/>
          <w14:textFill>
            <w14:solidFill>
              <w14:schemeClr w14:val="tx1"/>
            </w14:solidFill>
          </w14:textFill>
        </w:rPr>
        <w:t>必须具有自有（或租赁）冷库。</w:t>
      </w:r>
    </w:p>
    <w:p w14:paraId="0036C20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lang w:eastAsia="zh-CN"/>
          <w14:textFill>
            <w14:solidFill>
              <w14:schemeClr w14:val="tx1"/>
            </w14:solidFill>
          </w14:textFill>
        </w:rPr>
        <w:t>必须具有自有或租赁食材配送专用车辆。</w:t>
      </w:r>
    </w:p>
    <w:p w14:paraId="6F91190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为确保配送食材符合安全要求，要求投标人应具有检测设备和检测场所，检测人员具有食品检验资格证书。</w:t>
      </w:r>
    </w:p>
    <w:p w14:paraId="3610AA3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lang w:eastAsia="zh-CN"/>
          <w14:textFill>
            <w14:solidFill>
              <w14:schemeClr w14:val="tx1"/>
            </w14:solidFill>
          </w14:textFill>
        </w:rPr>
        <w:t>根据学校实际情况提供相应的服务方案。</w:t>
      </w:r>
    </w:p>
    <w:p w14:paraId="373B142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lang w:eastAsia="zh-CN"/>
          <w14:textFill>
            <w14:solidFill>
              <w14:schemeClr w14:val="tx1"/>
            </w14:solidFill>
          </w14:textFill>
        </w:rPr>
        <w:t>必须购买食品安全责任</w:t>
      </w:r>
      <w:r>
        <w:rPr>
          <w:rFonts w:hint="eastAsia" w:ascii="宋体" w:hAnsi="宋体" w:cs="宋体"/>
          <w:color w:val="000000" w:themeColor="text1"/>
          <w:sz w:val="21"/>
          <w:szCs w:val="21"/>
          <w:highlight w:val="none"/>
          <w:lang w:val="en-US" w:eastAsia="zh-CN"/>
          <w14:textFill>
            <w14:solidFill>
              <w14:schemeClr w14:val="tx1"/>
            </w14:solidFill>
          </w14:textFill>
        </w:rPr>
        <w:t>保</w:t>
      </w:r>
      <w:r>
        <w:rPr>
          <w:rFonts w:hint="eastAsia" w:ascii="宋体" w:hAnsi="宋体" w:eastAsia="宋体" w:cs="宋体"/>
          <w:color w:val="000000" w:themeColor="text1"/>
          <w:sz w:val="21"/>
          <w:szCs w:val="21"/>
          <w:highlight w:val="none"/>
          <w:lang w:eastAsia="zh-CN"/>
          <w14:textFill>
            <w14:solidFill>
              <w14:schemeClr w14:val="tx1"/>
            </w14:solidFill>
          </w14:textFill>
        </w:rPr>
        <w:t>险。</w:t>
      </w:r>
    </w:p>
    <w:p w14:paraId="6B8DA8F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lang w:eastAsia="zh-CN"/>
          <w14:textFill>
            <w14:solidFill>
              <w14:schemeClr w14:val="tx1"/>
            </w14:solidFill>
          </w14:textFill>
        </w:rPr>
        <w:t>.每天食材具体供应量以前一天采购人通知订购的品种、数量为准，</w:t>
      </w:r>
      <w:r>
        <w:rPr>
          <w:rFonts w:hint="eastAsia" w:ascii="宋体" w:hAnsi="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lang w:eastAsia="zh-CN"/>
          <w14:textFill>
            <w14:solidFill>
              <w14:schemeClr w14:val="tx1"/>
            </w14:solidFill>
          </w14:textFill>
        </w:rPr>
        <w:t>须按时运送到指定地点，并保证配送品种数量、重量的准确性，最终以采购人的验收为准，要随货提供含食材名称、单位、数量、售价及金额等送货清单，供双方验收签字确认，各持一份，作为送、收货的凭证。</w:t>
      </w:r>
    </w:p>
    <w:p w14:paraId="0A867A2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lang w:eastAsia="zh-CN"/>
          <w14:textFill>
            <w14:solidFill>
              <w14:schemeClr w14:val="tx1"/>
            </w14:solidFill>
          </w14:textFill>
        </w:rPr>
        <w:t>.对采购人临时的采购要求，需随订随送，对不合格食材，需及时更换，并保证能做到1.5小时内送达。</w:t>
      </w:r>
    </w:p>
    <w:p w14:paraId="27BE9CD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lang w:eastAsia="zh-CN"/>
          <w14:textFill>
            <w14:solidFill>
              <w14:schemeClr w14:val="tx1"/>
            </w14:solidFill>
          </w14:textFill>
        </w:rPr>
        <w:t>除不可抗力，投标人不得因其他任何理由延迟送货，以致影响采购人的正常供餐，否则投标人承担由此产生的一切损失和费用。</w:t>
      </w:r>
    </w:p>
    <w:p w14:paraId="1E4BB7C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w:t>
      </w:r>
      <w:r>
        <w:rPr>
          <w:rFonts w:hint="eastAsia" w:ascii="宋体" w:hAnsi="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lang w:eastAsia="zh-CN"/>
          <w14:textFill>
            <w14:solidFill>
              <w14:schemeClr w14:val="tx1"/>
            </w14:solidFill>
          </w14:textFill>
        </w:rPr>
        <w:t>应严格按采购人要求供应食材，不得变更，否则，釆购人有权拒收。如因市场流通问题确实需要变更的，应及时向采购人申请，按采购人回复的意见执行。</w:t>
      </w:r>
    </w:p>
    <w:p w14:paraId="4DC1261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sz w:val="21"/>
          <w:szCs w:val="21"/>
          <w:highlight w:val="none"/>
          <w:lang w:eastAsia="zh-CN"/>
          <w14:textFill>
            <w14:solidFill>
              <w14:schemeClr w14:val="tx1"/>
            </w14:solidFill>
          </w14:textFill>
        </w:rPr>
        <w:t>如合同期内有国家政策规定采购其他食品要求的，应按国家政策要求执行。</w:t>
      </w:r>
    </w:p>
    <w:p w14:paraId="2F47D31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13.</w:t>
      </w:r>
      <w:r>
        <w:rPr>
          <w:rFonts w:hint="eastAsia" w:ascii="宋体" w:hAnsi="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lang w:eastAsia="zh-CN"/>
          <w14:textFill>
            <w14:solidFill>
              <w14:schemeClr w14:val="tx1"/>
            </w14:solidFill>
          </w14:textFill>
        </w:rPr>
        <w:t>配送食材时专门派一名员工跟单办理业务，按每天制定的采购单提供专门配送服务。必须在每天按照采购方规定时间内把所配送的食堂原材料按质按量送达指定地点, 由</w:t>
      </w:r>
      <w:r>
        <w:rPr>
          <w:rFonts w:hint="eastAsia" w:ascii="宋体" w:hAnsi="宋体" w:cs="宋体"/>
          <w:color w:val="000000" w:themeColor="text1"/>
          <w:sz w:val="21"/>
          <w:szCs w:val="21"/>
          <w:highlight w:val="none"/>
          <w:lang w:val="en-US" w:eastAsia="zh-CN"/>
          <w14:textFill>
            <w14:solidFill>
              <w14:schemeClr w14:val="tx1"/>
            </w14:solidFill>
          </w14:textFill>
        </w:rPr>
        <w:t>学校验收</w:t>
      </w:r>
      <w:r>
        <w:rPr>
          <w:rFonts w:hint="eastAsia" w:ascii="宋体" w:hAnsi="宋体" w:eastAsia="宋体" w:cs="宋体"/>
          <w:color w:val="000000" w:themeColor="text1"/>
          <w:sz w:val="21"/>
          <w:szCs w:val="21"/>
          <w:highlight w:val="none"/>
          <w:lang w:eastAsia="zh-CN"/>
          <w14:textFill>
            <w14:solidFill>
              <w14:schemeClr w14:val="tx1"/>
            </w14:solidFill>
          </w14:textFill>
        </w:rPr>
        <w:t>人员验收核对后入库。</w:t>
      </w:r>
    </w:p>
    <w:p w14:paraId="4B1F6AB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14.</w:t>
      </w:r>
      <w:r>
        <w:rPr>
          <w:rFonts w:hint="eastAsia" w:ascii="宋体" w:hAnsi="宋体" w:eastAsia="宋体" w:cs="宋体"/>
          <w:color w:val="000000" w:themeColor="text1"/>
          <w:sz w:val="21"/>
          <w:szCs w:val="21"/>
          <w:highlight w:val="none"/>
          <w:lang w:eastAsia="zh-CN"/>
          <w14:textFill>
            <w14:solidFill>
              <w14:schemeClr w14:val="tx1"/>
            </w14:solidFill>
          </w14:textFill>
        </w:rPr>
        <w:t>食材验收方法：对于</w:t>
      </w:r>
      <w:r>
        <w:rPr>
          <w:rFonts w:hint="eastAsia" w:ascii="宋体" w:hAnsi="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lang w:eastAsia="zh-CN"/>
          <w14:textFill>
            <w14:solidFill>
              <w14:schemeClr w14:val="tx1"/>
            </w14:solidFill>
          </w14:textFill>
        </w:rPr>
        <w:t>送达的食材，由采购人派出负责人员检查及签收，签收前将对送达食材的包装完好情况、污染情况、霉变情况、食材来源、质量检验报告、零售价格、交付数量等信息进行检查登记，以确保食材质量、来源符合要求，并为食材结算提供依据，所验收的食材质量应与招标文件、投标文件响应的各种类食材的具体质量要求相一致。</w:t>
      </w:r>
    </w:p>
    <w:p w14:paraId="6350ACF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15.根据</w:t>
      </w:r>
      <w:r>
        <w:rPr>
          <w:rFonts w:hint="eastAsia" w:ascii="宋体" w:hAnsi="宋体" w:eastAsia="宋体" w:cs="宋体"/>
          <w:i w:val="0"/>
          <w:iCs w:val="0"/>
          <w:caps w:val="0"/>
          <w:color w:val="000000" w:themeColor="text1"/>
          <w:spacing w:val="0"/>
          <w:sz w:val="21"/>
          <w:szCs w:val="21"/>
          <w:highlight w:val="none"/>
          <w:shd w:val="clear" w:color="auto" w:fill="FFFFFF"/>
          <w14:textFill>
            <w14:solidFill>
              <w14:schemeClr w14:val="tx1"/>
            </w14:solidFill>
          </w14:textFill>
        </w:rPr>
        <w:t>《未成年人学校保护规定》第三十六条</w:t>
      </w:r>
      <w:r>
        <w:rPr>
          <w:rFonts w:hint="eastAsia" w:ascii="宋体" w:hAnsi="宋体" w:eastAsia="宋体" w:cs="宋体"/>
          <w:i w:val="0"/>
          <w:iCs w:val="0"/>
          <w:caps w:val="0"/>
          <w:color w:val="000000" w:themeColor="text1"/>
          <w:spacing w:val="0"/>
          <w:sz w:val="21"/>
          <w:szCs w:val="21"/>
          <w:highlight w:val="none"/>
          <w:shd w:val="clear" w:color="auto"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highlight w:val="none"/>
          <w:shd w:val="clear" w:color="auto" w:fill="FFFFFF"/>
          <w14:textFill>
            <w14:solidFill>
              <w14:schemeClr w14:val="tx1"/>
            </w14:solidFill>
          </w14:textFill>
        </w:rPr>
        <w:t>学校应当严格执行入职报告和准入查询制度，不得聘用有下列情形的人员：</w:t>
      </w:r>
    </w:p>
    <w:p w14:paraId="0B63C02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wordWrap/>
        <w:topLinePunct w:val="0"/>
        <w:bidi w:val="0"/>
        <w:spacing w:before="0" w:beforeAutospacing="0" w:after="0" w:afterAutospacing="0" w:line="360" w:lineRule="auto"/>
        <w:ind w:left="0" w:right="0" w:firstLine="0"/>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FFFFFF"/>
          <w14:textFill>
            <w14:solidFill>
              <w14:schemeClr w14:val="tx1"/>
            </w14:solidFill>
          </w14:textFill>
        </w:rPr>
        <w:t>　　</w:t>
      </w:r>
      <w:r>
        <w:rPr>
          <w:rFonts w:hint="eastAsia" w:eastAsia="宋体" w:cs="宋体"/>
          <w:i w:val="0"/>
          <w:iCs w:val="0"/>
          <w:caps w:val="0"/>
          <w:color w:val="000000" w:themeColor="text1"/>
          <w:spacing w:val="0"/>
          <w:sz w:val="21"/>
          <w:szCs w:val="21"/>
          <w:highlight w:val="none"/>
          <w:shd w:val="clear" w:color="auto" w:fill="FFFFFF"/>
          <w:lang w:val="en-US" w:eastAsia="zh-CN"/>
          <w14:textFill>
            <w14:solidFill>
              <w14:schemeClr w14:val="tx1"/>
            </w14:solidFill>
          </w14:textFill>
        </w:rPr>
        <w:t>1）</w:t>
      </w:r>
      <w:r>
        <w:rPr>
          <w:rFonts w:hint="eastAsia" w:ascii="宋体" w:hAnsi="宋体" w:eastAsia="宋体" w:cs="宋体"/>
          <w:i w:val="0"/>
          <w:iCs w:val="0"/>
          <w:caps w:val="0"/>
          <w:color w:val="000000" w:themeColor="text1"/>
          <w:spacing w:val="0"/>
          <w:sz w:val="21"/>
          <w:szCs w:val="21"/>
          <w:highlight w:val="none"/>
          <w:shd w:val="clear" w:color="auto" w:fill="FFFFFF"/>
          <w14:textFill>
            <w14:solidFill>
              <w14:schemeClr w14:val="tx1"/>
            </w14:solidFill>
          </w14:textFill>
        </w:rPr>
        <w:t>受到剥夺政治权利或者因故意犯罪受到有期徒刑以上刑事处罚的；</w:t>
      </w:r>
    </w:p>
    <w:p w14:paraId="754A1A6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wordWrap/>
        <w:topLinePunct w:val="0"/>
        <w:bidi w:val="0"/>
        <w:spacing w:before="0" w:beforeAutospacing="0" w:after="0" w:afterAutospacing="0" w:line="360" w:lineRule="auto"/>
        <w:ind w:left="0" w:right="0" w:firstLine="0"/>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FFFFFF"/>
          <w14:textFill>
            <w14:solidFill>
              <w14:schemeClr w14:val="tx1"/>
            </w14:solidFill>
          </w14:textFill>
        </w:rPr>
        <w:t>　　</w:t>
      </w:r>
      <w:r>
        <w:rPr>
          <w:rFonts w:hint="eastAsia" w:eastAsia="宋体" w:cs="宋体"/>
          <w:i w:val="0"/>
          <w:iCs w:val="0"/>
          <w:caps w:val="0"/>
          <w:color w:val="000000" w:themeColor="text1"/>
          <w:spacing w:val="0"/>
          <w:sz w:val="21"/>
          <w:szCs w:val="21"/>
          <w:highlight w:val="none"/>
          <w:shd w:val="clear" w:color="auto" w:fill="FFFFFF"/>
          <w:lang w:val="en-US" w:eastAsia="zh-CN"/>
          <w14:textFill>
            <w14:solidFill>
              <w14:schemeClr w14:val="tx1"/>
            </w14:solidFill>
          </w14:textFill>
        </w:rPr>
        <w:t>2</w:t>
      </w:r>
      <w:r>
        <w:rPr>
          <w:rFonts w:hint="eastAsia" w:ascii="宋体" w:hAnsi="宋体" w:eastAsia="宋体" w:cs="宋体"/>
          <w:i w:val="0"/>
          <w:iCs w:val="0"/>
          <w:caps w:val="0"/>
          <w:color w:val="000000" w:themeColor="text1"/>
          <w:spacing w:val="0"/>
          <w:sz w:val="21"/>
          <w:szCs w:val="21"/>
          <w:highlight w:val="none"/>
          <w:shd w:val="clear" w:color="auto" w:fill="FFFFFF"/>
          <w14:textFill>
            <w14:solidFill>
              <w14:schemeClr w14:val="tx1"/>
            </w14:solidFill>
          </w14:textFill>
        </w:rPr>
        <w:t>）因卖淫、嫖娼、吸毒、赌博等违法行为受到治安管理处罚的；</w:t>
      </w:r>
    </w:p>
    <w:p w14:paraId="5A6E353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wordWrap/>
        <w:topLinePunct w:val="0"/>
        <w:bidi w:val="0"/>
        <w:spacing w:before="0" w:beforeAutospacing="0" w:after="0" w:afterAutospacing="0" w:line="360" w:lineRule="auto"/>
        <w:ind w:left="0" w:right="0" w:firstLine="0"/>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FFFFFF"/>
          <w14:textFill>
            <w14:solidFill>
              <w14:schemeClr w14:val="tx1"/>
            </w14:solidFill>
          </w14:textFill>
        </w:rPr>
        <w:t>　　</w:t>
      </w:r>
      <w:r>
        <w:rPr>
          <w:rFonts w:hint="eastAsia" w:eastAsia="宋体" w:cs="宋体"/>
          <w:i w:val="0"/>
          <w:iCs w:val="0"/>
          <w:caps w:val="0"/>
          <w:color w:val="000000" w:themeColor="text1"/>
          <w:spacing w:val="0"/>
          <w:sz w:val="21"/>
          <w:szCs w:val="21"/>
          <w:highlight w:val="none"/>
          <w:shd w:val="clear" w:color="auto" w:fill="FFFFFF"/>
          <w:lang w:val="en-US" w:eastAsia="zh-CN"/>
          <w14:textFill>
            <w14:solidFill>
              <w14:schemeClr w14:val="tx1"/>
            </w14:solidFill>
          </w14:textFill>
        </w:rPr>
        <w:t>3</w:t>
      </w:r>
      <w:r>
        <w:rPr>
          <w:rFonts w:hint="eastAsia" w:ascii="宋体" w:hAnsi="宋体" w:eastAsia="宋体" w:cs="宋体"/>
          <w:i w:val="0"/>
          <w:iCs w:val="0"/>
          <w:caps w:val="0"/>
          <w:color w:val="000000" w:themeColor="text1"/>
          <w:spacing w:val="0"/>
          <w:sz w:val="21"/>
          <w:szCs w:val="21"/>
          <w:highlight w:val="none"/>
          <w:shd w:val="clear" w:color="auto" w:fill="FFFFFF"/>
          <w14:textFill>
            <w14:solidFill>
              <w14:schemeClr w14:val="tx1"/>
            </w14:solidFill>
          </w14:textFill>
        </w:rPr>
        <w:t>）因虐待、性骚扰、体罚或者侮辱学生等情形被开除或者解聘的；</w:t>
      </w:r>
    </w:p>
    <w:p w14:paraId="39C7AF5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textAlignment w:val="baseline"/>
        <w:rPr>
          <w:rFonts w:hint="eastAsia" w:ascii="宋体" w:hAnsi="宋体" w:eastAsia="宋体" w:cs="宋体"/>
          <w:i w:val="0"/>
          <w:iCs w:val="0"/>
          <w:caps w:val="0"/>
          <w:color w:val="000000" w:themeColor="text1"/>
          <w:spacing w:val="0"/>
          <w:sz w:val="21"/>
          <w:szCs w:val="21"/>
          <w:highlight w:val="none"/>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FFFFFF"/>
          <w:lang w:val="en-US" w:eastAsia="zh-CN"/>
          <w14:textFill>
            <w14:solidFill>
              <w14:schemeClr w14:val="tx1"/>
            </w14:solidFill>
          </w14:textFill>
        </w:rPr>
        <w:t>4</w:t>
      </w:r>
      <w:r>
        <w:rPr>
          <w:rFonts w:hint="eastAsia" w:ascii="宋体" w:hAnsi="宋体" w:eastAsia="宋体" w:cs="宋体"/>
          <w:i w:val="0"/>
          <w:iCs w:val="0"/>
          <w:caps w:val="0"/>
          <w:color w:val="000000" w:themeColor="text1"/>
          <w:spacing w:val="0"/>
          <w:sz w:val="21"/>
          <w:szCs w:val="21"/>
          <w:highlight w:val="none"/>
          <w:shd w:val="clear" w:color="auto" w:fill="FFFFFF"/>
          <w14:textFill>
            <w14:solidFill>
              <w14:schemeClr w14:val="tx1"/>
            </w14:solidFill>
          </w14:textFill>
        </w:rPr>
        <w:t>）实施其他被纳入教育领域从业禁止范围的行为的。</w:t>
      </w:r>
    </w:p>
    <w:p w14:paraId="4A9B444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textAlignment w:val="baseline"/>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highlight w:val="none"/>
          <w:shd w:val="clear" w:color="auto" w:fill="FFFFFF"/>
          <w:lang w:val="en-US" w:eastAsia="zh-CN" w:bidi="ar"/>
          <w14:textFill>
            <w14:solidFill>
              <w14:schemeClr w14:val="tx1"/>
            </w14:solidFill>
          </w14:textFill>
        </w:rPr>
        <w:t>中标公司不得违反</w:t>
      </w:r>
      <w:r>
        <w:rPr>
          <w:rFonts w:hint="eastAsia" w:ascii="宋体" w:hAnsi="宋体" w:eastAsia="宋体" w:cs="宋体"/>
          <w:i w:val="0"/>
          <w:iCs w:val="0"/>
          <w:caps w:val="0"/>
          <w:color w:val="000000" w:themeColor="text1"/>
          <w:spacing w:val="0"/>
          <w:sz w:val="21"/>
          <w:szCs w:val="21"/>
          <w:highlight w:val="none"/>
          <w:shd w:val="clear" w:color="auto" w:fill="FFFFFF"/>
          <w14:textFill>
            <w14:solidFill>
              <w14:schemeClr w14:val="tx1"/>
            </w14:solidFill>
          </w14:textFill>
        </w:rPr>
        <w:t>《未成年人学校保护规定》第三十六条</w:t>
      </w:r>
      <w:r>
        <w:rPr>
          <w:rFonts w:hint="eastAsia" w:ascii="宋体" w:hAnsi="宋体" w:eastAsia="宋体" w:cs="宋体"/>
          <w:i w:val="0"/>
          <w:iCs w:val="0"/>
          <w:caps w:val="0"/>
          <w:color w:val="000000" w:themeColor="text1"/>
          <w:spacing w:val="0"/>
          <w:sz w:val="21"/>
          <w:szCs w:val="21"/>
          <w:highlight w:val="none"/>
          <w:shd w:val="clear" w:color="auto" w:fill="FFFFFF"/>
          <w:lang w:eastAsia="zh-CN"/>
          <w14:textFill>
            <w14:solidFill>
              <w14:schemeClr w14:val="tx1"/>
            </w14:solidFill>
          </w14:textFill>
        </w:rPr>
        <w:t>，进入学校的</w:t>
      </w:r>
      <w:r>
        <w:rPr>
          <w:rFonts w:hint="eastAsia" w:ascii="宋体" w:hAnsi="宋体" w:eastAsia="宋体" w:cs="宋体"/>
          <w:i w:val="0"/>
          <w:iCs w:val="0"/>
          <w:caps w:val="0"/>
          <w:color w:val="000000" w:themeColor="text1"/>
          <w:spacing w:val="0"/>
          <w:kern w:val="0"/>
          <w:sz w:val="21"/>
          <w:szCs w:val="21"/>
          <w:highlight w:val="none"/>
          <w:shd w:val="clear" w:color="auto" w:fill="FFFFFF"/>
          <w:lang w:val="en-US" w:eastAsia="zh-CN" w:bidi="ar"/>
          <w14:textFill>
            <w14:solidFill>
              <w14:schemeClr w14:val="tx1"/>
            </w14:solidFill>
          </w14:textFill>
        </w:rPr>
        <w:t>配送及相关人员，不得有以上行为。</w:t>
      </w:r>
    </w:p>
    <w:p w14:paraId="29AD7A62">
      <w:pPr>
        <w:keepNext w:val="0"/>
        <w:keepLines w:val="0"/>
        <w:pageBreakBefore w:val="0"/>
        <w:widowControl w:val="0"/>
        <w:kinsoku/>
        <w:wordWrap/>
        <w:overflowPunct/>
        <w:topLinePunct w:val="0"/>
        <w:bidi w:val="0"/>
        <w:snapToGrid/>
        <w:spacing w:line="360" w:lineRule="auto"/>
        <w:rPr>
          <w:rFonts w:hint="eastAsia" w:ascii="宋体" w:hAnsi="宋体" w:eastAsia="宋体" w:cs="宋体"/>
          <w:b/>
          <w:bCs/>
          <w:color w:val="000000" w:themeColor="text1"/>
          <w:kern w:val="44"/>
          <w:sz w:val="21"/>
          <w:szCs w:val="21"/>
          <w:highlight w:val="none"/>
          <w:lang w:val="en-US" w:eastAsia="zh-CN"/>
          <w14:textFill>
            <w14:solidFill>
              <w14:schemeClr w14:val="tx1"/>
            </w14:solidFill>
          </w14:textFill>
        </w:rPr>
      </w:pPr>
      <w:r>
        <w:rPr>
          <w:rFonts w:hint="eastAsia" w:ascii="宋体" w:hAnsi="宋体" w:cs="宋体"/>
          <w:b/>
          <w:bCs/>
          <w:color w:val="000000" w:themeColor="text1"/>
          <w:kern w:val="44"/>
          <w:sz w:val="21"/>
          <w:szCs w:val="21"/>
          <w:highlight w:val="none"/>
          <w:lang w:val="en-US" w:eastAsia="zh-CN"/>
          <w14:textFill>
            <w14:solidFill>
              <w14:schemeClr w14:val="tx1"/>
            </w14:solidFill>
          </w14:textFill>
        </w:rPr>
        <w:t>二、</w:t>
      </w:r>
      <w:r>
        <w:rPr>
          <w:rFonts w:hint="eastAsia" w:ascii="宋体" w:hAnsi="宋体" w:eastAsia="宋体" w:cs="宋体"/>
          <w:b/>
          <w:bCs/>
          <w:color w:val="000000" w:themeColor="text1"/>
          <w:kern w:val="44"/>
          <w:sz w:val="21"/>
          <w:szCs w:val="21"/>
          <w:highlight w:val="none"/>
          <w:lang w:val="en-US" w:eastAsia="zh-CN"/>
          <w14:textFill>
            <w14:solidFill>
              <w14:schemeClr w14:val="tx1"/>
            </w14:solidFill>
          </w14:textFill>
        </w:rPr>
        <w:t>食品食材采购的质量管理</w:t>
      </w:r>
    </w:p>
    <w:p w14:paraId="02E0BB48">
      <w:pPr>
        <w:keepNext w:val="0"/>
        <w:keepLines w:val="0"/>
        <w:pageBreakBefore w:val="0"/>
        <w:widowControl w:val="0"/>
        <w:kinsoku/>
        <w:wordWrap/>
        <w:overflowPunct/>
        <w:topLinePunct w:val="0"/>
        <w:bidi w:val="0"/>
        <w:snapToGrid/>
        <w:spacing w:line="360" w:lineRule="auto"/>
        <w:ind w:firstLine="420" w:firstLineChars="200"/>
        <w:rPr>
          <w:rFonts w:hint="eastAsia" w:ascii="宋体" w:hAnsi="宋体" w:eastAsia="宋体" w:cs="宋体"/>
          <w:b w:val="0"/>
          <w:bCs w:val="0"/>
          <w:color w:val="000000" w:themeColor="text1"/>
          <w:kern w:val="44"/>
          <w:sz w:val="21"/>
          <w:szCs w:val="21"/>
          <w:highlight w:val="none"/>
          <w:lang w:val="en-US" w:eastAsia="zh-CN"/>
          <w14:textFill>
            <w14:solidFill>
              <w14:schemeClr w14:val="tx1"/>
            </w14:solidFill>
          </w14:textFill>
        </w:rPr>
      </w:pPr>
      <w:r>
        <w:rPr>
          <w:rFonts w:hint="eastAsia" w:ascii="宋体" w:hAnsi="宋体" w:cs="宋体"/>
          <w:b w:val="0"/>
          <w:bCs w:val="0"/>
          <w:color w:val="000000" w:themeColor="text1"/>
          <w:kern w:val="44"/>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kern w:val="44"/>
          <w:sz w:val="21"/>
          <w:szCs w:val="21"/>
          <w:highlight w:val="none"/>
          <w:lang w:val="en-US" w:eastAsia="zh-CN"/>
          <w14:textFill>
            <w14:solidFill>
              <w14:schemeClr w14:val="tx1"/>
            </w14:solidFill>
          </w14:textFill>
        </w:rPr>
        <w:t>食品安全的指标。应符合相应食品安全国家标准的规定，分等分级的质量指标不低于国家有关食品质量标准的中位数水平，如质量或规格等级划分为1、2、3、4、5 或大(L)、中(M)小(S)的，应选择1、2、3 或大(L)、中(M)等级。</w:t>
      </w:r>
    </w:p>
    <w:p w14:paraId="0D2F2E68">
      <w:pPr>
        <w:keepNext w:val="0"/>
        <w:keepLines w:val="0"/>
        <w:pageBreakBefore w:val="0"/>
        <w:widowControl w:val="0"/>
        <w:kinsoku/>
        <w:wordWrap/>
        <w:overflowPunct/>
        <w:topLinePunct w:val="0"/>
        <w:bidi w:val="0"/>
        <w:snapToGrid/>
        <w:spacing w:line="360" w:lineRule="auto"/>
        <w:ind w:firstLine="420" w:firstLineChars="200"/>
        <w:rPr>
          <w:rFonts w:hint="eastAsia" w:ascii="宋体" w:hAnsi="宋体" w:eastAsia="宋体" w:cs="宋体"/>
          <w:b w:val="0"/>
          <w:bCs w:val="0"/>
          <w:color w:val="000000" w:themeColor="text1"/>
          <w:kern w:val="44"/>
          <w:sz w:val="21"/>
          <w:szCs w:val="21"/>
          <w:highlight w:val="none"/>
          <w:lang w:val="en-US" w:eastAsia="zh-CN"/>
          <w14:textFill>
            <w14:solidFill>
              <w14:schemeClr w14:val="tx1"/>
            </w14:solidFill>
          </w14:textFill>
        </w:rPr>
      </w:pPr>
      <w:r>
        <w:rPr>
          <w:rFonts w:hint="eastAsia" w:ascii="宋体" w:hAnsi="宋体" w:cs="宋体"/>
          <w:b w:val="0"/>
          <w:bCs w:val="0"/>
          <w:color w:val="000000" w:themeColor="text1"/>
          <w:kern w:val="44"/>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kern w:val="44"/>
          <w:sz w:val="21"/>
          <w:szCs w:val="21"/>
          <w:highlight w:val="none"/>
          <w:lang w:val="en-US" w:eastAsia="zh-CN"/>
          <w14:textFill>
            <w14:solidFill>
              <w14:schemeClr w14:val="tx1"/>
            </w14:solidFill>
          </w14:textFill>
        </w:rPr>
        <w:t>成品粮(大米、小麦粉或面粉)的食品安全指标。应符合 GB 2715 的规定，其中:大米的质量指标不低于 GB/T 1354一级定等指标的技术要求，小麦粉(面粉)的质量指标不低于GB/T 1355 的精制粉指标的技术要求。</w:t>
      </w:r>
    </w:p>
    <w:p w14:paraId="545998D0">
      <w:pPr>
        <w:keepNext w:val="0"/>
        <w:keepLines w:val="0"/>
        <w:pageBreakBefore w:val="0"/>
        <w:widowControl w:val="0"/>
        <w:kinsoku/>
        <w:wordWrap/>
        <w:overflowPunct/>
        <w:topLinePunct w:val="0"/>
        <w:bidi w:val="0"/>
        <w:snapToGrid/>
        <w:spacing w:line="360" w:lineRule="auto"/>
        <w:ind w:firstLine="420" w:firstLineChars="200"/>
        <w:rPr>
          <w:rFonts w:hint="eastAsia" w:ascii="宋体" w:hAnsi="宋体" w:eastAsia="宋体" w:cs="宋体"/>
          <w:b w:val="0"/>
          <w:bCs w:val="0"/>
          <w:color w:val="000000" w:themeColor="text1"/>
          <w:kern w:val="44"/>
          <w:sz w:val="21"/>
          <w:szCs w:val="21"/>
          <w:highlight w:val="none"/>
          <w:lang w:val="en-US" w:eastAsia="zh-CN"/>
          <w14:textFill>
            <w14:solidFill>
              <w14:schemeClr w14:val="tx1"/>
            </w14:solidFill>
          </w14:textFill>
        </w:rPr>
      </w:pPr>
      <w:r>
        <w:rPr>
          <w:rFonts w:hint="eastAsia" w:ascii="宋体" w:hAnsi="宋体" w:cs="宋体"/>
          <w:b w:val="0"/>
          <w:bCs w:val="0"/>
          <w:color w:val="000000" w:themeColor="text1"/>
          <w:kern w:val="44"/>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kern w:val="44"/>
          <w:sz w:val="21"/>
          <w:szCs w:val="21"/>
          <w:highlight w:val="none"/>
          <w:lang w:val="en-US" w:eastAsia="zh-CN"/>
          <w14:textFill>
            <w14:solidFill>
              <w14:schemeClr w14:val="tx1"/>
            </w14:solidFill>
          </w14:textFill>
        </w:rPr>
        <w:t>成品食用油的食品的安全指标。应符合 GB2716的规定，不</w:t>
      </w:r>
      <w:r>
        <w:rPr>
          <w:rFonts w:hint="eastAsia" w:ascii="宋体" w:hAnsi="宋体" w:cs="宋体"/>
          <w:b w:val="0"/>
          <w:bCs w:val="0"/>
          <w:color w:val="000000" w:themeColor="text1"/>
          <w:kern w:val="44"/>
          <w:sz w:val="21"/>
          <w:szCs w:val="21"/>
          <w:highlight w:val="none"/>
          <w:lang w:val="en-US" w:eastAsia="zh-CN"/>
          <w14:textFill>
            <w14:solidFill>
              <w14:schemeClr w14:val="tx1"/>
            </w14:solidFill>
          </w14:textFill>
        </w:rPr>
        <w:t>允许</w:t>
      </w:r>
      <w:r>
        <w:rPr>
          <w:rFonts w:hint="eastAsia" w:ascii="宋体" w:hAnsi="宋体" w:eastAsia="宋体" w:cs="宋体"/>
          <w:b w:val="0"/>
          <w:bCs w:val="0"/>
          <w:color w:val="000000" w:themeColor="text1"/>
          <w:kern w:val="44"/>
          <w:sz w:val="21"/>
          <w:szCs w:val="21"/>
          <w:highlight w:val="none"/>
          <w:lang w:val="en-US" w:eastAsia="zh-CN"/>
          <w14:textFill>
            <w14:solidFill>
              <w14:schemeClr w14:val="tx1"/>
            </w14:solidFill>
          </w14:textFill>
        </w:rPr>
        <w:t>采购使用含转基因原料的食用油和棕油或含棕油成分(棕榈油成分占比超过50%)的食用调和油。严禁配送使用循环包装容器(周转桶)盛装的食用油。</w:t>
      </w:r>
    </w:p>
    <w:p w14:paraId="6E3F0B95">
      <w:pPr>
        <w:keepNext w:val="0"/>
        <w:keepLines w:val="0"/>
        <w:pageBreakBefore w:val="0"/>
        <w:widowControl w:val="0"/>
        <w:kinsoku/>
        <w:wordWrap/>
        <w:overflowPunct/>
        <w:topLinePunct w:val="0"/>
        <w:bidi w:val="0"/>
        <w:snapToGrid/>
        <w:spacing w:line="360" w:lineRule="auto"/>
        <w:ind w:firstLine="420" w:firstLineChars="200"/>
        <w:rPr>
          <w:rFonts w:hint="eastAsia" w:ascii="宋体" w:hAnsi="宋体" w:eastAsia="宋体" w:cs="宋体"/>
          <w:b w:val="0"/>
          <w:bCs w:val="0"/>
          <w:color w:val="000000" w:themeColor="text1"/>
          <w:kern w:val="44"/>
          <w:sz w:val="21"/>
          <w:szCs w:val="21"/>
          <w:highlight w:val="none"/>
          <w:lang w:val="en-US" w:eastAsia="zh-CN"/>
          <w14:textFill>
            <w14:solidFill>
              <w14:schemeClr w14:val="tx1"/>
            </w14:solidFill>
          </w14:textFill>
        </w:rPr>
      </w:pPr>
      <w:r>
        <w:rPr>
          <w:rFonts w:hint="eastAsia" w:ascii="宋体" w:hAnsi="宋体" w:cs="宋体"/>
          <w:b w:val="0"/>
          <w:bCs w:val="0"/>
          <w:color w:val="000000" w:themeColor="text1"/>
          <w:kern w:val="44"/>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kern w:val="44"/>
          <w:sz w:val="21"/>
          <w:szCs w:val="21"/>
          <w:highlight w:val="none"/>
          <w:lang w:val="en-US" w:eastAsia="zh-CN"/>
          <w14:textFill>
            <w14:solidFill>
              <w14:schemeClr w14:val="tx1"/>
            </w14:solidFill>
          </w14:textFill>
        </w:rPr>
        <w:t>乳制品(仅限发酵乳、巴氏杀菌乳、灭菌乳、调制乳)的食品安全指标。应分别符合 GB 19302、GB 19645、GB 25190、GB 25191、T/DAC004、T/DAC005 的规定</w:t>
      </w:r>
      <w:r>
        <w:rPr>
          <w:rFonts w:hint="eastAsia" w:ascii="宋体" w:hAnsi="宋体" w:cs="宋体"/>
          <w:b w:val="0"/>
          <w:bCs w:val="0"/>
          <w:color w:val="000000" w:themeColor="text1"/>
          <w:kern w:val="44"/>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kern w:val="44"/>
          <w:sz w:val="21"/>
          <w:szCs w:val="21"/>
          <w:highlight w:val="none"/>
          <w:lang w:val="en-US" w:eastAsia="zh-CN"/>
          <w14:textFill>
            <w14:solidFill>
              <w14:schemeClr w14:val="tx1"/>
            </w14:solidFill>
          </w14:textFill>
        </w:rPr>
        <w:t>乳制品蛋白质含量不得低于 2.8g/100mL</w:t>
      </w:r>
    </w:p>
    <w:p w14:paraId="204B6958">
      <w:pPr>
        <w:keepNext w:val="0"/>
        <w:keepLines w:val="0"/>
        <w:pageBreakBefore w:val="0"/>
        <w:widowControl w:val="0"/>
        <w:kinsoku/>
        <w:wordWrap/>
        <w:overflowPunct/>
        <w:topLinePunct w:val="0"/>
        <w:bidi w:val="0"/>
        <w:snapToGrid/>
        <w:spacing w:line="360" w:lineRule="auto"/>
        <w:ind w:firstLine="420" w:firstLineChars="200"/>
        <w:rPr>
          <w:rFonts w:hint="eastAsia" w:ascii="宋体" w:hAnsi="宋体" w:eastAsia="宋体" w:cs="宋体"/>
          <w:b w:val="0"/>
          <w:bCs w:val="0"/>
          <w:color w:val="000000" w:themeColor="text1"/>
          <w:kern w:val="44"/>
          <w:sz w:val="21"/>
          <w:szCs w:val="21"/>
          <w:highlight w:val="none"/>
          <w:lang w:val="en-US" w:eastAsia="zh-CN"/>
          <w14:textFill>
            <w14:solidFill>
              <w14:schemeClr w14:val="tx1"/>
            </w14:solidFill>
          </w14:textFill>
        </w:rPr>
      </w:pPr>
      <w:r>
        <w:rPr>
          <w:rFonts w:hint="eastAsia" w:ascii="宋体" w:hAnsi="宋体" w:cs="宋体"/>
          <w:b w:val="0"/>
          <w:bCs w:val="0"/>
          <w:color w:val="000000" w:themeColor="text1"/>
          <w:kern w:val="44"/>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kern w:val="44"/>
          <w:sz w:val="21"/>
          <w:szCs w:val="21"/>
          <w:highlight w:val="none"/>
          <w:lang w:val="en-US" w:eastAsia="zh-CN"/>
          <w14:textFill>
            <w14:solidFill>
              <w14:schemeClr w14:val="tx1"/>
            </w14:solidFill>
          </w14:textFill>
        </w:rPr>
        <w:t>调味品的指标。不得含有人工合成着色剂，酱油、食醋应为酿造酱油和酿造食醋，不得供应配制酱油或食醋，其中酱油氨基酸态氮含量不得低于 0.7g/100mL。</w:t>
      </w:r>
    </w:p>
    <w:p w14:paraId="2A5983DF">
      <w:pPr>
        <w:keepNext w:val="0"/>
        <w:keepLines w:val="0"/>
        <w:pageBreakBefore w:val="0"/>
        <w:widowControl w:val="0"/>
        <w:kinsoku/>
        <w:wordWrap/>
        <w:overflowPunct/>
        <w:topLinePunct w:val="0"/>
        <w:bidi w:val="0"/>
        <w:snapToGrid/>
        <w:spacing w:line="360" w:lineRule="auto"/>
        <w:ind w:firstLine="420" w:firstLineChars="200"/>
        <w:rPr>
          <w:rFonts w:hint="eastAsia" w:ascii="宋体" w:hAnsi="宋体" w:eastAsia="宋体" w:cs="宋体"/>
          <w:b w:val="0"/>
          <w:bCs w:val="0"/>
          <w:color w:val="000000" w:themeColor="text1"/>
          <w:kern w:val="44"/>
          <w:sz w:val="21"/>
          <w:szCs w:val="21"/>
          <w:highlight w:val="none"/>
          <w:lang w:val="en-US" w:eastAsia="zh-CN"/>
          <w14:textFill>
            <w14:solidFill>
              <w14:schemeClr w14:val="tx1"/>
            </w14:solidFill>
          </w14:textFill>
        </w:rPr>
      </w:pPr>
      <w:r>
        <w:rPr>
          <w:rFonts w:hint="eastAsia" w:ascii="宋体" w:hAnsi="宋体" w:cs="宋体"/>
          <w:b w:val="0"/>
          <w:bCs w:val="0"/>
          <w:color w:val="000000" w:themeColor="text1"/>
          <w:kern w:val="44"/>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kern w:val="44"/>
          <w:sz w:val="21"/>
          <w:szCs w:val="21"/>
          <w:highlight w:val="none"/>
          <w:lang w:val="en-US" w:eastAsia="zh-CN"/>
          <w14:textFill>
            <w14:solidFill>
              <w14:schemeClr w14:val="tx1"/>
            </w14:solidFill>
          </w14:textFill>
        </w:rPr>
        <w:t>冷鲜畜禽肉的食品安全指标。应符合 GB2707、GB18394 的规定，其中:鲜片猪肉的质量指标应符合 GB/T 9959.1的相应技术要求。国家有定点屠宰、检验检疫要求的品种，应来自定点屠宰厂出品、有国家规定的动物产品检疫合格证明及验讫印章、肉品品质检验合格证明及验讫印章等。学校宜采购新鲜猪肉，采购冷冻猪肉的，必须在显著位置公示。</w:t>
      </w:r>
    </w:p>
    <w:p w14:paraId="6D0BD3DF">
      <w:pPr>
        <w:keepNext w:val="0"/>
        <w:keepLines w:val="0"/>
        <w:pageBreakBefore w:val="0"/>
        <w:widowControl w:val="0"/>
        <w:kinsoku/>
        <w:wordWrap/>
        <w:overflowPunct/>
        <w:topLinePunct w:val="0"/>
        <w:bidi w:val="0"/>
        <w:snapToGrid/>
        <w:spacing w:line="360" w:lineRule="auto"/>
        <w:ind w:firstLine="420" w:firstLineChars="200"/>
        <w:rPr>
          <w:rFonts w:hint="eastAsia" w:ascii="宋体" w:hAnsi="宋体" w:eastAsia="宋体" w:cs="宋体"/>
          <w:b w:val="0"/>
          <w:bCs w:val="0"/>
          <w:color w:val="000000" w:themeColor="text1"/>
          <w:kern w:val="44"/>
          <w:sz w:val="21"/>
          <w:szCs w:val="21"/>
          <w:highlight w:val="none"/>
          <w:lang w:val="en-US" w:eastAsia="zh-CN"/>
          <w14:textFill>
            <w14:solidFill>
              <w14:schemeClr w14:val="tx1"/>
            </w14:solidFill>
          </w14:textFill>
        </w:rPr>
      </w:pPr>
      <w:r>
        <w:rPr>
          <w:rFonts w:hint="eastAsia" w:ascii="宋体" w:hAnsi="宋体" w:cs="宋体"/>
          <w:b w:val="0"/>
          <w:bCs w:val="0"/>
          <w:color w:val="000000" w:themeColor="text1"/>
          <w:kern w:val="44"/>
          <w:sz w:val="21"/>
          <w:szCs w:val="21"/>
          <w:highlight w:val="none"/>
          <w:lang w:val="en-US" w:eastAsia="zh-CN"/>
          <w14:textFill>
            <w14:solidFill>
              <w14:schemeClr w14:val="tx1"/>
            </w14:solidFill>
          </w14:textFill>
        </w:rPr>
        <w:t>7.</w:t>
      </w:r>
      <w:r>
        <w:rPr>
          <w:rFonts w:hint="eastAsia" w:ascii="宋体" w:hAnsi="宋体" w:eastAsia="宋体" w:cs="宋体"/>
          <w:b w:val="0"/>
          <w:bCs w:val="0"/>
          <w:color w:val="000000" w:themeColor="text1"/>
          <w:kern w:val="44"/>
          <w:sz w:val="21"/>
          <w:szCs w:val="21"/>
          <w:highlight w:val="none"/>
          <w:lang w:val="en-US" w:eastAsia="zh-CN"/>
          <w14:textFill>
            <w14:solidFill>
              <w14:schemeClr w14:val="tx1"/>
            </w14:solidFill>
          </w14:textFill>
        </w:rPr>
        <w:t>鲜蛋的食品安全指标。应符合 GB2749的规定，感官指标不低于国家有关食品质量标准的二级指标要求，应保证新鲜</w:t>
      </w:r>
      <w:r>
        <w:rPr>
          <w:rFonts w:hint="eastAsia" w:ascii="宋体" w:hAnsi="宋体" w:cs="宋体"/>
          <w:b w:val="0"/>
          <w:bCs w:val="0"/>
          <w:color w:val="000000" w:themeColor="text1"/>
          <w:kern w:val="44"/>
          <w:sz w:val="21"/>
          <w:szCs w:val="21"/>
          <w:highlight w:val="none"/>
          <w:lang w:val="en-US" w:eastAsia="zh-CN"/>
          <w14:textFill>
            <w14:solidFill>
              <w14:schemeClr w14:val="tx1"/>
            </w14:solidFill>
          </w14:textFill>
        </w:rPr>
        <w:t>。</w:t>
      </w:r>
    </w:p>
    <w:p w14:paraId="6E75CD9B">
      <w:pPr>
        <w:keepNext w:val="0"/>
        <w:keepLines w:val="0"/>
        <w:pageBreakBefore w:val="0"/>
        <w:widowControl w:val="0"/>
        <w:kinsoku/>
        <w:wordWrap/>
        <w:overflowPunct/>
        <w:topLinePunct w:val="0"/>
        <w:bidi w:val="0"/>
        <w:snapToGrid/>
        <w:spacing w:line="360" w:lineRule="auto"/>
        <w:ind w:firstLine="420" w:firstLineChars="200"/>
        <w:rPr>
          <w:rFonts w:hint="eastAsia" w:ascii="宋体" w:hAnsi="宋体" w:eastAsia="宋体" w:cs="宋体"/>
          <w:b w:val="0"/>
          <w:bCs w:val="0"/>
          <w:color w:val="000000" w:themeColor="text1"/>
          <w:kern w:val="44"/>
          <w:sz w:val="21"/>
          <w:szCs w:val="21"/>
          <w:highlight w:val="none"/>
          <w:lang w:val="en-US" w:eastAsia="zh-CN"/>
          <w14:textFill>
            <w14:solidFill>
              <w14:schemeClr w14:val="tx1"/>
            </w14:solidFill>
          </w14:textFill>
        </w:rPr>
      </w:pPr>
      <w:r>
        <w:rPr>
          <w:rFonts w:hint="eastAsia" w:ascii="宋体" w:hAnsi="宋体" w:cs="宋体"/>
          <w:b w:val="0"/>
          <w:bCs w:val="0"/>
          <w:color w:val="000000" w:themeColor="text1"/>
          <w:kern w:val="44"/>
          <w:sz w:val="21"/>
          <w:szCs w:val="21"/>
          <w:highlight w:val="none"/>
          <w:lang w:val="en-US" w:eastAsia="zh-CN"/>
          <w14:textFill>
            <w14:solidFill>
              <w14:schemeClr w14:val="tx1"/>
            </w14:solidFill>
          </w14:textFill>
        </w:rPr>
        <w:t>8.</w:t>
      </w:r>
      <w:r>
        <w:rPr>
          <w:rFonts w:hint="eastAsia" w:ascii="宋体" w:hAnsi="宋体" w:eastAsia="宋体" w:cs="宋体"/>
          <w:b w:val="0"/>
          <w:bCs w:val="0"/>
          <w:color w:val="000000" w:themeColor="text1"/>
          <w:kern w:val="44"/>
          <w:sz w:val="21"/>
          <w:szCs w:val="21"/>
          <w:highlight w:val="none"/>
          <w:lang w:val="en-US" w:eastAsia="zh-CN"/>
          <w14:textFill>
            <w14:solidFill>
              <w14:schemeClr w14:val="tx1"/>
            </w14:solidFill>
          </w14:textFill>
        </w:rPr>
        <w:t>食用农产品的指标。应提供食品检验合格证明，供应商对每批次食用农产品开展快检。</w:t>
      </w:r>
    </w:p>
    <w:p w14:paraId="44275EBA">
      <w:pPr>
        <w:keepNext w:val="0"/>
        <w:keepLines w:val="0"/>
        <w:pageBreakBefore w:val="0"/>
        <w:widowControl w:val="0"/>
        <w:kinsoku/>
        <w:wordWrap/>
        <w:overflowPunct/>
        <w:topLinePunct w:val="0"/>
        <w:bidi w:val="0"/>
        <w:snapToGrid/>
        <w:spacing w:line="360" w:lineRule="auto"/>
        <w:ind w:firstLine="420" w:firstLineChars="200"/>
        <w:rPr>
          <w:rFonts w:hint="eastAsia" w:ascii="宋体" w:hAnsi="宋体" w:eastAsia="宋体" w:cs="宋体"/>
          <w:b w:val="0"/>
          <w:bCs w:val="0"/>
          <w:color w:val="000000" w:themeColor="text1"/>
          <w:kern w:val="44"/>
          <w:sz w:val="21"/>
          <w:szCs w:val="21"/>
          <w:highlight w:val="none"/>
          <w:lang w:val="en-US" w:eastAsia="zh-CN"/>
          <w14:textFill>
            <w14:solidFill>
              <w14:schemeClr w14:val="tx1"/>
            </w14:solidFill>
          </w14:textFill>
        </w:rPr>
      </w:pPr>
      <w:r>
        <w:rPr>
          <w:rFonts w:hint="eastAsia" w:ascii="宋体" w:hAnsi="宋体" w:cs="宋体"/>
          <w:b w:val="0"/>
          <w:bCs w:val="0"/>
          <w:color w:val="000000" w:themeColor="text1"/>
          <w:kern w:val="44"/>
          <w:sz w:val="21"/>
          <w:szCs w:val="21"/>
          <w:highlight w:val="none"/>
          <w:lang w:val="en-US" w:eastAsia="zh-CN"/>
          <w14:textFill>
            <w14:solidFill>
              <w14:schemeClr w14:val="tx1"/>
            </w14:solidFill>
          </w14:textFill>
        </w:rPr>
        <w:t>9.</w:t>
      </w:r>
      <w:r>
        <w:rPr>
          <w:rFonts w:hint="eastAsia" w:ascii="宋体" w:hAnsi="宋体" w:eastAsia="宋体" w:cs="宋体"/>
          <w:b w:val="0"/>
          <w:bCs w:val="0"/>
          <w:color w:val="000000" w:themeColor="text1"/>
          <w:kern w:val="44"/>
          <w:sz w:val="21"/>
          <w:szCs w:val="21"/>
          <w:highlight w:val="none"/>
          <w:lang w:val="en-US" w:eastAsia="zh-CN"/>
          <w14:textFill>
            <w14:solidFill>
              <w14:schemeClr w14:val="tx1"/>
            </w14:solidFill>
          </w14:textFill>
        </w:rPr>
        <w:t>预包装食品剩余保质期(配送日期与生产日期之差)。不得低于标识保质期的50%，如标识保质期为12个月，则配送食品应为6个月内生产的食品。</w:t>
      </w:r>
    </w:p>
    <w:p w14:paraId="6A4D993E">
      <w:pPr>
        <w:keepNext w:val="0"/>
        <w:keepLines w:val="0"/>
        <w:pageBreakBefore w:val="0"/>
        <w:widowControl w:val="0"/>
        <w:kinsoku/>
        <w:wordWrap/>
        <w:overflowPunct/>
        <w:topLinePunct w:val="0"/>
        <w:bidi w:val="0"/>
        <w:snapToGrid/>
        <w:spacing w:line="360" w:lineRule="auto"/>
        <w:ind w:firstLine="420" w:firstLineChars="200"/>
        <w:rPr>
          <w:rFonts w:hint="eastAsia" w:ascii="宋体" w:hAnsi="宋体" w:eastAsia="宋体" w:cs="宋体"/>
          <w:b w:val="0"/>
          <w:bCs w:val="0"/>
          <w:color w:val="000000" w:themeColor="text1"/>
          <w:kern w:val="44"/>
          <w:sz w:val="21"/>
          <w:szCs w:val="21"/>
          <w:highlight w:val="none"/>
          <w:lang w:val="en-US" w:eastAsia="zh-CN"/>
          <w14:textFill>
            <w14:solidFill>
              <w14:schemeClr w14:val="tx1"/>
            </w14:solidFill>
          </w14:textFill>
        </w:rPr>
      </w:pPr>
      <w:r>
        <w:rPr>
          <w:rFonts w:hint="eastAsia" w:ascii="宋体" w:hAnsi="宋体" w:cs="宋体"/>
          <w:b w:val="0"/>
          <w:bCs w:val="0"/>
          <w:color w:val="000000" w:themeColor="text1"/>
          <w:kern w:val="44"/>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kern w:val="44"/>
          <w:sz w:val="21"/>
          <w:szCs w:val="21"/>
          <w:highlight w:val="none"/>
          <w:lang w:val="en-US" w:eastAsia="zh-CN"/>
          <w14:textFill>
            <w14:solidFill>
              <w14:schemeClr w14:val="tx1"/>
            </w14:solidFill>
          </w14:textFill>
        </w:rPr>
        <w:t>采购冷冻食品食材金额不得超过当餐采购总金额的30%。</w:t>
      </w:r>
    </w:p>
    <w:p w14:paraId="0524B7ED">
      <w:pPr>
        <w:keepNext w:val="0"/>
        <w:keepLines w:val="0"/>
        <w:pageBreakBefore w:val="0"/>
        <w:widowControl w:val="0"/>
        <w:kinsoku/>
        <w:wordWrap/>
        <w:overflowPunct/>
        <w:topLinePunct w:val="0"/>
        <w:bidi w:val="0"/>
        <w:snapToGrid/>
        <w:spacing w:line="360" w:lineRule="auto"/>
        <w:rPr>
          <w:rFonts w:hint="eastAsia" w:ascii="宋体" w:hAnsi="宋体" w:eastAsia="宋体" w:cs="宋体"/>
          <w:b/>
          <w:bCs/>
          <w:color w:val="000000" w:themeColor="text1"/>
          <w:kern w:val="44"/>
          <w:sz w:val="21"/>
          <w:szCs w:val="21"/>
          <w:highlight w:val="none"/>
          <w:lang w:eastAsia="zh-CN"/>
          <w14:textFill>
            <w14:solidFill>
              <w14:schemeClr w14:val="tx1"/>
            </w14:solidFill>
          </w14:textFill>
        </w:rPr>
      </w:pPr>
      <w:r>
        <w:rPr>
          <w:rFonts w:hint="eastAsia" w:ascii="宋体" w:hAnsi="宋体" w:cs="宋体"/>
          <w:b/>
          <w:bCs/>
          <w:color w:val="000000" w:themeColor="text1"/>
          <w:kern w:val="44"/>
          <w:sz w:val="21"/>
          <w:szCs w:val="21"/>
          <w:highlight w:val="none"/>
          <w:lang w:val="en-US" w:eastAsia="zh-CN"/>
          <w14:textFill>
            <w14:solidFill>
              <w14:schemeClr w14:val="tx1"/>
            </w14:solidFill>
          </w14:textFill>
        </w:rPr>
        <w:t>三</w:t>
      </w:r>
      <w:r>
        <w:rPr>
          <w:rFonts w:hint="eastAsia" w:ascii="宋体" w:hAnsi="宋体" w:eastAsia="宋体" w:cs="宋体"/>
          <w:b/>
          <w:bCs/>
          <w:color w:val="000000" w:themeColor="text1"/>
          <w:kern w:val="44"/>
          <w:sz w:val="21"/>
          <w:szCs w:val="21"/>
          <w:highlight w:val="none"/>
          <w:lang w:eastAsia="zh-CN"/>
          <w14:textFill>
            <w14:solidFill>
              <w14:schemeClr w14:val="tx1"/>
            </w14:solidFill>
          </w14:textFill>
        </w:rPr>
        <w:t>、项目内容</w:t>
      </w:r>
    </w:p>
    <w:p w14:paraId="3DD5F532">
      <w:pPr>
        <w:keepNext w:val="0"/>
        <w:keepLines w:val="0"/>
        <w:pageBreakBefore w:val="0"/>
        <w:widowControl w:val="0"/>
        <w:numPr>
          <w:ilvl w:val="0"/>
          <w:numId w:val="0"/>
        </w:numPr>
        <w:kinsoku/>
        <w:wordWrap/>
        <w:overflowPunct/>
        <w:topLinePunct w:val="0"/>
        <w:bidi w:val="0"/>
        <w:snapToGrid/>
        <w:spacing w:line="360" w:lineRule="auto"/>
        <w:ind w:left="0" w:leftChars="0" w:firstLine="525" w:firstLineChars="25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本项目为食堂采购大米、食用油、面粉、鲜肉蔬菜、调料、乳制品等主副食品。中标供应商需按采购单位实际需求分期分批提供。</w:t>
      </w:r>
    </w:p>
    <w:p w14:paraId="5388F6BC">
      <w:pPr>
        <w:keepNext w:val="0"/>
        <w:keepLines w:val="0"/>
        <w:pageBreakBefore w:val="0"/>
        <w:widowControl w:val="0"/>
        <w:numPr>
          <w:ilvl w:val="0"/>
          <w:numId w:val="0"/>
        </w:numPr>
        <w:kinsoku/>
        <w:wordWrap/>
        <w:overflowPunct/>
        <w:topLinePunct w:val="0"/>
        <w:bidi w:val="0"/>
        <w:snapToGrid/>
        <w:spacing w:line="360" w:lineRule="auto"/>
        <w:ind w:left="0" w:leftChars="0" w:firstLine="315" w:firstLineChars="15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饭堂早、</w:t>
      </w:r>
      <w:r>
        <w:rPr>
          <w:rFonts w:hint="eastAsia" w:ascii="宋体" w:hAnsi="宋体" w:eastAsia="宋体" w:cs="宋体"/>
          <w:color w:val="000000" w:themeColor="text1"/>
          <w:sz w:val="21"/>
          <w:szCs w:val="21"/>
          <w:highlight w:val="none"/>
          <w:lang w:val="en-US" w:eastAsia="zh-CN"/>
          <w14:textFill>
            <w14:solidFill>
              <w14:schemeClr w14:val="tx1"/>
            </w14:solidFill>
          </w14:textFill>
        </w:rPr>
        <w:t>午</w:t>
      </w:r>
      <w:r>
        <w:rPr>
          <w:rFonts w:hint="eastAsia" w:ascii="宋体" w:hAnsi="宋体" w:eastAsia="宋体" w:cs="宋体"/>
          <w:color w:val="000000" w:themeColor="text1"/>
          <w:sz w:val="21"/>
          <w:szCs w:val="21"/>
          <w:highlight w:val="none"/>
          <w:lang w:eastAsia="zh-CN"/>
          <w14:textFill>
            <w14:solidFill>
              <w14:schemeClr w14:val="tx1"/>
            </w14:solidFill>
          </w14:textFill>
        </w:rPr>
        <w:t>餐用膳所需农副产品、粮油副食供应配送服务。</w:t>
      </w:r>
    </w:p>
    <w:p w14:paraId="7FF919F7">
      <w:pPr>
        <w:keepNext w:val="0"/>
        <w:keepLines w:val="0"/>
        <w:pageBreakBefore w:val="0"/>
        <w:widowControl w:val="0"/>
        <w:numPr>
          <w:ilvl w:val="0"/>
          <w:numId w:val="0"/>
        </w:numPr>
        <w:kinsoku/>
        <w:wordWrap/>
        <w:overflowPunct/>
        <w:topLinePunct w:val="0"/>
        <w:bidi w:val="0"/>
        <w:snapToGrid/>
        <w:spacing w:line="360" w:lineRule="auto"/>
        <w:ind w:left="0" w:leftChars="0" w:firstLine="315" w:firstLineChars="15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食材原材料包括农业生产所带来的副产品，包括农、林、牧、副、渔五业产品， 分为粮食、经济作物、禽畜产品、干鲜果、干鲜菜及调味品、药材、土副产品、水产品等若干大类。</w:t>
      </w:r>
    </w:p>
    <w:p w14:paraId="51A2853F">
      <w:pPr>
        <w:keepNext w:val="0"/>
        <w:keepLines w:val="0"/>
        <w:pageBreakBefore w:val="0"/>
        <w:widowControl w:val="0"/>
        <w:numPr>
          <w:ilvl w:val="0"/>
          <w:numId w:val="0"/>
        </w:numPr>
        <w:kinsoku/>
        <w:wordWrap/>
        <w:overflowPunct/>
        <w:topLinePunct w:val="0"/>
        <w:bidi w:val="0"/>
        <w:snapToGrid/>
        <w:spacing w:line="360" w:lineRule="auto"/>
        <w:ind w:left="0" w:leftChars="0" w:firstLine="315" w:firstLineChars="15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副食品是指一般是经过精加工的食品和粮油制品。</w:t>
      </w:r>
    </w:p>
    <w:p w14:paraId="77365137">
      <w:pPr>
        <w:keepNext w:val="0"/>
        <w:keepLines w:val="0"/>
        <w:pageBreakBefore w:val="0"/>
        <w:widowControl w:val="0"/>
        <w:numPr>
          <w:ilvl w:val="0"/>
          <w:numId w:val="0"/>
        </w:numPr>
        <w:kinsoku/>
        <w:wordWrap/>
        <w:overflowPunct/>
        <w:topLinePunct w:val="0"/>
        <w:bidi w:val="0"/>
        <w:snapToGrid/>
        <w:spacing w:line="360" w:lineRule="auto"/>
        <w:ind w:left="0" w:leftChars="0" w:firstLine="315" w:firstLineChars="15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粮谷分为谷类、麦类、杂粮类和豆类。包括：稻谷、小麦、玉米、高粱、谷子。</w:t>
      </w:r>
    </w:p>
    <w:p w14:paraId="7861B42F">
      <w:pPr>
        <w:keepNext w:val="0"/>
        <w:keepLines w:val="0"/>
        <w:pageBreakBefore w:val="0"/>
        <w:widowControl w:val="0"/>
        <w:numPr>
          <w:ilvl w:val="0"/>
          <w:numId w:val="0"/>
        </w:numPr>
        <w:kinsoku/>
        <w:wordWrap/>
        <w:overflowPunct/>
        <w:topLinePunct w:val="0"/>
        <w:bidi w:val="0"/>
        <w:snapToGrid/>
        <w:spacing w:line="360" w:lineRule="auto"/>
        <w:ind w:left="0" w:leftChars="0" w:firstLine="315" w:firstLineChars="15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大麦、</w:t>
      </w:r>
      <w:r>
        <w:rPr>
          <w:rFonts w:hint="eastAsia" w:ascii="宋体" w:hAnsi="宋体" w:eastAsia="宋体" w:cs="宋体"/>
          <w:color w:val="000000" w:themeColor="text1"/>
          <w:sz w:val="21"/>
          <w:szCs w:val="21"/>
          <w:highlight w:val="none"/>
          <w:lang w:val="en-US" w:eastAsia="zh-CN"/>
          <w14:textFill>
            <w14:solidFill>
              <w14:schemeClr w14:val="tx1"/>
            </w14:solidFill>
          </w14:textFill>
        </w:rPr>
        <w:t>荞</w:t>
      </w:r>
      <w:r>
        <w:rPr>
          <w:rFonts w:hint="eastAsia" w:ascii="宋体" w:hAnsi="宋体" w:eastAsia="宋体" w:cs="宋体"/>
          <w:color w:val="000000" w:themeColor="text1"/>
          <w:sz w:val="21"/>
          <w:szCs w:val="21"/>
          <w:highlight w:val="none"/>
          <w:lang w:eastAsia="zh-CN"/>
          <w14:textFill>
            <w14:solidFill>
              <w14:schemeClr w14:val="tx1"/>
            </w14:solidFill>
          </w14:textFill>
        </w:rPr>
        <w:t>麦、大豆、小豆、绿豆、蚕豆、芸豆、甘薯等。</w:t>
      </w:r>
    </w:p>
    <w:p w14:paraId="342657D9">
      <w:pPr>
        <w:keepNext w:val="0"/>
        <w:keepLines w:val="0"/>
        <w:pageBreakBefore w:val="0"/>
        <w:widowControl w:val="0"/>
        <w:numPr>
          <w:ilvl w:val="0"/>
          <w:numId w:val="0"/>
        </w:numPr>
        <w:kinsoku/>
        <w:wordWrap/>
        <w:overflowPunct/>
        <w:topLinePunct w:val="0"/>
        <w:bidi w:val="0"/>
        <w:snapToGrid/>
        <w:spacing w:line="360" w:lineRule="auto"/>
        <w:ind w:left="0" w:leftChars="0" w:firstLine="315" w:firstLineChars="15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lang w:eastAsia="zh-CN"/>
          <w14:textFill>
            <w14:solidFill>
              <w14:schemeClr w14:val="tx1"/>
            </w14:solidFill>
          </w14:textFill>
        </w:rPr>
        <w:t>成品粮包括：大米、小麦粉、小米、油菜籽、白芝麻、黑芝麻、棉籽、葵花籽、香瓜籽、油茶籽、</w:t>
      </w:r>
      <w:r>
        <w:rPr>
          <w:rFonts w:hint="eastAsia" w:ascii="宋体" w:hAnsi="宋体" w:eastAsia="宋体" w:cs="宋体"/>
          <w:color w:val="000000" w:themeColor="text1"/>
          <w:sz w:val="21"/>
          <w:szCs w:val="21"/>
          <w:highlight w:val="none"/>
          <w:lang w:val="en-US" w:eastAsia="zh-CN"/>
          <w14:textFill>
            <w14:solidFill>
              <w14:schemeClr w14:val="tx1"/>
            </w14:solidFill>
          </w14:textFill>
        </w:rPr>
        <w:t>棕榈</w:t>
      </w:r>
      <w:r>
        <w:rPr>
          <w:rFonts w:hint="eastAsia" w:ascii="宋体" w:hAnsi="宋体" w:eastAsia="宋体" w:cs="宋体"/>
          <w:color w:val="000000" w:themeColor="text1"/>
          <w:sz w:val="21"/>
          <w:szCs w:val="21"/>
          <w:highlight w:val="none"/>
          <w:lang w:eastAsia="zh-CN"/>
          <w14:textFill>
            <w14:solidFill>
              <w14:schemeClr w14:val="tx1"/>
            </w14:solidFill>
          </w14:textFill>
        </w:rPr>
        <w:t>籽等。</w:t>
      </w:r>
    </w:p>
    <w:p w14:paraId="1A3FD5F5">
      <w:pPr>
        <w:keepNext w:val="0"/>
        <w:keepLines w:val="0"/>
        <w:pageBreakBefore w:val="0"/>
        <w:widowControl w:val="0"/>
        <w:numPr>
          <w:ilvl w:val="0"/>
          <w:numId w:val="0"/>
        </w:numPr>
        <w:kinsoku/>
        <w:wordWrap/>
        <w:overflowPunct/>
        <w:topLinePunct w:val="0"/>
        <w:bidi w:val="0"/>
        <w:snapToGrid/>
        <w:spacing w:line="360" w:lineRule="auto"/>
        <w:ind w:left="0" w:leftChars="0" w:firstLine="315" w:firstLineChars="15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lang w:eastAsia="zh-CN"/>
          <w14:textFill>
            <w14:solidFill>
              <w14:schemeClr w14:val="tx1"/>
            </w14:solidFill>
          </w14:textFill>
        </w:rPr>
        <w:t>油脂包括：花生油、菜油、香油、葵花籽油、</w:t>
      </w:r>
      <w:r>
        <w:rPr>
          <w:rFonts w:hint="eastAsia" w:ascii="宋体" w:hAnsi="宋体" w:eastAsia="宋体" w:cs="宋体"/>
          <w:color w:val="000000" w:themeColor="text1"/>
          <w:sz w:val="21"/>
          <w:szCs w:val="21"/>
          <w:highlight w:val="none"/>
          <w:lang w:val="en-US" w:eastAsia="zh-CN"/>
          <w14:textFill>
            <w14:solidFill>
              <w14:schemeClr w14:val="tx1"/>
            </w14:solidFill>
          </w14:textFill>
        </w:rPr>
        <w:t>蓖麻</w:t>
      </w:r>
      <w:r>
        <w:rPr>
          <w:rFonts w:hint="eastAsia" w:ascii="宋体" w:hAnsi="宋体" w:eastAsia="宋体" w:cs="宋体"/>
          <w:color w:val="000000" w:themeColor="text1"/>
          <w:sz w:val="21"/>
          <w:szCs w:val="21"/>
          <w:highlight w:val="none"/>
          <w:lang w:eastAsia="zh-CN"/>
          <w14:textFill>
            <w14:solidFill>
              <w14:schemeClr w14:val="tx1"/>
            </w14:solidFill>
          </w14:textFill>
        </w:rPr>
        <w:t>籽油、大豆油、玉米胚油、</w:t>
      </w:r>
      <w:r>
        <w:rPr>
          <w:rFonts w:hint="eastAsia" w:ascii="宋体" w:hAnsi="宋体" w:eastAsia="宋体" w:cs="宋体"/>
          <w:color w:val="000000" w:themeColor="text1"/>
          <w:sz w:val="21"/>
          <w:szCs w:val="21"/>
          <w:highlight w:val="none"/>
          <w:lang w:val="en-US" w:eastAsia="zh-CN"/>
          <w14:textFill>
            <w14:solidFill>
              <w14:schemeClr w14:val="tx1"/>
            </w14:solidFill>
          </w14:textFill>
        </w:rPr>
        <w:t>棕榈</w:t>
      </w:r>
      <w:r>
        <w:rPr>
          <w:rFonts w:hint="eastAsia" w:ascii="宋体" w:hAnsi="宋体" w:eastAsia="宋体" w:cs="宋体"/>
          <w:color w:val="000000" w:themeColor="text1"/>
          <w:sz w:val="21"/>
          <w:szCs w:val="21"/>
          <w:highlight w:val="none"/>
          <w:lang w:eastAsia="zh-CN"/>
          <w14:textFill>
            <w14:solidFill>
              <w14:schemeClr w14:val="tx1"/>
            </w14:solidFill>
          </w14:textFill>
        </w:rPr>
        <w:t>油、橄榄油、色拉油、调和油、调味油、起</w:t>
      </w:r>
      <w:r>
        <w:rPr>
          <w:rFonts w:hint="eastAsia" w:ascii="宋体" w:hAnsi="宋体" w:eastAsia="宋体" w:cs="宋体"/>
          <w:color w:val="000000" w:themeColor="text1"/>
          <w:sz w:val="21"/>
          <w:szCs w:val="21"/>
          <w:highlight w:val="none"/>
          <w:lang w:val="en-US" w:eastAsia="zh-CN"/>
          <w14:textFill>
            <w14:solidFill>
              <w14:schemeClr w14:val="tx1"/>
            </w14:solidFill>
          </w14:textFill>
        </w:rPr>
        <w:t>酥</w:t>
      </w:r>
      <w:r>
        <w:rPr>
          <w:rFonts w:hint="eastAsia" w:ascii="宋体" w:hAnsi="宋体" w:eastAsia="宋体" w:cs="宋体"/>
          <w:color w:val="000000" w:themeColor="text1"/>
          <w:sz w:val="21"/>
          <w:szCs w:val="21"/>
          <w:highlight w:val="none"/>
          <w:lang w:eastAsia="zh-CN"/>
          <w14:textFill>
            <w14:solidFill>
              <w14:schemeClr w14:val="tx1"/>
            </w14:solidFill>
          </w14:textFill>
        </w:rPr>
        <w:t>油等。</w:t>
      </w:r>
    </w:p>
    <w:p w14:paraId="714AB14E">
      <w:pPr>
        <w:keepNext w:val="0"/>
        <w:keepLines w:val="0"/>
        <w:pageBreakBefore w:val="0"/>
        <w:widowControl w:val="0"/>
        <w:numPr>
          <w:ilvl w:val="0"/>
          <w:numId w:val="0"/>
        </w:numPr>
        <w:kinsoku/>
        <w:wordWrap/>
        <w:overflowPunct/>
        <w:topLinePunct w:val="0"/>
        <w:bidi w:val="0"/>
        <w:snapToGrid/>
        <w:spacing w:line="360" w:lineRule="auto"/>
        <w:ind w:left="0" w:leftChars="0" w:firstLine="315" w:firstLineChars="15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lang w:eastAsia="zh-CN"/>
          <w14:textFill>
            <w14:solidFill>
              <w14:schemeClr w14:val="tx1"/>
            </w14:solidFill>
          </w14:textFill>
        </w:rPr>
        <w:t>粮油制品包括：杂面茶、挂面、龙须面、</w:t>
      </w:r>
      <w:r>
        <w:rPr>
          <w:rFonts w:hint="eastAsia" w:ascii="宋体" w:hAnsi="宋体" w:eastAsia="宋体" w:cs="宋体"/>
          <w:color w:val="000000" w:themeColor="text1"/>
          <w:sz w:val="21"/>
          <w:szCs w:val="21"/>
          <w:highlight w:val="none"/>
          <w:lang w:val="en-US" w:eastAsia="zh-CN"/>
          <w14:textFill>
            <w14:solidFill>
              <w14:schemeClr w14:val="tx1"/>
            </w14:solidFill>
          </w14:textFill>
        </w:rPr>
        <w:t>荞</w:t>
      </w:r>
      <w:r>
        <w:rPr>
          <w:rFonts w:hint="eastAsia" w:ascii="宋体" w:hAnsi="宋体" w:eastAsia="宋体" w:cs="宋体"/>
          <w:color w:val="000000" w:themeColor="text1"/>
          <w:sz w:val="21"/>
          <w:szCs w:val="21"/>
          <w:highlight w:val="none"/>
          <w:lang w:eastAsia="zh-CN"/>
          <w14:textFill>
            <w14:solidFill>
              <w14:schemeClr w14:val="tx1"/>
            </w14:solidFill>
          </w14:textFill>
        </w:rPr>
        <w:t>麦挂面、通心面、凉面、面饼、米粉、饼干、烧饼、面筋、可可粉、色拉调料、芝麻酱、花生酱等。</w:t>
      </w:r>
    </w:p>
    <w:p w14:paraId="2E765DDE">
      <w:pPr>
        <w:keepNext w:val="0"/>
        <w:keepLines w:val="0"/>
        <w:pageBreakBefore w:val="0"/>
        <w:widowControl w:val="0"/>
        <w:numPr>
          <w:ilvl w:val="0"/>
          <w:numId w:val="0"/>
        </w:numPr>
        <w:kinsoku/>
        <w:wordWrap/>
        <w:overflowPunct/>
        <w:topLinePunct w:val="0"/>
        <w:bidi w:val="0"/>
        <w:snapToGrid/>
        <w:spacing w:line="360" w:lineRule="auto"/>
        <w:ind w:left="0" w:leftChars="0" w:firstLine="315" w:firstLineChars="15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lang w:eastAsia="zh-CN"/>
          <w14:textFill>
            <w14:solidFill>
              <w14:schemeClr w14:val="tx1"/>
            </w14:solidFill>
          </w14:textFill>
        </w:rPr>
        <w:t>所供应的蔬菜瓜果类食品必须有检测中心</w:t>
      </w:r>
      <w:r>
        <w:rPr>
          <w:rFonts w:hint="eastAsia" w:ascii="宋体" w:hAnsi="宋体" w:eastAsia="宋体" w:cs="宋体"/>
          <w:color w:val="000000" w:themeColor="text1"/>
          <w:sz w:val="21"/>
          <w:szCs w:val="21"/>
          <w:highlight w:val="none"/>
          <w:lang w:val="en-US" w:eastAsia="zh-CN"/>
          <w14:textFill>
            <w14:solidFill>
              <w14:schemeClr w14:val="tx1"/>
            </w14:solidFill>
          </w14:textFill>
        </w:rPr>
        <w:t>提</w:t>
      </w:r>
      <w:r>
        <w:rPr>
          <w:rFonts w:hint="eastAsia" w:ascii="宋体" w:hAnsi="宋体" w:eastAsia="宋体" w:cs="宋体"/>
          <w:color w:val="000000" w:themeColor="text1"/>
          <w:sz w:val="21"/>
          <w:szCs w:val="21"/>
          <w:highlight w:val="none"/>
          <w:lang w:eastAsia="zh-CN"/>
          <w14:textFill>
            <w14:solidFill>
              <w14:schemeClr w14:val="tx1"/>
            </w14:solidFill>
          </w14:textFill>
        </w:rPr>
        <w:t>供的农药检测证明，且量足价平，并提供有完善的售后服务。</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1" w:type="dxa"/>
          <w:bottom w:w="0" w:type="dxa"/>
          <w:right w:w="11" w:type="dxa"/>
        </w:tblCellMar>
      </w:tblPr>
      <w:tblGrid>
        <w:gridCol w:w="1063"/>
        <w:gridCol w:w="1246"/>
        <w:gridCol w:w="5"/>
        <w:gridCol w:w="6545"/>
      </w:tblGrid>
      <w:tr w14:paraId="5A509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28" w:hRule="exact"/>
          <w:jc w:val="center"/>
        </w:trPr>
        <w:tc>
          <w:tcPr>
            <w:tcW w:w="2314" w:type="dxa"/>
            <w:gridSpan w:val="3"/>
            <w:shd w:val="clear" w:color="auto" w:fill="FFFFFF"/>
            <w:noWrap w:val="0"/>
            <w:vAlign w:val="center"/>
          </w:tcPr>
          <w:p w14:paraId="78B0E09B">
            <w:pPr>
              <w:pStyle w:val="25"/>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宋体" w:hAnsi="宋体" w:eastAsia="宋体" w:cs="宋体"/>
                <w:color w:val="000000" w:themeColor="text1"/>
                <w:spacing w:val="0"/>
                <w:w w:val="100"/>
                <w:position w:val="0"/>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pacing w:val="0"/>
                <w:w w:val="100"/>
                <w:position w:val="0"/>
                <w:sz w:val="21"/>
                <w:szCs w:val="21"/>
                <w:highlight w:val="none"/>
                <w:shd w:val="clear" w:color="auto" w:fill="auto"/>
                <w14:textFill>
                  <w14:solidFill>
                    <w14:schemeClr w14:val="tx1"/>
                  </w14:solidFill>
                </w14:textFill>
              </w:rPr>
              <w:t>类别</w:t>
            </w:r>
          </w:p>
        </w:tc>
        <w:tc>
          <w:tcPr>
            <w:tcW w:w="6545" w:type="dxa"/>
            <w:shd w:val="clear" w:color="auto" w:fill="FFFFFF"/>
            <w:noWrap w:val="0"/>
            <w:vAlign w:val="center"/>
          </w:tcPr>
          <w:p w14:paraId="470A2BB1">
            <w:pPr>
              <w:pStyle w:val="25"/>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宋体" w:hAnsi="宋体" w:eastAsia="宋体" w:cs="宋体"/>
                <w:color w:val="000000" w:themeColor="text1"/>
                <w:spacing w:val="0"/>
                <w:w w:val="100"/>
                <w:position w:val="0"/>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pacing w:val="0"/>
                <w:w w:val="100"/>
                <w:position w:val="0"/>
                <w:sz w:val="21"/>
                <w:szCs w:val="21"/>
                <w:highlight w:val="none"/>
                <w:shd w:val="clear" w:color="auto" w:fill="auto"/>
                <w14:textFill>
                  <w14:solidFill>
                    <w14:schemeClr w14:val="tx1"/>
                  </w14:solidFill>
                </w14:textFill>
              </w:rPr>
              <w:t>种类名称</w:t>
            </w:r>
          </w:p>
        </w:tc>
      </w:tr>
      <w:tr w14:paraId="353AE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053" w:hRule="exact"/>
          <w:jc w:val="center"/>
        </w:trPr>
        <w:tc>
          <w:tcPr>
            <w:tcW w:w="1063" w:type="dxa"/>
            <w:vMerge w:val="restart"/>
            <w:shd w:val="clear" w:color="auto" w:fill="FFFFFF"/>
            <w:noWrap w:val="0"/>
            <w:vAlign w:val="center"/>
          </w:tcPr>
          <w:p w14:paraId="584A3449">
            <w:pPr>
              <w:pStyle w:val="25"/>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0"/>
                <w:w w:val="100"/>
                <w:position w:val="0"/>
                <w:sz w:val="21"/>
                <w:szCs w:val="21"/>
                <w:highlight w:val="none"/>
                <w:shd w:val="clear" w:color="auto" w:fill="auto"/>
                <w14:textFill>
                  <w14:solidFill>
                    <w14:schemeClr w14:val="tx1"/>
                  </w14:solidFill>
                </w14:textFill>
              </w:rPr>
              <w:t>食材原材料</w:t>
            </w:r>
          </w:p>
        </w:tc>
        <w:tc>
          <w:tcPr>
            <w:tcW w:w="1251" w:type="dxa"/>
            <w:gridSpan w:val="2"/>
            <w:shd w:val="clear" w:color="auto" w:fill="FFFFFF"/>
            <w:noWrap w:val="0"/>
            <w:vAlign w:val="center"/>
          </w:tcPr>
          <w:p w14:paraId="7051E2F6">
            <w:pPr>
              <w:pStyle w:val="25"/>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16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0"/>
                <w:w w:val="100"/>
                <w:position w:val="0"/>
                <w:sz w:val="21"/>
                <w:szCs w:val="21"/>
                <w:highlight w:val="none"/>
                <w:shd w:val="clear" w:color="auto" w:fill="auto"/>
                <w14:textFill>
                  <w14:solidFill>
                    <w14:schemeClr w14:val="tx1"/>
                  </w14:solidFill>
                </w14:textFill>
              </w:rPr>
              <w:t>蔬菜类</w:t>
            </w:r>
          </w:p>
        </w:tc>
        <w:tc>
          <w:tcPr>
            <w:tcW w:w="6545" w:type="dxa"/>
            <w:shd w:val="clear" w:color="auto" w:fill="FFFFFF"/>
            <w:noWrap w:val="0"/>
            <w:vAlign w:val="center"/>
          </w:tcPr>
          <w:p w14:paraId="37C87A28">
            <w:pPr>
              <w:pStyle w:val="25"/>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0"/>
                <w:w w:val="100"/>
                <w:position w:val="0"/>
                <w:sz w:val="21"/>
                <w:szCs w:val="21"/>
                <w:highlight w:val="none"/>
                <w:shd w:val="clear" w:color="auto" w:fill="auto"/>
                <w14:textFill>
                  <w14:solidFill>
                    <w14:schemeClr w14:val="tx1"/>
                  </w14:solidFill>
                </w14:textFill>
              </w:rPr>
              <w:t>生菜、上海青、小白菜、苦麦菜、包心菜、通心菜、芥菜、奶白菜、 韭菜、西洋菜、枸杞叶、绍菜、潺菜、番薯叶、香花菜、大白菜、 春菜、菜心、油麦菜、</w:t>
            </w:r>
            <w:r>
              <w:rPr>
                <w:rFonts w:hint="eastAsia" w:ascii="宋体" w:hAnsi="宋体" w:eastAsia="宋体" w:cs="宋体"/>
                <w:color w:val="000000" w:themeColor="text1"/>
                <w:spacing w:val="0"/>
                <w:w w:val="100"/>
                <w:position w:val="0"/>
                <w:sz w:val="21"/>
                <w:szCs w:val="21"/>
                <w:highlight w:val="none"/>
                <w:shd w:val="clear" w:color="auto" w:fill="auto"/>
                <w:lang w:val="en-US" w:eastAsia="zh-CN"/>
                <w14:textFill>
                  <w14:solidFill>
                    <w14:schemeClr w14:val="tx1"/>
                  </w14:solidFill>
                </w14:textFill>
              </w:rPr>
              <w:t>苋</w:t>
            </w:r>
            <w:r>
              <w:rPr>
                <w:rFonts w:hint="eastAsia" w:ascii="宋体" w:hAnsi="宋体" w:eastAsia="宋体" w:cs="宋体"/>
                <w:color w:val="000000" w:themeColor="text1"/>
                <w:spacing w:val="0"/>
                <w:w w:val="100"/>
                <w:position w:val="0"/>
                <w:sz w:val="21"/>
                <w:szCs w:val="21"/>
                <w:highlight w:val="none"/>
                <w:shd w:val="clear" w:color="auto" w:fill="auto"/>
                <w14:textFill>
                  <w14:solidFill>
                    <w14:schemeClr w14:val="tx1"/>
                  </w14:solidFill>
                </w14:textFill>
              </w:rPr>
              <w:t>菜、韭菜花、葱、姜、沙姜、蒜头、蒜苗、 蒜心、菜花、圆椒、尖椒、兰豆、豆角、西芹、香芹、韭黄、芫茜（香菜）、菠菜、紫苏叶、</w:t>
            </w:r>
            <w:r>
              <w:rPr>
                <w:rFonts w:hint="eastAsia" w:ascii="宋体" w:hAnsi="宋体" w:eastAsia="宋体" w:cs="宋体"/>
                <w:color w:val="000000" w:themeColor="text1"/>
                <w:spacing w:val="0"/>
                <w:w w:val="100"/>
                <w:position w:val="0"/>
                <w:sz w:val="21"/>
                <w:szCs w:val="21"/>
                <w:highlight w:val="none"/>
                <w:shd w:val="clear" w:color="auto" w:fill="auto"/>
                <w:lang w:val="en-US" w:eastAsia="zh-CN"/>
                <w14:textFill>
                  <w14:solidFill>
                    <w14:schemeClr w14:val="tx1"/>
                  </w14:solidFill>
                </w14:textFill>
              </w:rPr>
              <w:t>莴</w:t>
            </w:r>
            <w:r>
              <w:rPr>
                <w:rFonts w:hint="eastAsia" w:ascii="宋体" w:hAnsi="宋体" w:eastAsia="宋体" w:cs="宋体"/>
                <w:color w:val="000000" w:themeColor="text1"/>
                <w:spacing w:val="0"/>
                <w:w w:val="100"/>
                <w:position w:val="0"/>
                <w:sz w:val="21"/>
                <w:szCs w:val="21"/>
                <w:highlight w:val="none"/>
                <w:shd w:val="clear" w:color="auto" w:fill="auto"/>
                <w14:textFill>
                  <w14:solidFill>
                    <w14:schemeClr w14:val="tx1"/>
                  </w14:solidFill>
                </w14:textFill>
              </w:rPr>
              <w:t>笋、皇帝菜、豆芽、洋葱、蒜头、胶笋、芦笋、牛</w:t>
            </w:r>
            <w:r>
              <w:rPr>
                <w:rFonts w:hint="eastAsia" w:ascii="宋体" w:hAnsi="宋体" w:eastAsia="宋体" w:cs="宋体"/>
                <w:color w:val="000000" w:themeColor="text1"/>
                <w:spacing w:val="0"/>
                <w:w w:val="100"/>
                <w:position w:val="0"/>
                <w:sz w:val="21"/>
                <w:szCs w:val="21"/>
                <w:highlight w:val="none"/>
                <w:shd w:val="clear" w:color="auto" w:fill="auto"/>
                <w:lang w:val="en-US" w:eastAsia="zh-CN"/>
                <w14:textFill>
                  <w14:solidFill>
                    <w14:schemeClr w14:val="tx1"/>
                  </w14:solidFill>
                </w14:textFill>
              </w:rPr>
              <w:t>蒡</w:t>
            </w:r>
            <w:r>
              <w:rPr>
                <w:rFonts w:hint="eastAsia" w:ascii="宋体" w:hAnsi="宋体" w:eastAsia="宋体" w:cs="宋体"/>
                <w:color w:val="000000" w:themeColor="text1"/>
                <w:spacing w:val="0"/>
                <w:w w:val="100"/>
                <w:position w:val="0"/>
                <w:sz w:val="21"/>
                <w:szCs w:val="21"/>
                <w:highlight w:val="none"/>
                <w:shd w:val="clear" w:color="auto" w:fill="auto"/>
                <w14:textFill>
                  <w14:solidFill>
                    <w14:schemeClr w14:val="tx1"/>
                  </w14:solidFill>
                </w14:textFill>
              </w:rPr>
              <w:t>、京葱、雪里红、菜花、西兰花等。</w:t>
            </w:r>
          </w:p>
        </w:tc>
      </w:tr>
      <w:tr w14:paraId="01C3B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898" w:hRule="exact"/>
          <w:jc w:val="center"/>
        </w:trPr>
        <w:tc>
          <w:tcPr>
            <w:tcW w:w="1063" w:type="dxa"/>
            <w:vMerge w:val="continue"/>
            <w:shd w:val="clear" w:color="auto" w:fill="FFFFFF"/>
            <w:noWrap w:val="0"/>
            <w:vAlign w:val="center"/>
          </w:tcPr>
          <w:p w14:paraId="6209366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251" w:type="dxa"/>
            <w:gridSpan w:val="2"/>
            <w:shd w:val="clear" w:color="auto" w:fill="FFFFFF"/>
            <w:noWrap w:val="0"/>
            <w:vAlign w:val="center"/>
          </w:tcPr>
          <w:p w14:paraId="532515C0">
            <w:pPr>
              <w:pStyle w:val="25"/>
              <w:keepNext w:val="0"/>
              <w:keepLines w:val="0"/>
              <w:pageBreakBefore w:val="0"/>
              <w:widowControl w:val="0"/>
              <w:shd w:val="clear" w:color="auto" w:fill="auto"/>
              <w:kinsoku/>
              <w:wordWrap/>
              <w:overflowPunct/>
              <w:topLinePunct w:val="0"/>
              <w:autoSpaceDE/>
              <w:autoSpaceDN/>
              <w:bidi w:val="0"/>
              <w:adjustRightInd/>
              <w:snapToGrid/>
              <w:spacing w:before="0" w:after="220" w:line="320" w:lineRule="exact"/>
              <w:ind w:left="0" w:right="0" w:firstLine="16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0"/>
                <w:w w:val="100"/>
                <w:position w:val="0"/>
                <w:sz w:val="21"/>
                <w:szCs w:val="21"/>
                <w:highlight w:val="none"/>
                <w:shd w:val="clear" w:color="auto" w:fill="auto"/>
                <w14:textFill>
                  <w14:solidFill>
                    <w14:schemeClr w14:val="tx1"/>
                  </w14:solidFill>
                </w14:textFill>
              </w:rPr>
              <w:t>瓜果类</w:t>
            </w:r>
          </w:p>
          <w:p w14:paraId="0711A7A6">
            <w:pPr>
              <w:pStyle w:val="25"/>
              <w:keepNext w:val="0"/>
              <w:keepLines w:val="0"/>
              <w:pageBreakBefore w:val="0"/>
              <w:widowControl w:val="0"/>
              <w:shd w:val="clear" w:color="auto" w:fill="auto"/>
              <w:kinsoku/>
              <w:wordWrap/>
              <w:overflowPunct/>
              <w:topLinePunct w:val="0"/>
              <w:autoSpaceDE/>
              <w:autoSpaceDN/>
              <w:bidi w:val="0"/>
              <w:adjustRightInd/>
              <w:snapToGrid/>
              <w:spacing w:before="0" w:after="220" w:line="320" w:lineRule="exact"/>
              <w:ind w:left="0" w:leftChars="0" w:right="0" w:firstLine="0" w:firstLine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0"/>
                <w:w w:val="100"/>
                <w:position w:val="0"/>
                <w:sz w:val="21"/>
                <w:szCs w:val="21"/>
                <w:highlight w:val="none"/>
                <w:shd w:val="clear" w:color="auto" w:fill="auto"/>
                <w14:textFill>
                  <w14:solidFill>
                    <w14:schemeClr w14:val="tx1"/>
                  </w14:solidFill>
                </w14:textFill>
              </w:rPr>
              <w:t>（含蔬果、水果产品）</w:t>
            </w:r>
          </w:p>
        </w:tc>
        <w:tc>
          <w:tcPr>
            <w:tcW w:w="6545" w:type="dxa"/>
            <w:shd w:val="clear" w:color="auto" w:fill="FFFFFF"/>
            <w:noWrap w:val="0"/>
            <w:vAlign w:val="center"/>
          </w:tcPr>
          <w:p w14:paraId="2FFCE6A4">
            <w:pPr>
              <w:pStyle w:val="25"/>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0"/>
                <w:w w:val="100"/>
                <w:position w:val="0"/>
                <w:sz w:val="21"/>
                <w:szCs w:val="21"/>
                <w:highlight w:val="none"/>
                <w:shd w:val="clear" w:color="auto" w:fill="auto"/>
                <w14:textFill>
                  <w14:solidFill>
                    <w14:schemeClr w14:val="tx1"/>
                  </w14:solidFill>
                </w14:textFill>
              </w:rPr>
              <w:t xml:space="preserve">青瓜、白瓜、丝瓜、节瓜、冬瓜、南瓜、葫芦瓜、水瓜、佛手瓜、 木瓜、苦瓜、茄瓜、黄瓜、云南小瓜、西红市、土豆、黄豆、 </w:t>
            </w:r>
            <w:r>
              <w:rPr>
                <w:rFonts w:hint="eastAsia" w:ascii="宋体" w:hAnsi="宋体" w:eastAsia="宋体" w:cs="宋体"/>
                <w:color w:val="000000" w:themeColor="text1"/>
                <w:spacing w:val="0"/>
                <w:w w:val="100"/>
                <w:position w:val="0"/>
                <w:sz w:val="21"/>
                <w:szCs w:val="21"/>
                <w:highlight w:val="none"/>
                <w:shd w:val="clear" w:color="auto" w:fill="auto"/>
                <w:lang w:val="en-US" w:eastAsia="zh-CN"/>
                <w14:textFill>
                  <w14:solidFill>
                    <w14:schemeClr w14:val="tx1"/>
                  </w14:solidFill>
                </w14:textFill>
              </w:rPr>
              <w:t>青豆、</w:t>
            </w:r>
            <w:r>
              <w:rPr>
                <w:rFonts w:hint="eastAsia" w:ascii="宋体" w:hAnsi="宋体" w:eastAsia="宋体" w:cs="宋体"/>
                <w:color w:val="000000" w:themeColor="text1"/>
                <w:spacing w:val="0"/>
                <w:w w:val="100"/>
                <w:position w:val="0"/>
                <w:sz w:val="21"/>
                <w:szCs w:val="21"/>
                <w:highlight w:val="none"/>
                <w:shd w:val="clear" w:color="auto" w:fill="auto"/>
                <w14:textFill>
                  <w14:solidFill>
                    <w14:schemeClr w14:val="tx1"/>
                  </w14:solidFill>
                </w14:textFill>
              </w:rPr>
              <w:t>板粟、玉米、花生、毛豆、鲜百合、沙葛、马蹄、红薯、芋头、粉葛、莲藕、淮山、鲜莲子等。香蕉、粉蕉、香蕉、橙、苹果、雪梨、石榴、番石榴、龙眼、香瓜、柿子、红枣、青枣、香梨、圣女果、 西瓜、哈蜜瓜、贡柑、沙糖桔、柚子、提子、荔枝、椰子等。</w:t>
            </w:r>
          </w:p>
        </w:tc>
      </w:tr>
      <w:tr w14:paraId="646F3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162" w:hRule="exact"/>
          <w:jc w:val="center"/>
        </w:trPr>
        <w:tc>
          <w:tcPr>
            <w:tcW w:w="1063" w:type="dxa"/>
            <w:vMerge w:val="continue"/>
            <w:shd w:val="clear" w:color="auto" w:fill="FFFFFF"/>
            <w:noWrap w:val="0"/>
            <w:vAlign w:val="center"/>
          </w:tcPr>
          <w:p w14:paraId="665AA58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251" w:type="dxa"/>
            <w:gridSpan w:val="2"/>
            <w:shd w:val="clear" w:color="auto" w:fill="FFFFFF"/>
            <w:noWrap w:val="0"/>
            <w:vAlign w:val="center"/>
          </w:tcPr>
          <w:p w14:paraId="17C300C5">
            <w:pPr>
              <w:pStyle w:val="25"/>
              <w:keepNext w:val="0"/>
              <w:keepLines w:val="0"/>
              <w:pageBreakBefore w:val="0"/>
              <w:widowControl w:val="0"/>
              <w:shd w:val="clear" w:color="auto" w:fill="auto"/>
              <w:kinsoku/>
              <w:wordWrap/>
              <w:overflowPunct/>
              <w:topLinePunct w:val="0"/>
              <w:autoSpaceDE/>
              <w:autoSpaceDN/>
              <w:bidi w:val="0"/>
              <w:adjustRightInd/>
              <w:snapToGrid/>
              <w:spacing w:before="0" w:after="220" w:line="320" w:lineRule="exact"/>
              <w:ind w:left="0" w:right="0" w:firstLine="0"/>
              <w:jc w:val="center"/>
              <w:textAlignment w:val="auto"/>
              <w:rPr>
                <w:rFonts w:hint="eastAsia" w:ascii="宋体" w:hAnsi="宋体" w:eastAsia="宋体" w:cs="宋体"/>
                <w:color w:val="000000" w:themeColor="text1"/>
                <w:spacing w:val="0"/>
                <w:w w:val="100"/>
                <w:positio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pacing w:val="0"/>
                <w:w w:val="100"/>
                <w:position w:val="0"/>
                <w:sz w:val="21"/>
                <w:szCs w:val="21"/>
                <w:highlight w:val="none"/>
                <w:shd w:val="clear" w:color="auto" w:fill="auto"/>
                <w14:textFill>
                  <w14:solidFill>
                    <w14:schemeClr w14:val="tx1"/>
                  </w14:solidFill>
                </w14:textFill>
              </w:rPr>
              <w:t>肉类（含</w:t>
            </w:r>
            <w:r>
              <w:rPr>
                <w:rFonts w:hint="eastAsia" w:ascii="宋体" w:hAnsi="宋体" w:eastAsia="宋体" w:cs="宋体"/>
                <w:color w:val="000000" w:themeColor="text1"/>
                <w:spacing w:val="0"/>
                <w:w w:val="100"/>
                <w:position w:val="0"/>
                <w:sz w:val="21"/>
                <w:szCs w:val="21"/>
                <w:highlight w:val="none"/>
                <w:shd w:val="clear" w:color="auto" w:fill="auto"/>
                <w:lang w:val="en-US" w:eastAsia="zh-CN"/>
                <w14:textFill>
                  <w14:solidFill>
                    <w14:schemeClr w14:val="tx1"/>
                  </w14:solidFill>
                </w14:textFill>
              </w:rPr>
              <w:t xml:space="preserve">         </w:t>
            </w:r>
          </w:p>
          <w:p w14:paraId="76A63F7B">
            <w:pPr>
              <w:pStyle w:val="25"/>
              <w:keepNext w:val="0"/>
              <w:keepLines w:val="0"/>
              <w:pageBreakBefore w:val="0"/>
              <w:widowControl w:val="0"/>
              <w:shd w:val="clear" w:color="auto" w:fill="auto"/>
              <w:kinsoku/>
              <w:wordWrap/>
              <w:overflowPunct/>
              <w:topLinePunct w:val="0"/>
              <w:autoSpaceDE/>
              <w:autoSpaceDN/>
              <w:bidi w:val="0"/>
              <w:adjustRightInd/>
              <w:snapToGrid/>
              <w:spacing w:before="0" w:after="220" w:line="320" w:lineRule="exact"/>
              <w:ind w:left="0" w:right="0"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0"/>
                <w:w w:val="100"/>
                <w:position w:val="0"/>
                <w:sz w:val="21"/>
                <w:szCs w:val="21"/>
                <w:highlight w:val="none"/>
                <w:shd w:val="clear" w:color="auto" w:fill="auto"/>
                <w14:textFill>
                  <w14:solidFill>
                    <w14:schemeClr w14:val="tx1"/>
                  </w14:solidFill>
                </w14:textFill>
              </w:rPr>
              <w:t>蛋类）</w:t>
            </w:r>
          </w:p>
        </w:tc>
        <w:tc>
          <w:tcPr>
            <w:tcW w:w="6545" w:type="dxa"/>
            <w:shd w:val="clear" w:color="auto" w:fill="FFFFFF"/>
            <w:noWrap w:val="0"/>
            <w:vAlign w:val="center"/>
          </w:tcPr>
          <w:p w14:paraId="16EDDB83">
            <w:pPr>
              <w:pStyle w:val="25"/>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0"/>
                <w:w w:val="100"/>
                <w:position w:val="0"/>
                <w:sz w:val="21"/>
                <w:szCs w:val="21"/>
                <w:highlight w:val="none"/>
                <w:shd w:val="clear" w:color="auto" w:fill="auto"/>
                <w14:textFill>
                  <w14:solidFill>
                    <w14:schemeClr w14:val="tx1"/>
                  </w14:solidFill>
                </w14:textFill>
              </w:rPr>
              <w:t>生猪（肉、骨）、生牛（肉、骨）、羊（肉、骨）、驴（肉、骨）、光 禽鸡肉、光禽鹅肉、光禽鸭肉、光禽乳鸽、鸡蛋、鸭蛋、鹅蛋、皮 蛋、咸蛋、鹤鹑蛋等</w:t>
            </w:r>
          </w:p>
        </w:tc>
      </w:tr>
      <w:tr w14:paraId="41985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355" w:hRule="exact"/>
          <w:jc w:val="center"/>
        </w:trPr>
        <w:tc>
          <w:tcPr>
            <w:tcW w:w="1063" w:type="dxa"/>
            <w:vMerge w:val="continue"/>
            <w:shd w:val="clear" w:color="auto" w:fill="FFFFFF"/>
            <w:noWrap w:val="0"/>
            <w:vAlign w:val="center"/>
          </w:tcPr>
          <w:p w14:paraId="2B08E20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251" w:type="dxa"/>
            <w:gridSpan w:val="2"/>
            <w:shd w:val="clear" w:color="auto" w:fill="FFFFFF"/>
            <w:noWrap w:val="0"/>
            <w:vAlign w:val="center"/>
          </w:tcPr>
          <w:p w14:paraId="0F981561">
            <w:pPr>
              <w:pStyle w:val="25"/>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16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0"/>
                <w:w w:val="100"/>
                <w:position w:val="0"/>
                <w:sz w:val="21"/>
                <w:szCs w:val="21"/>
                <w:highlight w:val="none"/>
                <w:shd w:val="clear" w:color="auto" w:fill="auto"/>
                <w14:textFill>
                  <w14:solidFill>
                    <w14:schemeClr w14:val="tx1"/>
                  </w14:solidFill>
                </w14:textFill>
              </w:rPr>
              <w:t>干货类</w:t>
            </w:r>
          </w:p>
        </w:tc>
        <w:tc>
          <w:tcPr>
            <w:tcW w:w="6545" w:type="dxa"/>
            <w:shd w:val="clear" w:color="auto" w:fill="FFFFFF"/>
            <w:noWrap w:val="0"/>
            <w:vAlign w:val="center"/>
          </w:tcPr>
          <w:p w14:paraId="7A7D8E06">
            <w:pPr>
              <w:pStyle w:val="25"/>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0"/>
                <w:w w:val="100"/>
                <w:position w:val="0"/>
                <w:sz w:val="21"/>
                <w:szCs w:val="21"/>
                <w:highlight w:val="none"/>
                <w:shd w:val="clear" w:color="auto" w:fill="auto"/>
                <w14:textFill>
                  <w14:solidFill>
                    <w14:schemeClr w14:val="tx1"/>
                  </w14:solidFill>
                </w14:textFill>
              </w:rPr>
              <w:t>菜干、干冬菇、干木耳、干茶树菇、陈皮、提子干、鸡骨草、五指 毛桃、干腐皮、干金针菜、干沙姜、干葱头、昆布、干云耳、虾米、 瑶柱、贝壳类干货、当归、无花果、干</w:t>
            </w:r>
            <w:r>
              <w:rPr>
                <w:rFonts w:hint="eastAsia" w:ascii="宋体" w:hAnsi="宋体" w:eastAsia="宋体" w:cs="宋体"/>
                <w:color w:val="000000" w:themeColor="text1"/>
                <w:spacing w:val="0"/>
                <w:w w:val="100"/>
                <w:position w:val="0"/>
                <w:sz w:val="21"/>
                <w:szCs w:val="21"/>
                <w:highlight w:val="none"/>
                <w:shd w:val="clear" w:color="auto" w:fill="auto"/>
                <w:lang w:val="en-US" w:eastAsia="zh-CN"/>
                <w14:textFill>
                  <w14:solidFill>
                    <w14:schemeClr w14:val="tx1"/>
                  </w14:solidFill>
                </w14:textFill>
              </w:rPr>
              <w:t>鱿</w:t>
            </w:r>
            <w:r>
              <w:rPr>
                <w:rFonts w:hint="eastAsia" w:ascii="宋体" w:hAnsi="宋体" w:eastAsia="宋体" w:cs="宋体"/>
                <w:color w:val="000000" w:themeColor="text1"/>
                <w:spacing w:val="0"/>
                <w:w w:val="100"/>
                <w:position w:val="0"/>
                <w:sz w:val="21"/>
                <w:szCs w:val="21"/>
                <w:highlight w:val="none"/>
                <w:shd w:val="clear" w:color="auto" w:fill="auto"/>
                <w14:textFill>
                  <w14:solidFill>
                    <w14:schemeClr w14:val="tx1"/>
                  </w14:solidFill>
                </w14:textFill>
              </w:rPr>
              <w:t>鱼、虾皮、水草、菊花、海带、面筋、腐竹、榄角、粽叶、冬瓜干、丁香、虫草花、花旗参、 淡菜、干生</w:t>
            </w:r>
            <w:r>
              <w:rPr>
                <w:rFonts w:hint="eastAsia" w:ascii="宋体" w:hAnsi="宋体" w:eastAsia="宋体" w:cs="宋体"/>
                <w:color w:val="000000" w:themeColor="text1"/>
                <w:spacing w:val="0"/>
                <w:w w:val="100"/>
                <w:position w:val="0"/>
                <w:sz w:val="21"/>
                <w:szCs w:val="21"/>
                <w:highlight w:val="none"/>
                <w:shd w:val="clear" w:color="auto" w:fill="auto"/>
                <w:lang w:val="en-US" w:eastAsia="zh-CN"/>
                <w14:textFill>
                  <w14:solidFill>
                    <w14:schemeClr w14:val="tx1"/>
                  </w14:solidFill>
                </w14:textFill>
              </w:rPr>
              <w:t>蚝</w:t>
            </w:r>
            <w:r>
              <w:rPr>
                <w:rFonts w:hint="eastAsia" w:ascii="宋体" w:hAnsi="宋体" w:eastAsia="宋体" w:cs="宋体"/>
                <w:color w:val="000000" w:themeColor="text1"/>
                <w:spacing w:val="0"/>
                <w:w w:val="100"/>
                <w:position w:val="0"/>
                <w:sz w:val="21"/>
                <w:szCs w:val="21"/>
                <w:highlight w:val="none"/>
                <w:shd w:val="clear" w:color="auto" w:fill="auto"/>
                <w14:textFill>
                  <w14:solidFill>
                    <w14:schemeClr w14:val="tx1"/>
                  </w14:solidFill>
                </w14:textFill>
              </w:rPr>
              <w:t>肉、召实、沙参、玉竹、杞子、党参、萝卜干、笋干、 薏米、红枣、赤小豆、红豆、眉豆、黄豆、百合、莲子、花生、扁 豆、绿豆、南北杏、红腰豆等。</w:t>
            </w:r>
          </w:p>
        </w:tc>
      </w:tr>
      <w:tr w14:paraId="71CEB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823" w:hRule="exact"/>
          <w:jc w:val="center"/>
        </w:trPr>
        <w:tc>
          <w:tcPr>
            <w:tcW w:w="1063" w:type="dxa"/>
            <w:vMerge w:val="continue"/>
            <w:shd w:val="clear" w:color="auto" w:fill="FFFFFF"/>
            <w:noWrap w:val="0"/>
            <w:vAlign w:val="center"/>
          </w:tcPr>
          <w:p w14:paraId="6E3C480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251" w:type="dxa"/>
            <w:gridSpan w:val="2"/>
            <w:shd w:val="clear" w:color="auto" w:fill="FFFFFF"/>
            <w:noWrap w:val="0"/>
            <w:vAlign w:val="center"/>
          </w:tcPr>
          <w:p w14:paraId="0A121C17">
            <w:pPr>
              <w:pStyle w:val="25"/>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16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0"/>
                <w:w w:val="100"/>
                <w:position w:val="0"/>
                <w:sz w:val="21"/>
                <w:szCs w:val="21"/>
                <w:highlight w:val="none"/>
                <w:shd w:val="clear" w:color="auto" w:fill="auto"/>
                <w14:textFill>
                  <w14:solidFill>
                    <w14:schemeClr w14:val="tx1"/>
                  </w14:solidFill>
                </w14:textFill>
              </w:rPr>
              <w:t>水产类</w:t>
            </w:r>
          </w:p>
          <w:p w14:paraId="2B3C9A22">
            <w:pPr>
              <w:pStyle w:val="25"/>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0"/>
                <w:w w:val="100"/>
                <w:position w:val="0"/>
                <w:sz w:val="21"/>
                <w:szCs w:val="21"/>
                <w:highlight w:val="none"/>
                <w:shd w:val="clear" w:color="auto" w:fill="auto"/>
                <w14:textFill>
                  <w14:solidFill>
                    <w14:schemeClr w14:val="tx1"/>
                  </w14:solidFill>
                </w14:textFill>
              </w:rPr>
              <w:t>（含咸、 淡水产</w:t>
            </w:r>
          </w:p>
          <w:p w14:paraId="27C8DB52">
            <w:pPr>
              <w:pStyle w:val="25"/>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26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0"/>
                <w:w w:val="100"/>
                <w:position w:val="0"/>
                <w:sz w:val="21"/>
                <w:szCs w:val="21"/>
                <w:highlight w:val="none"/>
                <w:shd w:val="clear" w:color="auto" w:fill="auto"/>
                <w14:textFill>
                  <w14:solidFill>
                    <w14:schemeClr w14:val="tx1"/>
                  </w14:solidFill>
                </w14:textFill>
              </w:rPr>
              <w:t>品）</w:t>
            </w:r>
          </w:p>
        </w:tc>
        <w:tc>
          <w:tcPr>
            <w:tcW w:w="6545" w:type="dxa"/>
            <w:shd w:val="clear" w:color="auto" w:fill="FFFFFF"/>
            <w:noWrap w:val="0"/>
            <w:vAlign w:val="center"/>
          </w:tcPr>
          <w:p w14:paraId="1A10A66C">
            <w:pPr>
              <w:pStyle w:val="25"/>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0"/>
                <w:w w:val="100"/>
                <w:position w:val="0"/>
                <w:sz w:val="21"/>
                <w:szCs w:val="21"/>
                <w:highlight w:val="none"/>
                <w:shd w:val="clear" w:color="auto" w:fill="auto"/>
                <w14:textFill>
                  <w14:solidFill>
                    <w14:schemeClr w14:val="tx1"/>
                  </w14:solidFill>
                </w14:textFill>
              </w:rPr>
              <w:t>泥猛鱼、黄花鱼、白仓鱼、金仓鱼、笋壳鱼、跳跳鱼、红三鱼、海鲫鱼、乌头鱼、</w:t>
            </w:r>
            <w:r>
              <w:rPr>
                <w:rFonts w:hint="eastAsia" w:ascii="宋体" w:hAnsi="宋体" w:eastAsia="宋体" w:cs="宋体"/>
                <w:color w:val="000000" w:themeColor="text1"/>
                <w:spacing w:val="0"/>
                <w:w w:val="100"/>
                <w:position w:val="0"/>
                <w:sz w:val="21"/>
                <w:szCs w:val="21"/>
                <w:highlight w:val="none"/>
                <w:shd w:val="clear" w:color="auto" w:fill="auto"/>
                <w:lang w:val="en-US" w:eastAsia="zh-CN"/>
                <w14:textFill>
                  <w14:solidFill>
                    <w14:schemeClr w14:val="tx1"/>
                  </w14:solidFill>
                </w14:textFill>
              </w:rPr>
              <w:t>鱿</w:t>
            </w:r>
            <w:r>
              <w:rPr>
                <w:rFonts w:hint="eastAsia" w:ascii="宋体" w:hAnsi="宋体" w:eastAsia="宋体" w:cs="宋体"/>
                <w:color w:val="000000" w:themeColor="text1"/>
                <w:spacing w:val="0"/>
                <w:w w:val="100"/>
                <w:position w:val="0"/>
                <w:sz w:val="21"/>
                <w:szCs w:val="21"/>
                <w:highlight w:val="none"/>
                <w:shd w:val="clear" w:color="auto" w:fill="auto"/>
                <w14:textFill>
                  <w14:solidFill>
                    <w14:schemeClr w14:val="tx1"/>
                  </w14:solidFill>
                </w14:textFill>
              </w:rPr>
              <w:t>鱼、墨鱼、多宝鱼、带鱼、沙丁鱼、海</w:t>
            </w:r>
            <w:r>
              <w:rPr>
                <w:rFonts w:hint="eastAsia" w:ascii="宋体" w:hAnsi="宋体" w:eastAsia="宋体" w:cs="宋体"/>
                <w:color w:val="000000" w:themeColor="text1"/>
                <w:spacing w:val="0"/>
                <w:w w:val="100"/>
                <w:position w:val="0"/>
                <w:sz w:val="21"/>
                <w:szCs w:val="21"/>
                <w:highlight w:val="none"/>
                <w:shd w:val="clear" w:color="auto" w:fill="auto"/>
                <w:lang w:val="en-US" w:eastAsia="zh-CN"/>
                <w14:textFill>
                  <w14:solidFill>
                    <w14:schemeClr w14:val="tx1"/>
                  </w14:solidFill>
                </w14:textFill>
              </w:rPr>
              <w:t>鲈</w:t>
            </w:r>
            <w:r>
              <w:rPr>
                <w:rFonts w:hint="eastAsia" w:ascii="宋体" w:hAnsi="宋体" w:eastAsia="宋体" w:cs="宋体"/>
                <w:color w:val="000000" w:themeColor="text1"/>
                <w:spacing w:val="0"/>
                <w:w w:val="100"/>
                <w:position w:val="0"/>
                <w:sz w:val="21"/>
                <w:szCs w:val="21"/>
                <w:highlight w:val="none"/>
                <w:shd w:val="clear" w:color="auto" w:fill="auto"/>
                <w14:textFill>
                  <w14:solidFill>
                    <w14:schemeClr w14:val="tx1"/>
                  </w14:solidFill>
                </w14:textFill>
              </w:rPr>
              <w:t>、秋多鱼、扇贝、生</w:t>
            </w:r>
            <w:r>
              <w:rPr>
                <w:rFonts w:hint="eastAsia" w:ascii="宋体" w:hAnsi="宋体" w:eastAsia="宋体" w:cs="宋体"/>
                <w:color w:val="000000" w:themeColor="text1"/>
                <w:spacing w:val="0"/>
                <w:w w:val="100"/>
                <w:position w:val="0"/>
                <w:sz w:val="21"/>
                <w:szCs w:val="21"/>
                <w:highlight w:val="none"/>
                <w:shd w:val="clear" w:color="auto" w:fill="auto"/>
                <w:lang w:val="en-US" w:eastAsia="zh-CN"/>
                <w14:textFill>
                  <w14:solidFill>
                    <w14:schemeClr w14:val="tx1"/>
                  </w14:solidFill>
                </w14:textFill>
              </w:rPr>
              <w:t>蚝</w:t>
            </w:r>
            <w:r>
              <w:rPr>
                <w:rFonts w:hint="eastAsia" w:ascii="宋体" w:hAnsi="宋体" w:eastAsia="宋体" w:cs="宋体"/>
                <w:color w:val="000000" w:themeColor="text1"/>
                <w:spacing w:val="0"/>
                <w:w w:val="100"/>
                <w:position w:val="0"/>
                <w:sz w:val="21"/>
                <w:szCs w:val="21"/>
                <w:highlight w:val="none"/>
                <w:shd w:val="clear" w:color="auto" w:fill="auto"/>
                <w14:textFill>
                  <w14:solidFill>
                    <w14:schemeClr w14:val="tx1"/>
                  </w14:solidFill>
                </w14:textFill>
              </w:rPr>
              <w:t>、蚌、螺、</w:t>
            </w:r>
            <w:r>
              <w:rPr>
                <w:rFonts w:hint="eastAsia" w:ascii="宋体" w:hAnsi="宋体" w:eastAsia="宋体" w:cs="宋体"/>
                <w:color w:val="000000" w:themeColor="text1"/>
                <w:spacing w:val="0"/>
                <w:w w:val="100"/>
                <w:position w:val="0"/>
                <w:sz w:val="21"/>
                <w:szCs w:val="21"/>
                <w:highlight w:val="none"/>
                <w:shd w:val="clear" w:color="auto" w:fill="auto"/>
                <w:lang w:val="en-US" w:eastAsia="zh-CN"/>
                <w14:textFill>
                  <w14:solidFill>
                    <w14:schemeClr w14:val="tx1"/>
                  </w14:solidFill>
                </w14:textFill>
              </w:rPr>
              <w:t>苋</w:t>
            </w:r>
            <w:r>
              <w:rPr>
                <w:rFonts w:hint="eastAsia" w:ascii="宋体" w:hAnsi="宋体" w:eastAsia="宋体" w:cs="宋体"/>
                <w:color w:val="000000" w:themeColor="text1"/>
                <w:spacing w:val="0"/>
                <w:w w:val="100"/>
                <w:position w:val="0"/>
                <w:sz w:val="21"/>
                <w:szCs w:val="21"/>
                <w:highlight w:val="none"/>
                <w:shd w:val="clear" w:color="auto" w:fill="auto"/>
                <w14:textFill>
                  <w14:solidFill>
                    <w14:schemeClr w14:val="tx1"/>
                  </w14:solidFill>
                </w14:textFill>
              </w:rPr>
              <w:t xml:space="preserve">、白贝、花甲、带子、圣子、虾、蟹、 </w:t>
            </w:r>
            <w:r>
              <w:rPr>
                <w:rFonts w:hint="eastAsia" w:ascii="宋体" w:hAnsi="宋体" w:eastAsia="宋体" w:cs="宋体"/>
                <w:color w:val="000000" w:themeColor="text1"/>
                <w:spacing w:val="0"/>
                <w:w w:val="100"/>
                <w:position w:val="0"/>
                <w:sz w:val="21"/>
                <w:szCs w:val="21"/>
                <w:highlight w:val="none"/>
                <w:shd w:val="clear" w:color="auto" w:fill="auto"/>
                <w:lang w:val="en-US" w:eastAsia="zh-CN"/>
                <w14:textFill>
                  <w14:solidFill>
                    <w14:schemeClr w14:val="tx1"/>
                  </w14:solidFill>
                </w14:textFill>
              </w:rPr>
              <w:t>鲩</w:t>
            </w:r>
            <w:r>
              <w:rPr>
                <w:rFonts w:hint="eastAsia" w:ascii="宋体" w:hAnsi="宋体" w:eastAsia="宋体" w:cs="宋体"/>
                <w:color w:val="000000" w:themeColor="text1"/>
                <w:spacing w:val="0"/>
                <w:w w:val="100"/>
                <w:position w:val="0"/>
                <w:sz w:val="21"/>
                <w:szCs w:val="21"/>
                <w:highlight w:val="none"/>
                <w:shd w:val="clear" w:color="auto" w:fill="auto"/>
                <w14:textFill>
                  <w14:solidFill>
                    <w14:schemeClr w14:val="tx1"/>
                  </w14:solidFill>
                </w14:textFill>
              </w:rPr>
              <w:t>鱼、大头鱼、鲫鱼、</w:t>
            </w:r>
            <w:r>
              <w:rPr>
                <w:rFonts w:hint="eastAsia" w:ascii="宋体" w:hAnsi="宋体" w:eastAsia="宋体" w:cs="宋体"/>
                <w:color w:val="000000" w:themeColor="text1"/>
                <w:spacing w:val="0"/>
                <w:w w:val="100"/>
                <w:position w:val="0"/>
                <w:sz w:val="21"/>
                <w:szCs w:val="21"/>
                <w:highlight w:val="none"/>
                <w:shd w:val="clear" w:color="auto" w:fill="auto"/>
                <w:lang w:val="en-US" w:eastAsia="zh-CN"/>
                <w14:textFill>
                  <w14:solidFill>
                    <w14:schemeClr w14:val="tx1"/>
                  </w14:solidFill>
                </w14:textFill>
              </w:rPr>
              <w:t>鲮</w:t>
            </w:r>
            <w:r>
              <w:rPr>
                <w:rFonts w:hint="eastAsia" w:ascii="宋体" w:hAnsi="宋体" w:eastAsia="宋体" w:cs="宋体"/>
                <w:color w:val="000000" w:themeColor="text1"/>
                <w:spacing w:val="0"/>
                <w:w w:val="100"/>
                <w:position w:val="0"/>
                <w:sz w:val="21"/>
                <w:szCs w:val="21"/>
                <w:highlight w:val="none"/>
                <w:shd w:val="clear" w:color="auto" w:fill="auto"/>
                <w14:textFill>
                  <w14:solidFill>
                    <w14:schemeClr w14:val="tx1"/>
                  </w14:solidFill>
                </w14:textFill>
              </w:rPr>
              <w:t>鱼、生鱼、边鱼、</w:t>
            </w:r>
            <w:r>
              <w:rPr>
                <w:rFonts w:hint="eastAsia" w:ascii="宋体" w:hAnsi="宋体" w:eastAsia="宋体" w:cs="宋体"/>
                <w:color w:val="000000" w:themeColor="text1"/>
                <w:spacing w:val="0"/>
                <w:w w:val="100"/>
                <w:position w:val="0"/>
                <w:sz w:val="21"/>
                <w:szCs w:val="21"/>
                <w:highlight w:val="none"/>
                <w:shd w:val="clear" w:color="auto" w:fill="auto"/>
                <w:lang w:val="en-US" w:eastAsia="zh-CN"/>
                <w14:textFill>
                  <w14:solidFill>
                    <w14:schemeClr w14:val="tx1"/>
                  </w14:solidFill>
                </w14:textFill>
              </w:rPr>
              <w:t>鲈</w:t>
            </w:r>
            <w:r>
              <w:rPr>
                <w:rFonts w:hint="eastAsia" w:ascii="宋体" w:hAnsi="宋体" w:eastAsia="宋体" w:cs="宋体"/>
                <w:color w:val="000000" w:themeColor="text1"/>
                <w:spacing w:val="0"/>
                <w:w w:val="100"/>
                <w:position w:val="0"/>
                <w:sz w:val="21"/>
                <w:szCs w:val="21"/>
                <w:highlight w:val="none"/>
                <w:shd w:val="clear" w:color="auto" w:fill="auto"/>
                <w14:textFill>
                  <w14:solidFill>
                    <w14:schemeClr w14:val="tx1"/>
                  </w14:solidFill>
                </w14:textFill>
              </w:rPr>
              <w:t>鱼、盲曹鱼、禾顺鱼、桂花鱼、泥</w:t>
            </w:r>
            <w:r>
              <w:rPr>
                <w:rFonts w:hint="eastAsia" w:ascii="宋体" w:hAnsi="宋体" w:eastAsia="宋体" w:cs="宋体"/>
                <w:color w:val="000000" w:themeColor="text1"/>
                <w:spacing w:val="0"/>
                <w:w w:val="100"/>
                <w:position w:val="0"/>
                <w:sz w:val="21"/>
                <w:szCs w:val="21"/>
                <w:highlight w:val="none"/>
                <w:shd w:val="clear" w:color="auto" w:fill="auto"/>
                <w:lang w:val="en-US" w:eastAsia="zh-CN"/>
                <w14:textFill>
                  <w14:solidFill>
                    <w14:schemeClr w14:val="tx1"/>
                  </w14:solidFill>
                </w14:textFill>
              </w:rPr>
              <w:t>鳅</w:t>
            </w:r>
            <w:r>
              <w:rPr>
                <w:rFonts w:hint="eastAsia" w:ascii="宋体" w:hAnsi="宋体" w:eastAsia="宋体" w:cs="宋体"/>
                <w:color w:val="000000" w:themeColor="text1"/>
                <w:spacing w:val="0"/>
                <w:w w:val="100"/>
                <w:position w:val="0"/>
                <w:sz w:val="21"/>
                <w:szCs w:val="21"/>
                <w:highlight w:val="none"/>
                <w:shd w:val="clear" w:color="auto" w:fill="auto"/>
                <w14:textFill>
                  <w14:solidFill>
                    <w14:schemeClr w14:val="tx1"/>
                  </w14:solidFill>
                </w14:textFill>
              </w:rPr>
              <w:t>鱼、福寿鱼、沙</w:t>
            </w:r>
            <w:r>
              <w:rPr>
                <w:rFonts w:hint="eastAsia" w:ascii="宋体" w:hAnsi="宋体" w:eastAsia="宋体" w:cs="宋体"/>
                <w:color w:val="000000" w:themeColor="text1"/>
                <w:spacing w:val="0"/>
                <w:w w:val="100"/>
                <w:position w:val="0"/>
                <w:sz w:val="21"/>
                <w:szCs w:val="21"/>
                <w:highlight w:val="none"/>
                <w:shd w:val="clear" w:color="auto" w:fill="auto"/>
                <w:lang w:val="en-US" w:eastAsia="zh-CN"/>
                <w14:textFill>
                  <w14:solidFill>
                    <w14:schemeClr w14:val="tx1"/>
                  </w14:solidFill>
                </w14:textFill>
              </w:rPr>
              <w:t>苋</w:t>
            </w:r>
            <w:r>
              <w:rPr>
                <w:rFonts w:hint="eastAsia" w:ascii="宋体" w:hAnsi="宋体" w:eastAsia="宋体" w:cs="宋体"/>
                <w:color w:val="000000" w:themeColor="text1"/>
                <w:spacing w:val="0"/>
                <w:w w:val="100"/>
                <w:position w:val="0"/>
                <w:sz w:val="21"/>
                <w:szCs w:val="21"/>
                <w:highlight w:val="none"/>
                <w:shd w:val="clear" w:color="auto" w:fill="auto"/>
                <w14:textFill>
                  <w14:solidFill>
                    <w14:schemeClr w14:val="tx1"/>
                  </w14:solidFill>
                </w14:textFill>
              </w:rPr>
              <w:t>等。</w:t>
            </w:r>
          </w:p>
        </w:tc>
      </w:tr>
      <w:tr w14:paraId="40B29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900" w:hRule="exact"/>
          <w:jc w:val="center"/>
        </w:trPr>
        <w:tc>
          <w:tcPr>
            <w:tcW w:w="1063" w:type="dxa"/>
            <w:vMerge w:val="continue"/>
            <w:shd w:val="clear" w:color="auto" w:fill="FFFFFF"/>
            <w:noWrap w:val="0"/>
            <w:vAlign w:val="center"/>
          </w:tcPr>
          <w:p w14:paraId="5089053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251" w:type="dxa"/>
            <w:gridSpan w:val="2"/>
            <w:shd w:val="clear" w:color="auto" w:fill="FFFFFF"/>
            <w:noWrap w:val="0"/>
            <w:vAlign w:val="center"/>
          </w:tcPr>
          <w:p w14:paraId="493775F7">
            <w:pPr>
              <w:pStyle w:val="25"/>
              <w:keepNext w:val="0"/>
              <w:keepLines w:val="0"/>
              <w:pageBreakBefore w:val="0"/>
              <w:widowControl w:val="0"/>
              <w:shd w:val="clear" w:color="auto" w:fill="auto"/>
              <w:kinsoku/>
              <w:wordWrap/>
              <w:overflowPunct/>
              <w:topLinePunct w:val="0"/>
              <w:autoSpaceDE/>
              <w:autoSpaceDN/>
              <w:bidi w:val="0"/>
              <w:adjustRightInd/>
              <w:snapToGrid/>
              <w:spacing w:before="0" w:after="220" w:line="320" w:lineRule="exact"/>
              <w:ind w:left="287" w:leftChars="114" w:right="0" w:hanging="48" w:hangingChars="23"/>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0"/>
                <w:w w:val="100"/>
                <w:position w:val="0"/>
                <w:sz w:val="21"/>
                <w:szCs w:val="21"/>
                <w:highlight w:val="none"/>
                <w:shd w:val="clear" w:color="auto" w:fill="auto"/>
                <w14:textFill>
                  <w14:solidFill>
                    <w14:schemeClr w14:val="tx1"/>
                  </w14:solidFill>
                </w14:textFill>
              </w:rPr>
              <w:t>食用菌菇类</w:t>
            </w:r>
          </w:p>
        </w:tc>
        <w:tc>
          <w:tcPr>
            <w:tcW w:w="6545" w:type="dxa"/>
            <w:shd w:val="clear" w:color="auto" w:fill="FFFFFF"/>
            <w:noWrap w:val="0"/>
            <w:vAlign w:val="center"/>
          </w:tcPr>
          <w:p w14:paraId="2E85D4B2">
            <w:pPr>
              <w:pStyle w:val="25"/>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0"/>
                <w:w w:val="100"/>
                <w:position w:val="0"/>
                <w:sz w:val="21"/>
                <w:szCs w:val="21"/>
                <w:highlight w:val="none"/>
                <w:shd w:val="clear" w:color="auto" w:fill="auto"/>
                <w14:textFill>
                  <w14:solidFill>
                    <w14:schemeClr w14:val="tx1"/>
                  </w14:solidFill>
                </w14:textFill>
              </w:rPr>
              <w:t>金针菇、茶树菇、海鲜菇、鲜平菇、鲜草菇、袖珍菇、鲜冬菇、鲜木耳等</w:t>
            </w:r>
          </w:p>
        </w:tc>
      </w:tr>
      <w:tr w14:paraId="741A7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946" w:hRule="exact"/>
          <w:jc w:val="center"/>
        </w:trPr>
        <w:tc>
          <w:tcPr>
            <w:tcW w:w="1063" w:type="dxa"/>
            <w:vMerge w:val="continue"/>
            <w:shd w:val="clear" w:color="auto" w:fill="FFFFFF"/>
            <w:noWrap w:val="0"/>
            <w:vAlign w:val="top"/>
          </w:tcPr>
          <w:p w14:paraId="3223984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246" w:type="dxa"/>
            <w:shd w:val="clear" w:color="auto" w:fill="FFFFFF"/>
            <w:noWrap w:val="0"/>
            <w:vAlign w:val="center"/>
          </w:tcPr>
          <w:p w14:paraId="67C45733">
            <w:pPr>
              <w:pStyle w:val="25"/>
              <w:keepNext w:val="0"/>
              <w:keepLines w:val="0"/>
              <w:pageBreakBefore w:val="0"/>
              <w:widowControl w:val="0"/>
              <w:shd w:val="clear" w:color="auto" w:fill="auto"/>
              <w:kinsoku/>
              <w:wordWrap/>
              <w:overflowPunct/>
              <w:topLinePunct w:val="0"/>
              <w:autoSpaceDE/>
              <w:autoSpaceDN/>
              <w:bidi w:val="0"/>
              <w:adjustRightInd/>
              <w:snapToGrid/>
              <w:spacing w:before="0" w:after="220" w:line="320" w:lineRule="exact"/>
              <w:ind w:left="0" w:leftChars="0" w:right="0" w:firstLine="0" w:firstLine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0"/>
                <w:w w:val="100"/>
                <w:position w:val="0"/>
                <w:sz w:val="21"/>
                <w:szCs w:val="21"/>
                <w:highlight w:val="none"/>
                <w:shd w:val="clear" w:color="auto" w:fill="auto"/>
                <w14:textFill>
                  <w14:solidFill>
                    <w14:schemeClr w14:val="tx1"/>
                  </w14:solidFill>
                </w14:textFill>
              </w:rPr>
              <w:t>豆制品类</w:t>
            </w:r>
          </w:p>
        </w:tc>
        <w:tc>
          <w:tcPr>
            <w:tcW w:w="6550" w:type="dxa"/>
            <w:gridSpan w:val="2"/>
            <w:shd w:val="clear" w:color="auto" w:fill="FFFFFF"/>
            <w:noWrap w:val="0"/>
            <w:vAlign w:val="center"/>
          </w:tcPr>
          <w:p w14:paraId="75990B00">
            <w:pPr>
              <w:pStyle w:val="25"/>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0"/>
                <w:w w:val="100"/>
                <w:position w:val="0"/>
                <w:sz w:val="21"/>
                <w:szCs w:val="21"/>
                <w:highlight w:val="none"/>
                <w:shd w:val="clear" w:color="auto" w:fill="auto"/>
                <w14:textFill>
                  <w14:solidFill>
                    <w14:schemeClr w14:val="tx1"/>
                  </w14:solidFill>
                </w14:textFill>
              </w:rPr>
              <w:t>豆腐、白豆干、凉皮、烟干、炸豆腐、香干丝、小豆卜、华晨豆卜、 千张皮、香干、面筋等。</w:t>
            </w:r>
          </w:p>
        </w:tc>
      </w:tr>
      <w:tr w14:paraId="45F21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196" w:hRule="exact"/>
          <w:jc w:val="center"/>
        </w:trPr>
        <w:tc>
          <w:tcPr>
            <w:tcW w:w="1063" w:type="dxa"/>
            <w:vMerge w:val="continue"/>
            <w:shd w:val="clear" w:color="auto" w:fill="FFFFFF"/>
            <w:noWrap w:val="0"/>
            <w:vAlign w:val="top"/>
          </w:tcPr>
          <w:p w14:paraId="7A77870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246" w:type="dxa"/>
            <w:shd w:val="clear" w:color="auto" w:fill="FFFFFF"/>
            <w:noWrap w:val="0"/>
            <w:vAlign w:val="center"/>
          </w:tcPr>
          <w:p w14:paraId="65B876E3">
            <w:pPr>
              <w:pStyle w:val="25"/>
              <w:keepNext w:val="0"/>
              <w:keepLines w:val="0"/>
              <w:pageBreakBefore w:val="0"/>
              <w:widowControl w:val="0"/>
              <w:shd w:val="clear" w:color="auto" w:fill="auto"/>
              <w:kinsoku/>
              <w:wordWrap/>
              <w:overflowPunct/>
              <w:topLinePunct w:val="0"/>
              <w:autoSpaceDE/>
              <w:autoSpaceDN/>
              <w:bidi w:val="0"/>
              <w:adjustRightInd/>
              <w:snapToGrid/>
              <w:spacing w:before="0" w:after="220" w:line="320" w:lineRule="exact"/>
              <w:ind w:left="0" w:right="0" w:firstLine="16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0"/>
                <w:w w:val="100"/>
                <w:position w:val="0"/>
                <w:sz w:val="21"/>
                <w:szCs w:val="21"/>
                <w:highlight w:val="none"/>
                <w:shd w:val="clear" w:color="auto" w:fill="auto"/>
                <w14:textFill>
                  <w14:solidFill>
                    <w14:schemeClr w14:val="tx1"/>
                  </w14:solidFill>
                </w14:textFill>
              </w:rPr>
              <w:t>米面制</w:t>
            </w:r>
          </w:p>
          <w:p w14:paraId="13C12016">
            <w:pPr>
              <w:pStyle w:val="25"/>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0"/>
                <w:w w:val="100"/>
                <w:position w:val="0"/>
                <w:sz w:val="21"/>
                <w:szCs w:val="21"/>
                <w:highlight w:val="none"/>
                <w:shd w:val="clear" w:color="auto" w:fill="auto"/>
                <w14:textFill>
                  <w14:solidFill>
                    <w14:schemeClr w14:val="tx1"/>
                  </w14:solidFill>
                </w14:textFill>
              </w:rPr>
              <w:t>品类</w:t>
            </w:r>
          </w:p>
        </w:tc>
        <w:tc>
          <w:tcPr>
            <w:tcW w:w="6550" w:type="dxa"/>
            <w:gridSpan w:val="2"/>
            <w:shd w:val="clear" w:color="auto" w:fill="FFFFFF"/>
            <w:noWrap w:val="0"/>
            <w:vAlign w:val="center"/>
          </w:tcPr>
          <w:p w14:paraId="45B36F11">
            <w:pPr>
              <w:pStyle w:val="25"/>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0"/>
                <w:w w:val="100"/>
                <w:position w:val="0"/>
                <w:sz w:val="21"/>
                <w:szCs w:val="21"/>
                <w:highlight w:val="none"/>
                <w:shd w:val="clear" w:color="auto" w:fill="auto"/>
                <w14:textFill>
                  <w14:solidFill>
                    <w14:schemeClr w14:val="tx1"/>
                  </w14:solidFill>
                </w14:textFill>
              </w:rPr>
              <w:t>河粉、布拉肠、饺子皮、云吞皮、猪肠粉、陈村粉、</w:t>
            </w:r>
            <w:r>
              <w:rPr>
                <w:rFonts w:hint="eastAsia" w:ascii="宋体" w:hAnsi="宋体" w:eastAsia="宋体" w:cs="宋体"/>
                <w:color w:val="000000" w:themeColor="text1"/>
                <w:spacing w:val="0"/>
                <w:w w:val="100"/>
                <w:position w:val="0"/>
                <w:sz w:val="21"/>
                <w:szCs w:val="21"/>
                <w:highlight w:val="none"/>
                <w:shd w:val="clear" w:color="auto" w:fill="auto"/>
                <w:lang w:val="en-US" w:eastAsia="zh-CN"/>
                <w14:textFill>
                  <w14:solidFill>
                    <w14:schemeClr w14:val="tx1"/>
                  </w14:solidFill>
                </w14:textFill>
              </w:rPr>
              <w:t>濑</w:t>
            </w:r>
            <w:r>
              <w:rPr>
                <w:rFonts w:hint="eastAsia" w:ascii="宋体" w:hAnsi="宋体" w:eastAsia="宋体" w:cs="宋体"/>
                <w:color w:val="000000" w:themeColor="text1"/>
                <w:spacing w:val="0"/>
                <w:w w:val="100"/>
                <w:position w:val="0"/>
                <w:sz w:val="21"/>
                <w:szCs w:val="21"/>
                <w:highlight w:val="none"/>
                <w:shd w:val="clear" w:color="auto" w:fill="auto"/>
                <w14:textFill>
                  <w14:solidFill>
                    <w14:schemeClr w14:val="tx1"/>
                  </w14:solidFill>
                </w14:textFill>
              </w:rPr>
              <w:t>粉、面条（非</w:t>
            </w:r>
            <w:r>
              <w:rPr>
                <w:rFonts w:hint="eastAsia" w:ascii="宋体" w:hAnsi="宋体" w:eastAsia="宋体" w:cs="宋体"/>
                <w:color w:val="000000" w:themeColor="text1"/>
                <w:spacing w:val="0"/>
                <w:w w:val="100"/>
                <w:position w:val="0"/>
                <w:sz w:val="21"/>
                <w:szCs w:val="21"/>
                <w:highlight w:val="none"/>
                <w:shd w:val="clear" w:color="auto" w:fill="auto"/>
                <w:lang w:val="en-US" w:eastAsia="zh-CN"/>
                <w14:textFill>
                  <w14:solidFill>
                    <w14:schemeClr w14:val="tx1"/>
                  </w14:solidFill>
                </w14:textFill>
              </w:rPr>
              <w:t>干</w:t>
            </w:r>
            <w:r>
              <w:rPr>
                <w:rFonts w:hint="eastAsia" w:ascii="宋体" w:hAnsi="宋体" w:eastAsia="宋体" w:cs="宋体"/>
                <w:color w:val="000000" w:themeColor="text1"/>
                <w:spacing w:val="0"/>
                <w:w w:val="100"/>
                <w:position w:val="0"/>
                <w:sz w:val="21"/>
                <w:szCs w:val="21"/>
                <w:highlight w:val="none"/>
                <w:shd w:val="clear" w:color="auto" w:fill="auto"/>
                <w14:textFill>
                  <w14:solidFill>
                    <w14:schemeClr w14:val="tx1"/>
                  </w14:solidFill>
                </w14:textFill>
              </w:rPr>
              <w:t>面类）、粉条、糯米盏、饺子、云吞、汤圆</w:t>
            </w:r>
            <w:r>
              <w:rPr>
                <w:rFonts w:hint="eastAsia" w:ascii="宋体" w:hAnsi="宋体" w:eastAsia="宋体" w:cs="宋体"/>
                <w:color w:val="000000" w:themeColor="text1"/>
                <w:spacing w:val="0"/>
                <w:w w:val="100"/>
                <w:position w:val="0"/>
                <w:sz w:val="21"/>
                <w:szCs w:val="2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pacing w:val="0"/>
                <w:w w:val="100"/>
                <w:position w:val="0"/>
                <w:sz w:val="21"/>
                <w:szCs w:val="21"/>
                <w:highlight w:val="none"/>
                <w:shd w:val="clear" w:color="auto" w:fill="auto"/>
                <w14:textFill>
                  <w14:solidFill>
                    <w14:schemeClr w14:val="tx1"/>
                  </w14:solidFill>
                </w14:textFill>
              </w:rPr>
              <w:t>生切面、包子、面 包、汤圆等。</w:t>
            </w:r>
          </w:p>
        </w:tc>
      </w:tr>
      <w:tr w14:paraId="3E9D1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75" w:hRule="exact"/>
          <w:jc w:val="center"/>
        </w:trPr>
        <w:tc>
          <w:tcPr>
            <w:tcW w:w="1063" w:type="dxa"/>
            <w:vMerge w:val="continue"/>
            <w:shd w:val="clear" w:color="auto" w:fill="FFFFFF"/>
            <w:noWrap w:val="0"/>
            <w:vAlign w:val="top"/>
          </w:tcPr>
          <w:p w14:paraId="2D48FCB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246" w:type="dxa"/>
            <w:shd w:val="clear" w:color="auto" w:fill="FFFFFF"/>
            <w:noWrap w:val="0"/>
            <w:vAlign w:val="center"/>
          </w:tcPr>
          <w:p w14:paraId="568A7724">
            <w:pPr>
              <w:pStyle w:val="25"/>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16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0"/>
                <w:w w:val="100"/>
                <w:position w:val="0"/>
                <w:sz w:val="21"/>
                <w:szCs w:val="21"/>
                <w:highlight w:val="none"/>
                <w:shd w:val="clear" w:color="auto" w:fill="auto"/>
                <w14:textFill>
                  <w14:solidFill>
                    <w14:schemeClr w14:val="tx1"/>
                  </w14:solidFill>
                </w14:textFill>
              </w:rPr>
              <w:t>腊味类</w:t>
            </w:r>
          </w:p>
        </w:tc>
        <w:tc>
          <w:tcPr>
            <w:tcW w:w="6550" w:type="dxa"/>
            <w:gridSpan w:val="2"/>
            <w:shd w:val="clear" w:color="auto" w:fill="FFFFFF"/>
            <w:noWrap w:val="0"/>
            <w:vAlign w:val="center"/>
          </w:tcPr>
          <w:p w14:paraId="3360D965">
            <w:pPr>
              <w:pStyle w:val="25"/>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0"/>
                <w:w w:val="100"/>
                <w:position w:val="0"/>
                <w:sz w:val="21"/>
                <w:szCs w:val="21"/>
                <w:highlight w:val="none"/>
                <w:shd w:val="clear" w:color="auto" w:fill="auto"/>
                <w14:textFill>
                  <w14:solidFill>
                    <w14:schemeClr w14:val="tx1"/>
                  </w14:solidFill>
                </w14:textFill>
              </w:rPr>
              <w:t>腊肉、腊肠。</w:t>
            </w:r>
          </w:p>
        </w:tc>
      </w:tr>
      <w:tr w14:paraId="0AE25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30" w:hRule="exact"/>
          <w:jc w:val="center"/>
        </w:trPr>
        <w:tc>
          <w:tcPr>
            <w:tcW w:w="1063" w:type="dxa"/>
            <w:vMerge w:val="continue"/>
            <w:shd w:val="clear" w:color="auto" w:fill="FFFFFF"/>
            <w:noWrap w:val="0"/>
            <w:vAlign w:val="top"/>
          </w:tcPr>
          <w:p w14:paraId="5E44B68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246" w:type="dxa"/>
            <w:shd w:val="clear" w:color="auto" w:fill="FFFFFF"/>
            <w:noWrap w:val="0"/>
            <w:vAlign w:val="center"/>
          </w:tcPr>
          <w:p w14:paraId="2EDEC431">
            <w:pPr>
              <w:pStyle w:val="25"/>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16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0"/>
                <w:w w:val="100"/>
                <w:position w:val="0"/>
                <w:sz w:val="21"/>
                <w:szCs w:val="21"/>
                <w:highlight w:val="none"/>
                <w:shd w:val="clear" w:color="auto" w:fill="auto"/>
                <w14:textFill>
                  <w14:solidFill>
                    <w14:schemeClr w14:val="tx1"/>
                  </w14:solidFill>
                </w14:textFill>
              </w:rPr>
              <w:t>熟食类</w:t>
            </w:r>
          </w:p>
        </w:tc>
        <w:tc>
          <w:tcPr>
            <w:tcW w:w="6550" w:type="dxa"/>
            <w:gridSpan w:val="2"/>
            <w:shd w:val="clear" w:color="auto" w:fill="FFFFFF"/>
            <w:noWrap w:val="0"/>
            <w:vAlign w:val="center"/>
          </w:tcPr>
          <w:p w14:paraId="7330FF86">
            <w:pPr>
              <w:pStyle w:val="25"/>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0"/>
                <w:w w:val="100"/>
                <w:position w:val="0"/>
                <w:sz w:val="21"/>
                <w:szCs w:val="21"/>
                <w:highlight w:val="none"/>
                <w:shd w:val="clear" w:color="auto" w:fill="auto"/>
                <w14:textFill>
                  <w14:solidFill>
                    <w14:schemeClr w14:val="tx1"/>
                  </w14:solidFill>
                </w14:textFill>
              </w:rPr>
              <w:t>烧肉、烧排骨、叉烧、烧鸭、烧鹅、白切鸡、卤水肉等。</w:t>
            </w:r>
          </w:p>
        </w:tc>
      </w:tr>
      <w:tr w14:paraId="4258F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145" w:hRule="exact"/>
          <w:jc w:val="center"/>
        </w:trPr>
        <w:tc>
          <w:tcPr>
            <w:tcW w:w="1063" w:type="dxa"/>
            <w:vMerge w:val="continue"/>
            <w:shd w:val="clear" w:color="auto" w:fill="FFFFFF"/>
            <w:noWrap w:val="0"/>
            <w:vAlign w:val="top"/>
          </w:tcPr>
          <w:p w14:paraId="620642B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246" w:type="dxa"/>
            <w:shd w:val="clear" w:color="auto" w:fill="FFFFFF"/>
            <w:noWrap w:val="0"/>
            <w:vAlign w:val="center"/>
          </w:tcPr>
          <w:p w14:paraId="1F99154F">
            <w:pPr>
              <w:pStyle w:val="25"/>
              <w:keepNext w:val="0"/>
              <w:keepLines w:val="0"/>
              <w:pageBreakBefore w:val="0"/>
              <w:widowControl w:val="0"/>
              <w:shd w:val="clear" w:color="auto" w:fill="auto"/>
              <w:kinsoku/>
              <w:wordWrap/>
              <w:overflowPunct/>
              <w:topLinePunct w:val="0"/>
              <w:autoSpaceDE/>
              <w:autoSpaceDN/>
              <w:bidi w:val="0"/>
              <w:adjustRightInd/>
              <w:snapToGrid/>
              <w:spacing w:before="0" w:after="240" w:line="320" w:lineRule="exact"/>
              <w:ind w:left="0" w:right="0" w:firstLine="16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0"/>
                <w:w w:val="100"/>
                <w:position w:val="0"/>
                <w:sz w:val="21"/>
                <w:szCs w:val="21"/>
                <w:highlight w:val="none"/>
                <w:shd w:val="clear" w:color="auto" w:fill="auto"/>
                <w14:textFill>
                  <w14:solidFill>
                    <w14:schemeClr w14:val="tx1"/>
                  </w14:solidFill>
                </w14:textFill>
              </w:rPr>
              <w:t>乳制品</w:t>
            </w:r>
          </w:p>
          <w:p w14:paraId="107C185A">
            <w:pPr>
              <w:pStyle w:val="25"/>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0"/>
                <w:w w:val="100"/>
                <w:position w:val="0"/>
                <w:sz w:val="21"/>
                <w:szCs w:val="21"/>
                <w:highlight w:val="none"/>
                <w:shd w:val="clear" w:color="auto" w:fill="auto"/>
                <w14:textFill>
                  <w14:solidFill>
                    <w14:schemeClr w14:val="tx1"/>
                  </w14:solidFill>
                </w14:textFill>
              </w:rPr>
              <w:t>类</w:t>
            </w:r>
          </w:p>
        </w:tc>
        <w:tc>
          <w:tcPr>
            <w:tcW w:w="6550" w:type="dxa"/>
            <w:gridSpan w:val="2"/>
            <w:shd w:val="clear" w:color="auto" w:fill="FFFFFF"/>
            <w:noWrap w:val="0"/>
            <w:vAlign w:val="center"/>
          </w:tcPr>
          <w:p w14:paraId="39D99FA0">
            <w:pPr>
              <w:pStyle w:val="25"/>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0"/>
                <w:w w:val="100"/>
                <w:position w:val="0"/>
                <w:sz w:val="21"/>
                <w:szCs w:val="21"/>
                <w:highlight w:val="none"/>
                <w:shd w:val="clear" w:color="auto" w:fill="auto"/>
                <w14:textFill>
                  <w14:solidFill>
                    <w14:schemeClr w14:val="tx1"/>
                  </w14:solidFill>
                </w14:textFill>
              </w:rPr>
              <w:t>鲜牛奶、杀菌奶、灭菌奶、酸奶、全脂乳粉、脱脂乳粉、全脂加糖乳粉、调味乳粉、炼乳类、乳脂肪类打蛋糕用的稀奶油、常见的配面包吃的奶油、干酪类、乳冰淇淋类、干酪素、乳糖、奶片等。</w:t>
            </w:r>
          </w:p>
        </w:tc>
      </w:tr>
      <w:tr w14:paraId="1EBF4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75" w:hRule="exact"/>
          <w:jc w:val="center"/>
        </w:trPr>
        <w:tc>
          <w:tcPr>
            <w:tcW w:w="1063" w:type="dxa"/>
            <w:vMerge w:val="restart"/>
            <w:shd w:val="clear" w:color="auto" w:fill="FFFFFF"/>
            <w:noWrap w:val="0"/>
            <w:vAlign w:val="center"/>
          </w:tcPr>
          <w:p w14:paraId="47239DCE">
            <w:pPr>
              <w:pStyle w:val="25"/>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0"/>
                <w:w w:val="100"/>
                <w:position w:val="0"/>
                <w:sz w:val="21"/>
                <w:szCs w:val="21"/>
                <w:highlight w:val="none"/>
                <w:shd w:val="clear" w:color="auto" w:fill="auto"/>
                <w14:textFill>
                  <w14:solidFill>
                    <w14:schemeClr w14:val="tx1"/>
                  </w14:solidFill>
                </w14:textFill>
              </w:rPr>
              <w:t>副食品</w:t>
            </w:r>
          </w:p>
        </w:tc>
        <w:tc>
          <w:tcPr>
            <w:tcW w:w="1246" w:type="dxa"/>
            <w:shd w:val="clear" w:color="auto" w:fill="FFFFFF"/>
            <w:noWrap w:val="0"/>
            <w:vAlign w:val="center"/>
          </w:tcPr>
          <w:p w14:paraId="2D1864B9">
            <w:pPr>
              <w:pStyle w:val="25"/>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16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0"/>
                <w:w w:val="100"/>
                <w:position w:val="0"/>
                <w:sz w:val="21"/>
                <w:szCs w:val="21"/>
                <w:highlight w:val="none"/>
                <w:shd w:val="clear" w:color="auto" w:fill="auto"/>
                <w14:textFill>
                  <w14:solidFill>
                    <w14:schemeClr w14:val="tx1"/>
                  </w14:solidFill>
                </w14:textFill>
              </w:rPr>
              <w:t>食品类</w:t>
            </w:r>
          </w:p>
        </w:tc>
        <w:tc>
          <w:tcPr>
            <w:tcW w:w="6550" w:type="dxa"/>
            <w:gridSpan w:val="2"/>
            <w:shd w:val="clear" w:color="auto" w:fill="FFFFFF"/>
            <w:noWrap w:val="0"/>
            <w:vAlign w:val="center"/>
          </w:tcPr>
          <w:p w14:paraId="12043845">
            <w:pPr>
              <w:pStyle w:val="25"/>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0"/>
                <w:w w:val="100"/>
                <w:position w:val="0"/>
                <w:sz w:val="21"/>
                <w:szCs w:val="21"/>
                <w:highlight w:val="none"/>
                <w:shd w:val="clear" w:color="auto" w:fill="auto"/>
                <w14:textFill>
                  <w14:solidFill>
                    <w14:schemeClr w14:val="tx1"/>
                  </w14:solidFill>
                </w14:textFill>
              </w:rPr>
              <w:t>饼干、食品</w:t>
            </w:r>
            <w:r>
              <w:rPr>
                <w:rFonts w:hint="eastAsia" w:ascii="宋体" w:hAnsi="宋体" w:eastAsia="宋体" w:cs="宋体"/>
                <w:color w:val="000000" w:themeColor="text1"/>
                <w:spacing w:val="0"/>
                <w:w w:val="100"/>
                <w:position w:val="0"/>
                <w:sz w:val="21"/>
                <w:szCs w:val="2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pacing w:val="0"/>
                <w:w w:val="100"/>
                <w:position w:val="0"/>
                <w:sz w:val="21"/>
                <w:szCs w:val="21"/>
                <w:highlight w:val="none"/>
                <w:shd w:val="clear" w:color="auto" w:fill="auto"/>
                <w14:textFill>
                  <w14:solidFill>
                    <w14:schemeClr w14:val="tx1"/>
                  </w14:solidFill>
                </w14:textFill>
              </w:rPr>
              <w:t>果品、罐头等。</w:t>
            </w:r>
          </w:p>
        </w:tc>
      </w:tr>
      <w:tr w14:paraId="65BCD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116" w:hRule="exact"/>
          <w:jc w:val="center"/>
        </w:trPr>
        <w:tc>
          <w:tcPr>
            <w:tcW w:w="1063" w:type="dxa"/>
            <w:vMerge w:val="continue"/>
            <w:shd w:val="clear" w:color="auto" w:fill="FFFFFF"/>
            <w:noWrap w:val="0"/>
            <w:vAlign w:val="top"/>
          </w:tcPr>
          <w:p w14:paraId="5EE0E55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246" w:type="dxa"/>
            <w:shd w:val="clear" w:color="auto" w:fill="FFFFFF"/>
            <w:noWrap w:val="0"/>
            <w:vAlign w:val="center"/>
          </w:tcPr>
          <w:p w14:paraId="5B15B09F">
            <w:pPr>
              <w:pStyle w:val="25"/>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160"/>
              <w:jc w:val="both"/>
              <w:textAlignment w:val="auto"/>
              <w:rPr>
                <w:rFonts w:hint="eastAsia" w:ascii="宋体" w:hAnsi="宋体" w:eastAsia="宋体" w:cs="宋体"/>
                <w:color w:val="000000" w:themeColor="text1"/>
                <w:spacing w:val="0"/>
                <w:w w:val="100"/>
                <w:position w:val="0"/>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pacing w:val="0"/>
                <w:w w:val="100"/>
                <w:position w:val="0"/>
                <w:sz w:val="21"/>
                <w:szCs w:val="21"/>
                <w:highlight w:val="none"/>
                <w:shd w:val="clear" w:color="auto" w:fill="auto"/>
                <w14:textFill>
                  <w14:solidFill>
                    <w14:schemeClr w14:val="tx1"/>
                  </w14:solidFill>
                </w14:textFill>
              </w:rPr>
              <w:t>原粮产</w:t>
            </w:r>
          </w:p>
          <w:p w14:paraId="6CC7269D">
            <w:pPr>
              <w:pStyle w:val="25"/>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0"/>
                <w:w w:val="100"/>
                <w:position w:val="0"/>
                <w:sz w:val="21"/>
                <w:szCs w:val="21"/>
                <w:highlight w:val="none"/>
                <w:shd w:val="clear" w:color="auto" w:fill="auto"/>
                <w14:textFill>
                  <w14:solidFill>
                    <w14:schemeClr w14:val="tx1"/>
                  </w14:solidFill>
                </w14:textFill>
              </w:rPr>
              <w:t>品</w:t>
            </w:r>
          </w:p>
        </w:tc>
        <w:tc>
          <w:tcPr>
            <w:tcW w:w="6550" w:type="dxa"/>
            <w:gridSpan w:val="2"/>
            <w:shd w:val="clear" w:color="auto" w:fill="FFFFFF"/>
            <w:noWrap w:val="0"/>
            <w:vAlign w:val="center"/>
          </w:tcPr>
          <w:p w14:paraId="32791714">
            <w:pPr>
              <w:pStyle w:val="25"/>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jc w:val="left"/>
              <w:textAlignment w:val="auto"/>
              <w:rPr>
                <w:rFonts w:hint="eastAsia" w:ascii="宋体" w:hAnsi="宋体" w:eastAsia="宋体" w:cs="宋体"/>
                <w:color w:val="000000" w:themeColor="text1"/>
                <w:spacing w:val="0"/>
                <w:w w:val="100"/>
                <w:position w:val="0"/>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pacing w:val="0"/>
                <w:w w:val="100"/>
                <w:position w:val="0"/>
                <w:sz w:val="21"/>
                <w:szCs w:val="21"/>
                <w:highlight w:val="none"/>
                <w:shd w:val="clear" w:color="auto" w:fill="auto"/>
                <w14:textFill>
                  <w14:solidFill>
                    <w14:schemeClr w14:val="tx1"/>
                  </w14:solidFill>
                </w14:textFill>
              </w:rPr>
              <w:t>谷类、麦类、杂粮类和豆类。包括稻谷、小麦、燕麦、玉米粉、高粱、</w:t>
            </w:r>
          </w:p>
          <w:p w14:paraId="32D10736">
            <w:pPr>
              <w:pStyle w:val="25"/>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0"/>
                <w:w w:val="100"/>
                <w:position w:val="0"/>
                <w:sz w:val="21"/>
                <w:szCs w:val="21"/>
                <w:highlight w:val="none"/>
                <w:shd w:val="clear" w:color="auto" w:fill="auto"/>
                <w14:textFill>
                  <w14:solidFill>
                    <w14:schemeClr w14:val="tx1"/>
                  </w14:solidFill>
                </w14:textFill>
              </w:rPr>
              <w:t>谷子、大麦、</w:t>
            </w:r>
            <w:r>
              <w:rPr>
                <w:rFonts w:hint="eastAsia" w:ascii="宋体" w:hAnsi="宋体" w:eastAsia="宋体" w:cs="宋体"/>
                <w:color w:val="000000" w:themeColor="text1"/>
                <w:spacing w:val="0"/>
                <w:w w:val="100"/>
                <w:position w:val="0"/>
                <w:sz w:val="21"/>
                <w:szCs w:val="21"/>
                <w:highlight w:val="none"/>
                <w:shd w:val="clear" w:color="auto" w:fill="auto"/>
                <w:lang w:val="en-US" w:eastAsia="zh-CN"/>
                <w14:textFill>
                  <w14:solidFill>
                    <w14:schemeClr w14:val="tx1"/>
                  </w14:solidFill>
                </w14:textFill>
              </w:rPr>
              <w:t>荞</w:t>
            </w:r>
            <w:r>
              <w:rPr>
                <w:rFonts w:hint="eastAsia" w:ascii="宋体" w:hAnsi="宋体" w:eastAsia="宋体" w:cs="宋体"/>
                <w:color w:val="000000" w:themeColor="text1"/>
                <w:spacing w:val="0"/>
                <w:w w:val="100"/>
                <w:position w:val="0"/>
                <w:sz w:val="21"/>
                <w:szCs w:val="21"/>
                <w:highlight w:val="none"/>
                <w:shd w:val="clear" w:color="auto" w:fill="auto"/>
                <w14:textFill>
                  <w14:solidFill>
                    <w14:schemeClr w14:val="tx1"/>
                  </w14:solidFill>
                </w14:textFill>
              </w:rPr>
              <w:t>麦、大豆、小豆等。</w:t>
            </w:r>
          </w:p>
        </w:tc>
      </w:tr>
      <w:tr w14:paraId="79C41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946" w:hRule="exact"/>
          <w:jc w:val="center"/>
        </w:trPr>
        <w:tc>
          <w:tcPr>
            <w:tcW w:w="1063" w:type="dxa"/>
            <w:vMerge w:val="continue"/>
            <w:shd w:val="clear" w:color="auto" w:fill="FFFFFF"/>
            <w:noWrap w:val="0"/>
            <w:vAlign w:val="top"/>
          </w:tcPr>
          <w:p w14:paraId="69CCCC8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246" w:type="dxa"/>
            <w:shd w:val="clear" w:color="auto" w:fill="FFFFFF"/>
            <w:noWrap w:val="0"/>
            <w:vAlign w:val="center"/>
          </w:tcPr>
          <w:p w14:paraId="3E424060">
            <w:pPr>
              <w:pStyle w:val="25"/>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16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0"/>
                <w:w w:val="100"/>
                <w:position w:val="0"/>
                <w:sz w:val="21"/>
                <w:szCs w:val="21"/>
                <w:highlight w:val="none"/>
                <w:shd w:val="clear" w:color="auto" w:fill="auto"/>
                <w14:textFill>
                  <w14:solidFill>
                    <w14:schemeClr w14:val="tx1"/>
                  </w14:solidFill>
                </w14:textFill>
              </w:rPr>
              <w:t>成品粮</w:t>
            </w:r>
          </w:p>
        </w:tc>
        <w:tc>
          <w:tcPr>
            <w:tcW w:w="6550" w:type="dxa"/>
            <w:gridSpan w:val="2"/>
            <w:shd w:val="clear" w:color="auto" w:fill="FFFFFF"/>
            <w:noWrap w:val="0"/>
            <w:vAlign w:val="center"/>
          </w:tcPr>
          <w:p w14:paraId="7489F02A">
            <w:pPr>
              <w:pStyle w:val="25"/>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0"/>
                <w:w w:val="100"/>
                <w:position w:val="0"/>
                <w:sz w:val="21"/>
                <w:szCs w:val="21"/>
                <w:highlight w:val="none"/>
                <w:shd w:val="clear" w:color="auto" w:fill="auto"/>
                <w14:textFill>
                  <w14:solidFill>
                    <w14:schemeClr w14:val="tx1"/>
                  </w14:solidFill>
                </w14:textFill>
              </w:rPr>
              <w:t>大米、小麦粉，小米、油菜籽、白芝麻、黑芝麻、棉籽、葵花籽、 香瓜籽、油茶籽、</w:t>
            </w:r>
            <w:r>
              <w:rPr>
                <w:rFonts w:hint="eastAsia" w:ascii="宋体" w:hAnsi="宋体" w:eastAsia="宋体" w:cs="宋体"/>
                <w:color w:val="000000" w:themeColor="text1"/>
                <w:spacing w:val="0"/>
                <w:w w:val="100"/>
                <w:position w:val="0"/>
                <w:sz w:val="21"/>
                <w:szCs w:val="21"/>
                <w:highlight w:val="none"/>
                <w:shd w:val="clear" w:color="auto" w:fill="auto"/>
                <w:lang w:val="en-US" w:eastAsia="zh-CN"/>
                <w14:textFill>
                  <w14:solidFill>
                    <w14:schemeClr w14:val="tx1"/>
                  </w14:solidFill>
                </w14:textFill>
              </w:rPr>
              <w:t>棕榈</w:t>
            </w:r>
            <w:r>
              <w:rPr>
                <w:rFonts w:hint="eastAsia" w:ascii="宋体" w:hAnsi="宋体" w:eastAsia="宋体" w:cs="宋体"/>
                <w:color w:val="000000" w:themeColor="text1"/>
                <w:spacing w:val="0"/>
                <w:w w:val="100"/>
                <w:position w:val="0"/>
                <w:sz w:val="21"/>
                <w:szCs w:val="21"/>
                <w:highlight w:val="none"/>
                <w:shd w:val="clear" w:color="auto" w:fill="auto"/>
                <w14:textFill>
                  <w14:solidFill>
                    <w14:schemeClr w14:val="tx1"/>
                  </w14:solidFill>
                </w14:textFill>
              </w:rPr>
              <w:t>籽等。</w:t>
            </w:r>
          </w:p>
        </w:tc>
      </w:tr>
      <w:tr w14:paraId="062A4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791" w:hRule="exact"/>
          <w:jc w:val="center"/>
        </w:trPr>
        <w:tc>
          <w:tcPr>
            <w:tcW w:w="1063" w:type="dxa"/>
            <w:vMerge w:val="continue"/>
            <w:shd w:val="clear" w:color="auto" w:fill="FFFFFF"/>
            <w:noWrap w:val="0"/>
            <w:vAlign w:val="center"/>
          </w:tcPr>
          <w:p w14:paraId="4C4EC6B2">
            <w:pPr>
              <w:pStyle w:val="25"/>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246" w:type="dxa"/>
            <w:shd w:val="clear" w:color="auto" w:fill="FFFFFF"/>
            <w:noWrap w:val="0"/>
            <w:vAlign w:val="center"/>
          </w:tcPr>
          <w:p w14:paraId="548E9B68">
            <w:pPr>
              <w:pStyle w:val="25"/>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0"/>
                <w:w w:val="100"/>
                <w:position w:val="0"/>
                <w:sz w:val="21"/>
                <w:szCs w:val="21"/>
                <w:highlight w:val="none"/>
                <w:shd w:val="clear" w:color="auto" w:fill="auto"/>
                <w14:textFill>
                  <w14:solidFill>
                    <w14:schemeClr w14:val="tx1"/>
                  </w14:solidFill>
                </w14:textFill>
              </w:rPr>
              <w:t>油脂</w:t>
            </w:r>
          </w:p>
        </w:tc>
        <w:tc>
          <w:tcPr>
            <w:tcW w:w="6550" w:type="dxa"/>
            <w:gridSpan w:val="2"/>
            <w:shd w:val="clear" w:color="auto" w:fill="FFFFFF"/>
            <w:noWrap w:val="0"/>
            <w:vAlign w:val="center"/>
          </w:tcPr>
          <w:p w14:paraId="5DAED973">
            <w:pPr>
              <w:pStyle w:val="25"/>
              <w:keepNext w:val="0"/>
              <w:keepLines w:val="0"/>
              <w:pageBreakBefore w:val="0"/>
              <w:widowControl w:val="0"/>
              <w:shd w:val="clear" w:color="auto" w:fill="auto"/>
              <w:kinsoku/>
              <w:wordWrap/>
              <w:overflowPunct/>
              <w:topLinePunct w:val="0"/>
              <w:autoSpaceDE/>
              <w:autoSpaceDN/>
              <w:bidi w:val="0"/>
              <w:adjustRightInd/>
              <w:snapToGrid/>
              <w:spacing w:before="0" w:after="220" w:line="320" w:lineRule="exact"/>
              <w:ind w:left="0" w:right="0" w:firstLine="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0"/>
                <w:w w:val="100"/>
                <w:position w:val="0"/>
                <w:sz w:val="21"/>
                <w:szCs w:val="21"/>
                <w:highlight w:val="none"/>
                <w:shd w:val="clear" w:color="auto" w:fill="auto"/>
                <w14:textFill>
                  <w14:solidFill>
                    <w14:schemeClr w14:val="tx1"/>
                  </w14:solidFill>
                </w14:textFill>
              </w:rPr>
              <w:t>花生油、菜油、香油、葵花籽油、</w:t>
            </w:r>
            <w:r>
              <w:rPr>
                <w:rFonts w:hint="eastAsia" w:ascii="宋体" w:hAnsi="宋体" w:eastAsia="宋体" w:cs="宋体"/>
                <w:color w:val="000000" w:themeColor="text1"/>
                <w:spacing w:val="0"/>
                <w:w w:val="100"/>
                <w:position w:val="0"/>
                <w:sz w:val="21"/>
                <w:szCs w:val="21"/>
                <w:highlight w:val="none"/>
                <w:shd w:val="clear" w:color="auto" w:fill="auto"/>
                <w:lang w:val="en-US" w:eastAsia="zh-CN"/>
                <w14:textFill>
                  <w14:solidFill>
                    <w14:schemeClr w14:val="tx1"/>
                  </w14:solidFill>
                </w14:textFill>
              </w:rPr>
              <w:t>蓖麻</w:t>
            </w:r>
            <w:r>
              <w:rPr>
                <w:rFonts w:hint="eastAsia" w:ascii="宋体" w:hAnsi="宋体" w:eastAsia="宋体" w:cs="宋体"/>
                <w:color w:val="000000" w:themeColor="text1"/>
                <w:spacing w:val="0"/>
                <w:w w:val="100"/>
                <w:position w:val="0"/>
                <w:sz w:val="21"/>
                <w:szCs w:val="21"/>
                <w:highlight w:val="none"/>
                <w:shd w:val="clear" w:color="auto" w:fill="auto"/>
                <w14:textFill>
                  <w14:solidFill>
                    <w14:schemeClr w14:val="tx1"/>
                  </w14:solidFill>
                </w14:textFill>
              </w:rPr>
              <w:t>籽油、大豆油、玉米胚油、</w:t>
            </w:r>
            <w:r>
              <w:rPr>
                <w:rFonts w:hint="eastAsia" w:ascii="宋体" w:hAnsi="宋体" w:eastAsia="宋体" w:cs="宋体"/>
                <w:color w:val="000000" w:themeColor="text1"/>
                <w:spacing w:val="0"/>
                <w:w w:val="100"/>
                <w:position w:val="0"/>
                <w:sz w:val="21"/>
                <w:szCs w:val="21"/>
                <w:highlight w:val="none"/>
                <w:shd w:val="clear" w:color="auto" w:fill="auto"/>
                <w:lang w:val="en-US" w:eastAsia="zh-CN"/>
                <w14:textFill>
                  <w14:solidFill>
                    <w14:schemeClr w14:val="tx1"/>
                  </w14:solidFill>
                </w14:textFill>
              </w:rPr>
              <w:t>棕榈</w:t>
            </w:r>
            <w:r>
              <w:rPr>
                <w:rFonts w:hint="eastAsia" w:ascii="宋体" w:hAnsi="宋体" w:eastAsia="宋体" w:cs="宋体"/>
                <w:color w:val="000000" w:themeColor="text1"/>
                <w:spacing w:val="0"/>
                <w:w w:val="100"/>
                <w:position w:val="0"/>
                <w:sz w:val="21"/>
                <w:szCs w:val="21"/>
                <w:highlight w:val="none"/>
                <w:shd w:val="clear" w:color="auto" w:fill="auto"/>
                <w14:textFill>
                  <w14:solidFill>
                    <w14:schemeClr w14:val="tx1"/>
                  </w14:solidFill>
                </w14:textFill>
              </w:rPr>
              <w:t>油、橄榄油</w:t>
            </w:r>
            <w:r>
              <w:rPr>
                <w:rFonts w:hint="eastAsia" w:ascii="宋体" w:hAnsi="宋体" w:eastAsia="宋体" w:cs="宋体"/>
                <w:color w:val="000000" w:themeColor="text1"/>
                <w:spacing w:val="0"/>
                <w:w w:val="100"/>
                <w:position w:val="0"/>
                <w:sz w:val="21"/>
                <w:szCs w:val="2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pacing w:val="0"/>
                <w:w w:val="100"/>
                <w:position w:val="0"/>
                <w:sz w:val="21"/>
                <w:szCs w:val="21"/>
                <w:highlight w:val="none"/>
                <w:shd w:val="clear" w:color="auto" w:fill="auto"/>
                <w14:textFill>
                  <w14:solidFill>
                    <w14:schemeClr w14:val="tx1"/>
                  </w14:solidFill>
                </w14:textFill>
              </w:rPr>
              <w:t>色拉油、调和油</w:t>
            </w:r>
            <w:r>
              <w:rPr>
                <w:rFonts w:hint="eastAsia" w:ascii="宋体" w:hAnsi="宋体" w:eastAsia="宋体" w:cs="宋体"/>
                <w:color w:val="000000" w:themeColor="text1"/>
                <w:spacing w:val="0"/>
                <w:w w:val="100"/>
                <w:position w:val="0"/>
                <w:sz w:val="21"/>
                <w:szCs w:val="2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pacing w:val="0"/>
                <w:w w:val="100"/>
                <w:position w:val="0"/>
                <w:sz w:val="21"/>
                <w:szCs w:val="21"/>
                <w:highlight w:val="none"/>
                <w:shd w:val="clear" w:color="auto" w:fill="auto"/>
                <w14:textFill>
                  <w14:solidFill>
                    <w14:schemeClr w14:val="tx1"/>
                  </w14:solidFill>
                </w14:textFill>
              </w:rPr>
              <w:t>调味油</w:t>
            </w:r>
            <w:r>
              <w:rPr>
                <w:rFonts w:hint="eastAsia" w:ascii="宋体" w:hAnsi="宋体" w:eastAsia="宋体" w:cs="宋体"/>
                <w:color w:val="000000" w:themeColor="text1"/>
                <w:spacing w:val="0"/>
                <w:w w:val="100"/>
                <w:position w:val="0"/>
                <w:sz w:val="21"/>
                <w:szCs w:val="2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pacing w:val="0"/>
                <w:w w:val="100"/>
                <w:position w:val="0"/>
                <w:sz w:val="21"/>
                <w:szCs w:val="21"/>
                <w:highlight w:val="none"/>
                <w:shd w:val="clear" w:color="auto" w:fill="auto"/>
                <w14:textFill>
                  <w14:solidFill>
                    <w14:schemeClr w14:val="tx1"/>
                  </w14:solidFill>
                </w14:textFill>
              </w:rPr>
              <w:t>起酥油等。</w:t>
            </w:r>
          </w:p>
        </w:tc>
      </w:tr>
      <w:tr w14:paraId="79E5C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117" w:hRule="exact"/>
          <w:jc w:val="center"/>
        </w:trPr>
        <w:tc>
          <w:tcPr>
            <w:tcW w:w="1063" w:type="dxa"/>
            <w:vMerge w:val="continue"/>
            <w:shd w:val="clear" w:color="auto" w:fill="FFFFFF"/>
            <w:noWrap w:val="0"/>
            <w:vAlign w:val="top"/>
          </w:tcPr>
          <w:p w14:paraId="5AF7F21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246" w:type="dxa"/>
            <w:shd w:val="clear" w:color="auto" w:fill="FFFFFF"/>
            <w:noWrap w:val="0"/>
            <w:vAlign w:val="center"/>
          </w:tcPr>
          <w:p w14:paraId="4ED69484">
            <w:pPr>
              <w:pStyle w:val="25"/>
              <w:keepNext w:val="0"/>
              <w:keepLines w:val="0"/>
              <w:pageBreakBefore w:val="0"/>
              <w:widowControl w:val="0"/>
              <w:shd w:val="clear" w:color="auto" w:fill="auto"/>
              <w:kinsoku/>
              <w:wordWrap/>
              <w:overflowPunct/>
              <w:topLinePunct w:val="0"/>
              <w:autoSpaceDE/>
              <w:autoSpaceDN/>
              <w:bidi w:val="0"/>
              <w:adjustRightInd/>
              <w:snapToGrid/>
              <w:spacing w:before="0" w:after="220" w:line="320" w:lineRule="exact"/>
              <w:ind w:left="0" w:right="0" w:firstLine="16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0"/>
                <w:w w:val="100"/>
                <w:position w:val="0"/>
                <w:sz w:val="21"/>
                <w:szCs w:val="21"/>
                <w:highlight w:val="none"/>
                <w:shd w:val="clear" w:color="auto" w:fill="auto"/>
                <w14:textFill>
                  <w14:solidFill>
                    <w14:schemeClr w14:val="tx1"/>
                  </w14:solidFill>
                </w14:textFill>
              </w:rPr>
              <w:t>粮油制</w:t>
            </w:r>
          </w:p>
          <w:p w14:paraId="59896C1B">
            <w:pPr>
              <w:pStyle w:val="25"/>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38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0"/>
                <w:w w:val="100"/>
                <w:position w:val="0"/>
                <w:sz w:val="21"/>
                <w:szCs w:val="21"/>
                <w:highlight w:val="none"/>
                <w:shd w:val="clear" w:color="auto" w:fill="auto"/>
                <w14:textFill>
                  <w14:solidFill>
                    <w14:schemeClr w14:val="tx1"/>
                  </w14:solidFill>
                </w14:textFill>
              </w:rPr>
              <w:t>品</w:t>
            </w:r>
          </w:p>
        </w:tc>
        <w:tc>
          <w:tcPr>
            <w:tcW w:w="6550" w:type="dxa"/>
            <w:gridSpan w:val="2"/>
            <w:shd w:val="clear" w:color="auto" w:fill="FFFFFF"/>
            <w:noWrap w:val="0"/>
            <w:vAlign w:val="center"/>
          </w:tcPr>
          <w:p w14:paraId="2152D996">
            <w:pPr>
              <w:pStyle w:val="25"/>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0"/>
                <w:w w:val="100"/>
                <w:position w:val="0"/>
                <w:sz w:val="21"/>
                <w:szCs w:val="21"/>
                <w:highlight w:val="none"/>
                <w:shd w:val="clear" w:color="auto" w:fill="auto"/>
                <w14:textFill>
                  <w14:solidFill>
                    <w14:schemeClr w14:val="tx1"/>
                  </w14:solidFill>
                </w14:textFill>
              </w:rPr>
              <w:t>杂面茶、挂面、龙须面</w:t>
            </w:r>
            <w:r>
              <w:rPr>
                <w:rFonts w:hint="eastAsia" w:ascii="宋体" w:hAnsi="宋体" w:eastAsia="宋体" w:cs="宋体"/>
                <w:color w:val="000000" w:themeColor="text1"/>
                <w:spacing w:val="0"/>
                <w:w w:val="100"/>
                <w:position w:val="0"/>
                <w:sz w:val="21"/>
                <w:szCs w:val="2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pacing w:val="0"/>
                <w:w w:val="100"/>
                <w:position w:val="0"/>
                <w:sz w:val="21"/>
                <w:szCs w:val="21"/>
                <w:highlight w:val="none"/>
                <w:shd w:val="clear" w:color="auto" w:fill="auto"/>
                <w:lang w:val="en-US" w:eastAsia="zh-CN"/>
                <w14:textFill>
                  <w14:solidFill>
                    <w14:schemeClr w14:val="tx1"/>
                  </w14:solidFill>
                </w14:textFill>
              </w:rPr>
              <w:t>荞</w:t>
            </w:r>
            <w:r>
              <w:rPr>
                <w:rFonts w:hint="eastAsia" w:ascii="宋体" w:hAnsi="宋体" w:eastAsia="宋体" w:cs="宋体"/>
                <w:color w:val="000000" w:themeColor="text1"/>
                <w:spacing w:val="0"/>
                <w:w w:val="100"/>
                <w:position w:val="0"/>
                <w:sz w:val="21"/>
                <w:szCs w:val="21"/>
                <w:highlight w:val="none"/>
                <w:shd w:val="clear" w:color="auto" w:fill="auto"/>
                <w14:textFill>
                  <w14:solidFill>
                    <w14:schemeClr w14:val="tx1"/>
                  </w14:solidFill>
                </w14:textFill>
              </w:rPr>
              <w:t>麦挂面</w:t>
            </w:r>
            <w:r>
              <w:rPr>
                <w:rFonts w:hint="eastAsia" w:ascii="宋体" w:hAnsi="宋体" w:eastAsia="宋体" w:cs="宋体"/>
                <w:color w:val="000000" w:themeColor="text1"/>
                <w:spacing w:val="0"/>
                <w:w w:val="100"/>
                <w:position w:val="0"/>
                <w:sz w:val="21"/>
                <w:szCs w:val="2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pacing w:val="0"/>
                <w:w w:val="100"/>
                <w:position w:val="0"/>
                <w:sz w:val="21"/>
                <w:szCs w:val="21"/>
                <w:highlight w:val="none"/>
                <w:shd w:val="clear" w:color="auto" w:fill="auto"/>
                <w14:textFill>
                  <w14:solidFill>
                    <w14:schemeClr w14:val="tx1"/>
                  </w14:solidFill>
                </w14:textFill>
              </w:rPr>
              <w:t>通心面</w:t>
            </w:r>
            <w:r>
              <w:rPr>
                <w:rFonts w:hint="eastAsia" w:ascii="宋体" w:hAnsi="宋体" w:eastAsia="宋体" w:cs="宋体"/>
                <w:color w:val="000000" w:themeColor="text1"/>
                <w:spacing w:val="0"/>
                <w:w w:val="100"/>
                <w:position w:val="0"/>
                <w:sz w:val="21"/>
                <w:szCs w:val="2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pacing w:val="0"/>
                <w:w w:val="100"/>
                <w:position w:val="0"/>
                <w:sz w:val="21"/>
                <w:szCs w:val="21"/>
                <w:highlight w:val="none"/>
                <w:shd w:val="clear" w:color="auto" w:fill="auto"/>
                <w14:textFill>
                  <w14:solidFill>
                    <w14:schemeClr w14:val="tx1"/>
                  </w14:solidFill>
                </w14:textFill>
              </w:rPr>
              <w:t>凉面</w:t>
            </w:r>
            <w:r>
              <w:rPr>
                <w:rFonts w:hint="eastAsia" w:ascii="宋体" w:hAnsi="宋体" w:eastAsia="宋体" w:cs="宋体"/>
                <w:color w:val="000000" w:themeColor="text1"/>
                <w:spacing w:val="0"/>
                <w:w w:val="100"/>
                <w:position w:val="0"/>
                <w:sz w:val="21"/>
                <w:szCs w:val="2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pacing w:val="0"/>
                <w:w w:val="100"/>
                <w:position w:val="0"/>
                <w:sz w:val="21"/>
                <w:szCs w:val="21"/>
                <w:highlight w:val="none"/>
                <w:shd w:val="clear" w:color="auto" w:fill="auto"/>
                <w14:textFill>
                  <w14:solidFill>
                    <w14:schemeClr w14:val="tx1"/>
                  </w14:solidFill>
                </w14:textFill>
              </w:rPr>
              <w:t>面饼</w:t>
            </w:r>
            <w:r>
              <w:rPr>
                <w:rFonts w:hint="eastAsia" w:ascii="宋体" w:hAnsi="宋体" w:eastAsia="宋体" w:cs="宋体"/>
                <w:color w:val="000000" w:themeColor="text1"/>
                <w:spacing w:val="0"/>
                <w:w w:val="100"/>
                <w:position w:val="0"/>
                <w:sz w:val="21"/>
                <w:szCs w:val="2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pacing w:val="0"/>
                <w:w w:val="100"/>
                <w:position w:val="0"/>
                <w:sz w:val="21"/>
                <w:szCs w:val="21"/>
                <w:highlight w:val="none"/>
                <w:shd w:val="clear" w:color="auto" w:fill="auto"/>
                <w14:textFill>
                  <w14:solidFill>
                    <w14:schemeClr w14:val="tx1"/>
                  </w14:solidFill>
                </w14:textFill>
              </w:rPr>
              <w:t>方便面</w:t>
            </w:r>
            <w:r>
              <w:rPr>
                <w:rFonts w:hint="eastAsia" w:ascii="宋体" w:hAnsi="宋体" w:eastAsia="宋体" w:cs="宋体"/>
                <w:color w:val="000000" w:themeColor="text1"/>
                <w:spacing w:val="0"/>
                <w:w w:val="100"/>
                <w:position w:val="0"/>
                <w:sz w:val="21"/>
                <w:szCs w:val="2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pacing w:val="0"/>
                <w:w w:val="100"/>
                <w:position w:val="0"/>
                <w:sz w:val="21"/>
                <w:szCs w:val="21"/>
                <w:highlight w:val="none"/>
                <w:shd w:val="clear" w:color="auto" w:fill="auto"/>
                <w14:textFill>
                  <w14:solidFill>
                    <w14:schemeClr w14:val="tx1"/>
                  </w14:solidFill>
                </w14:textFill>
              </w:rPr>
              <w:t>米粉、粉丝、西米、花生米、烧饼、可可粉、色拉调料、芝麻酱、面粉、糯米粉、粘米粉、生粉、花生酱、奶粉等。</w:t>
            </w:r>
          </w:p>
        </w:tc>
      </w:tr>
      <w:tr w14:paraId="39F46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966" w:hRule="exact"/>
          <w:jc w:val="center"/>
        </w:trPr>
        <w:tc>
          <w:tcPr>
            <w:tcW w:w="1063" w:type="dxa"/>
            <w:vMerge w:val="continue"/>
            <w:shd w:val="clear" w:color="auto" w:fill="FFFFFF"/>
            <w:noWrap w:val="0"/>
            <w:vAlign w:val="top"/>
          </w:tcPr>
          <w:p w14:paraId="3F416A2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246" w:type="dxa"/>
            <w:shd w:val="clear" w:color="auto" w:fill="FFFFFF"/>
            <w:noWrap w:val="0"/>
            <w:vAlign w:val="center"/>
          </w:tcPr>
          <w:p w14:paraId="658C81D1">
            <w:pPr>
              <w:pStyle w:val="25"/>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16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0"/>
                <w:w w:val="100"/>
                <w:position w:val="0"/>
                <w:sz w:val="21"/>
                <w:szCs w:val="21"/>
                <w:highlight w:val="none"/>
                <w:shd w:val="clear" w:color="auto" w:fill="auto"/>
                <w14:textFill>
                  <w14:solidFill>
                    <w14:schemeClr w14:val="tx1"/>
                  </w14:solidFill>
                </w14:textFill>
              </w:rPr>
              <w:t>调味品</w:t>
            </w:r>
          </w:p>
        </w:tc>
        <w:tc>
          <w:tcPr>
            <w:tcW w:w="6550" w:type="dxa"/>
            <w:gridSpan w:val="2"/>
            <w:shd w:val="clear" w:color="auto" w:fill="FFFFFF"/>
            <w:noWrap w:val="0"/>
            <w:vAlign w:val="center"/>
          </w:tcPr>
          <w:p w14:paraId="384922B4">
            <w:pPr>
              <w:pStyle w:val="25"/>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0"/>
                <w:w w:val="100"/>
                <w:position w:val="0"/>
                <w:sz w:val="21"/>
                <w:szCs w:val="21"/>
                <w:highlight w:val="none"/>
                <w:shd w:val="clear" w:color="auto" w:fill="auto"/>
                <w14:textFill>
                  <w14:solidFill>
                    <w14:schemeClr w14:val="tx1"/>
                  </w14:solidFill>
                </w14:textFill>
              </w:rPr>
              <w:t>「盐、酱、醋、味精、糖、辣椒酱、腐乳、豆鼓、榄槛菜、鸡粉、番茄酱、炼奶、南乳、枧水、泰汁等。</w:t>
            </w:r>
          </w:p>
        </w:tc>
      </w:tr>
    </w:tbl>
    <w:p w14:paraId="0DBFC56B">
      <w:pPr>
        <w:keepNext w:val="0"/>
        <w:keepLines w:val="0"/>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b/>
          <w:bCs/>
          <w:color w:val="000000" w:themeColor="text1"/>
          <w:kern w:val="44"/>
          <w:sz w:val="21"/>
          <w:szCs w:val="21"/>
          <w:highlight w:val="none"/>
          <w:lang w:val="en-US" w:eastAsia="zh-CN"/>
          <w14:textFill>
            <w14:solidFill>
              <w14:schemeClr w14:val="tx1"/>
            </w14:solidFill>
          </w14:textFill>
        </w:rPr>
      </w:pPr>
      <w:r>
        <w:rPr>
          <w:rFonts w:hint="eastAsia" w:ascii="宋体" w:hAnsi="宋体" w:cs="宋体"/>
          <w:b/>
          <w:bCs/>
          <w:color w:val="000000" w:themeColor="text1"/>
          <w:kern w:val="44"/>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kern w:val="44"/>
          <w:sz w:val="21"/>
          <w:szCs w:val="21"/>
          <w:highlight w:val="none"/>
          <w:lang w:val="en-US" w:eastAsia="zh-CN"/>
          <w14:textFill>
            <w14:solidFill>
              <w14:schemeClr w14:val="tx1"/>
            </w14:solidFill>
          </w14:textFill>
        </w:rPr>
        <w:t>、食材配送要求</w:t>
      </w:r>
    </w:p>
    <w:p w14:paraId="29265CAC">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1.包装与标志要求：</w:t>
      </w:r>
    </w:p>
    <w:p w14:paraId="18F68131">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（1）包装：容器（框、箱、袋）要求清洁、干燥、牢固、透气，无污染、无异味、无霉变现象。</w:t>
      </w:r>
    </w:p>
    <w:p w14:paraId="54816F16">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（2）标志：每件食材包装必须按《农产品包装和标识管理办法》贴标签，并标明产地、品种、净含量、生产单位及地址和采收日期等。</w:t>
      </w:r>
    </w:p>
    <w:p w14:paraId="35FE1BE8">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2.食材运输要求：运输工具应清洁卫生无污染，并且要保持清洁和定期消毒。</w:t>
      </w:r>
    </w:p>
    <w:p w14:paraId="5E7208C7">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鲜肉、鲜禽、鲜鱼、蛋类基本要求：所供食材应保持较好的外观和质量等级，严格遵守《动物检疫管理办法》和《中华人民共和国食品安全法》等相关规定，保证无异味、无霉烂变质，肉类保证来源于正规肉联厂，供货时须提交当批次有效的动物检疫合格证复印件（原件备查）。</w:t>
      </w:r>
    </w:p>
    <w:p w14:paraId="66E4EBE8">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4.副食品与调味料类基本要求：</w:t>
      </w:r>
    </w:p>
    <w:p w14:paraId="57A273DC">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要求符合国家相关行业标准，干爽，不霉烂、整齐、均匀、完整，无虫蛀、无杂质，保持应有的色泽，剩余保质期不少于原保质期一半，从加工、包装、运输、贮存到销售全部符合国家规定标准，标识说明完整详细包括：产品名称、净含量、配料表、制造商名称和地址、产品标准号、生产日期、保质期。</w:t>
      </w:r>
    </w:p>
    <w:p w14:paraId="4FED9C83">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（2）大米必须符合GB2715的规定，大米的质量指标不低于GB/T1354-2009《大米》标准，取得食品生产许可证，具有产品检验报告，在保质期内，有QS标志。</w:t>
      </w:r>
    </w:p>
    <w:p w14:paraId="08D79280">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（3）面粉质量指标不低于GB/T1355. 86标准，取得食品生产许可证，具有产品检验报告，在保质期内，有QS标志。</w:t>
      </w:r>
    </w:p>
    <w:p w14:paraId="1ADE4618">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5.果蔬类基本要求：必须是优质货品，符合卫生质量要求和国家相关行业标准，不得含有残留农药或污染物,同时须承担因所供问题果蔬引起的一切事故后果。</w:t>
      </w:r>
    </w:p>
    <w:p w14:paraId="7D548A54">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6.粮油类基本要求：食用油必须符合GB 2716的规定标准，取得食品生产许可证，具有产品检验报告，在保质期内，有QS标志。</w:t>
      </w:r>
    </w:p>
    <w:p w14:paraId="3E39D638">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冻品类基本要求：产品质量必须符合国家行业标准要求，有明确的商品标签，有生产日期、保质期、质量等级，不得有掺假、变质、变味、过期等现象岀现，保证运输过程冷链不中断，送达目的地时外包装箱干爽，无软化现象。</w:t>
      </w:r>
    </w:p>
    <w:p w14:paraId="2EED4E43">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8.保质期要求：保质期超过15日的货品剩余保质期不得短于保质期的50%，保质期低于15日的货品必须为送货当日屠宰或制作的货品。</w:t>
      </w:r>
    </w:p>
    <w:p w14:paraId="23990475">
      <w:pPr>
        <w:spacing w:line="240" w:lineRule="auto"/>
        <w:jc w:val="left"/>
        <w:rPr>
          <w:rFonts w:hint="eastAsia" w:ascii="宋体" w:hAnsi="宋体" w:cs="宋体"/>
          <w:b/>
          <w:bCs/>
          <w:color w:val="000000" w:themeColor="text1"/>
          <w:highlight w:val="none"/>
          <w14:textFill>
            <w14:solidFill>
              <w14:schemeClr w14:val="tx1"/>
            </w14:solidFill>
          </w14:textFill>
        </w:rPr>
      </w:pPr>
    </w:p>
    <w:p w14:paraId="625D2586">
      <w:pPr>
        <w:spacing w:line="240" w:lineRule="auto"/>
        <w:jc w:val="left"/>
        <w:rPr>
          <w:rFonts w:hint="eastAsia" w:ascii="宋体" w:hAnsi="宋体" w:cs="宋体"/>
          <w:b/>
          <w:bCs/>
          <w:color w:val="000000" w:themeColor="text1"/>
          <w:highlight w:val="none"/>
          <w14:textFill>
            <w14:solidFill>
              <w14:schemeClr w14:val="tx1"/>
            </w14:solidFill>
          </w14:textFill>
        </w:rPr>
      </w:pPr>
    </w:p>
    <w:p w14:paraId="0903AC84">
      <w:pPr>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br w:type="page"/>
      </w:r>
    </w:p>
    <w:p w14:paraId="5A178D7D">
      <w:pPr>
        <w:spacing w:line="240" w:lineRule="auto"/>
        <w:jc w:val="left"/>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 xml:space="preserve">附件                            </w:t>
      </w:r>
    </w:p>
    <w:p w14:paraId="20702A29">
      <w:pPr>
        <w:spacing w:line="240" w:lineRule="auto"/>
        <w:jc w:val="center"/>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配送服务质量考核评价办法</w:t>
      </w:r>
    </w:p>
    <w:p w14:paraId="6F4A973F">
      <w:pPr>
        <w:spacing w:line="240" w:lineRule="auto"/>
        <w:rPr>
          <w:rFonts w:hint="eastAsia" w:ascii="宋体" w:hAnsi="宋体" w:cs="宋体"/>
          <w:color w:val="000000" w:themeColor="text1"/>
          <w:highlight w:val="none"/>
          <w14:textFill>
            <w14:solidFill>
              <w14:schemeClr w14:val="tx1"/>
            </w14:solidFill>
          </w14:textFill>
        </w:rPr>
      </w:pPr>
    </w:p>
    <w:p w14:paraId="4288D73E">
      <w:pPr>
        <w:ind w:firstLine="420" w:firstLineChars="200"/>
        <w:rPr>
          <w:rFonts w:asci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lang w:val="en-US"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每月综合服务满意度满分为</w:t>
      </w:r>
      <w:r>
        <w:rPr>
          <w:rFonts w:ascii="宋体" w:hAnsi="宋体" w:cs="宋体"/>
          <w:color w:val="000000" w:themeColor="text1"/>
          <w:highlight w:val="none"/>
          <w14:textFill>
            <w14:solidFill>
              <w14:schemeClr w14:val="tx1"/>
            </w14:solidFill>
          </w14:textFill>
        </w:rPr>
        <w:t>100</w:t>
      </w:r>
      <w:r>
        <w:rPr>
          <w:rFonts w:hint="eastAsia" w:ascii="宋体" w:hAnsi="宋体" w:cs="宋体"/>
          <w:color w:val="000000" w:themeColor="text1"/>
          <w:highlight w:val="none"/>
          <w14:textFill>
            <w14:solidFill>
              <w14:schemeClr w14:val="tx1"/>
            </w14:solidFill>
          </w14:textFill>
        </w:rPr>
        <w:t>分，合格标准为</w:t>
      </w:r>
      <w:r>
        <w:rPr>
          <w:rFonts w:ascii="宋体" w:hAnsi="宋体" w:cs="宋体"/>
          <w:color w:val="000000" w:themeColor="text1"/>
          <w:highlight w:val="none"/>
          <w14:textFill>
            <w14:solidFill>
              <w14:schemeClr w14:val="tx1"/>
            </w14:solidFill>
          </w14:textFill>
        </w:rPr>
        <w:t>90</w:t>
      </w:r>
      <w:r>
        <w:rPr>
          <w:rFonts w:hint="eastAsia" w:ascii="宋体" w:hAnsi="宋体" w:cs="宋体"/>
          <w:color w:val="000000" w:themeColor="text1"/>
          <w:highlight w:val="none"/>
          <w14:textFill>
            <w14:solidFill>
              <w14:schemeClr w14:val="tx1"/>
            </w14:solidFill>
          </w14:textFill>
        </w:rPr>
        <w:t>分，满意度低于</w:t>
      </w:r>
      <w:r>
        <w:rPr>
          <w:rFonts w:ascii="宋体" w:hAnsi="宋体" w:cs="宋体"/>
          <w:color w:val="000000" w:themeColor="text1"/>
          <w:highlight w:val="none"/>
          <w14:textFill>
            <w14:solidFill>
              <w14:schemeClr w14:val="tx1"/>
            </w14:solidFill>
          </w14:textFill>
        </w:rPr>
        <w:t>90</w:t>
      </w:r>
      <w:r>
        <w:rPr>
          <w:rFonts w:hint="eastAsia" w:ascii="宋体" w:hAnsi="宋体" w:cs="宋体"/>
          <w:color w:val="000000" w:themeColor="text1"/>
          <w:highlight w:val="none"/>
          <w14:textFill>
            <w14:solidFill>
              <w14:schemeClr w14:val="tx1"/>
            </w14:solidFill>
          </w14:textFill>
        </w:rPr>
        <w:t>分的每下降</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扣除当月结算金额的</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。半年内累计出现低于合格满意度次数超过</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次的，采购人有权解除合同。</w:t>
      </w:r>
    </w:p>
    <w:p w14:paraId="32B084AC">
      <w:pPr>
        <w:ind w:firstLine="420" w:firstLineChars="200"/>
        <w:rPr>
          <w:rFonts w:asci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lang w:val="en-US"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中标供应商需及时对采购人提出的存在问题作出响应并实施整改，次月未作出整改的，采购人将发出警告函</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次，连续因同一问题发出警告函</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次的，采购人有权终止其供货资格。</w:t>
      </w:r>
    </w:p>
    <w:tbl>
      <w:tblPr>
        <w:tblStyle w:val="15"/>
        <w:tblpPr w:leftFromText="180" w:rightFromText="180" w:vertAnchor="text" w:horzAnchor="page" w:tblpXSpec="center" w:tblpY="312"/>
        <w:tblOverlap w:val="never"/>
        <w:tblW w:w="9762" w:type="dxa"/>
        <w:jc w:val="center"/>
        <w:tblLayout w:type="autofit"/>
        <w:tblCellMar>
          <w:top w:w="0" w:type="dxa"/>
          <w:left w:w="10" w:type="dxa"/>
          <w:bottom w:w="0" w:type="dxa"/>
          <w:right w:w="10" w:type="dxa"/>
        </w:tblCellMar>
      </w:tblPr>
      <w:tblGrid>
        <w:gridCol w:w="558"/>
        <w:gridCol w:w="540"/>
        <w:gridCol w:w="5430"/>
        <w:gridCol w:w="591"/>
        <w:gridCol w:w="2643"/>
      </w:tblGrid>
      <w:tr w14:paraId="207778D4">
        <w:tblPrEx>
          <w:tblCellMar>
            <w:top w:w="0" w:type="dxa"/>
            <w:left w:w="10" w:type="dxa"/>
            <w:bottom w:w="0" w:type="dxa"/>
            <w:right w:w="10" w:type="dxa"/>
          </w:tblCellMar>
        </w:tblPrEx>
        <w:trPr>
          <w:trHeight w:val="487" w:hRule="atLeast"/>
          <w:jc w:val="center"/>
        </w:trPr>
        <w:tc>
          <w:tcPr>
            <w:tcW w:w="9762"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62FCA5E7">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考核细则</w:t>
            </w:r>
          </w:p>
        </w:tc>
      </w:tr>
      <w:tr w14:paraId="5090BDAA">
        <w:tblPrEx>
          <w:tblCellMar>
            <w:top w:w="0" w:type="dxa"/>
            <w:left w:w="10" w:type="dxa"/>
            <w:bottom w:w="0" w:type="dxa"/>
            <w:right w:w="10" w:type="dxa"/>
          </w:tblCellMar>
        </w:tblPrEx>
        <w:trPr>
          <w:trHeight w:val="455"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1C0A5B5E">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51A06CD6">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64180701">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评分细则</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122FA62B">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扣分</w:t>
            </w:r>
          </w:p>
        </w:tc>
        <w:tc>
          <w:tcPr>
            <w:tcW w:w="2643"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61EA0093">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备注</w:t>
            </w:r>
          </w:p>
        </w:tc>
      </w:tr>
      <w:tr w14:paraId="52347BA6">
        <w:tblPrEx>
          <w:tblCellMar>
            <w:top w:w="0" w:type="dxa"/>
            <w:left w:w="10" w:type="dxa"/>
            <w:bottom w:w="0" w:type="dxa"/>
            <w:right w:w="10" w:type="dxa"/>
          </w:tblCellMar>
        </w:tblPrEx>
        <w:trPr>
          <w:trHeight w:val="524" w:hRule="atLeast"/>
          <w:jc w:val="center"/>
        </w:trPr>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6D148159">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配送要求</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63F265BD">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507D98AC">
            <w:pPr>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配送车辆、实际运输不符合招标文件及合同约定的，每次扣2分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4717F477">
            <w:pPr>
              <w:jc w:val="center"/>
              <w:rPr>
                <w:rFonts w:hint="eastAsia" w:ascii="宋体" w:hAnsi="宋体" w:eastAsia="宋体" w:cs="宋体"/>
                <w:color w:val="000000" w:themeColor="text1"/>
                <w:highlight w:val="none"/>
                <w14:textFill>
                  <w14:solidFill>
                    <w14:schemeClr w14:val="tx1"/>
                  </w14:solidFill>
                </w14:textFill>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5569410E">
            <w:pPr>
              <w:jc w:val="center"/>
              <w:rPr>
                <w:rFonts w:hint="eastAsia" w:ascii="宋体" w:hAnsi="宋体" w:eastAsia="宋体" w:cs="宋体"/>
                <w:color w:val="000000" w:themeColor="text1"/>
                <w:highlight w:val="none"/>
                <w14:textFill>
                  <w14:solidFill>
                    <w14:schemeClr w14:val="tx1"/>
                  </w14:solidFill>
                </w14:textFill>
              </w:rPr>
            </w:pPr>
          </w:p>
        </w:tc>
      </w:tr>
      <w:tr w14:paraId="226A01F9">
        <w:tblPrEx>
          <w:tblCellMar>
            <w:top w:w="0" w:type="dxa"/>
            <w:left w:w="10" w:type="dxa"/>
            <w:bottom w:w="0" w:type="dxa"/>
            <w:right w:w="10" w:type="dxa"/>
          </w:tblCellMar>
        </w:tblPrEx>
        <w:trPr>
          <w:trHeight w:val="614"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4D9F55D8">
            <w:pPr>
              <w:jc w:val="center"/>
              <w:rPr>
                <w:rFonts w:hint="eastAsia" w:ascii="宋体" w:hAnsi="宋体" w:eastAsia="宋体" w:cs="宋体"/>
                <w:color w:val="000000" w:themeColor="text1"/>
                <w:highlight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5214F273">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2AA3E4F6">
            <w:pPr>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在协议供货期，未在规定时间内（迟到超过半小时）完成配送、供货，每次扣3分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793F5071">
            <w:pPr>
              <w:jc w:val="center"/>
              <w:rPr>
                <w:rFonts w:hint="eastAsia" w:ascii="宋体" w:hAnsi="宋体" w:eastAsia="宋体" w:cs="宋体"/>
                <w:color w:val="000000" w:themeColor="text1"/>
                <w:highlight w:val="none"/>
                <w14:textFill>
                  <w14:solidFill>
                    <w14:schemeClr w14:val="tx1"/>
                  </w14:solidFill>
                </w14:textFill>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4E1AD01F">
            <w:pPr>
              <w:jc w:val="center"/>
              <w:rPr>
                <w:rFonts w:hint="eastAsia" w:ascii="宋体" w:hAnsi="宋体" w:eastAsia="宋体" w:cs="宋体"/>
                <w:color w:val="000000" w:themeColor="text1"/>
                <w:highlight w:val="none"/>
                <w14:textFill>
                  <w14:solidFill>
                    <w14:schemeClr w14:val="tx1"/>
                  </w14:solidFill>
                </w14:textFill>
              </w:rPr>
            </w:pPr>
          </w:p>
        </w:tc>
      </w:tr>
      <w:tr w14:paraId="1BF9496D">
        <w:tblPrEx>
          <w:tblCellMar>
            <w:top w:w="0" w:type="dxa"/>
            <w:left w:w="10" w:type="dxa"/>
            <w:bottom w:w="0" w:type="dxa"/>
            <w:right w:w="10" w:type="dxa"/>
          </w:tblCellMar>
        </w:tblPrEx>
        <w:trPr>
          <w:trHeight w:val="569"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7A7D7B57">
            <w:pPr>
              <w:jc w:val="center"/>
              <w:rPr>
                <w:rFonts w:hint="eastAsia" w:ascii="宋体" w:hAnsi="宋体" w:eastAsia="宋体" w:cs="宋体"/>
                <w:color w:val="000000" w:themeColor="text1"/>
                <w:highlight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104F4E3E">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642E8E62">
            <w:pPr>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实际配送货物少于订购数量且不能及时补充的，每次扣5分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7E7821EF">
            <w:pPr>
              <w:jc w:val="center"/>
              <w:rPr>
                <w:rFonts w:hint="eastAsia" w:ascii="宋体" w:hAnsi="宋体" w:eastAsia="宋体" w:cs="宋体"/>
                <w:color w:val="000000" w:themeColor="text1"/>
                <w:highlight w:val="none"/>
                <w14:textFill>
                  <w14:solidFill>
                    <w14:schemeClr w14:val="tx1"/>
                  </w14:solidFill>
                </w14:textFill>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47F2A774">
            <w:pPr>
              <w:jc w:val="center"/>
              <w:rPr>
                <w:rFonts w:hint="eastAsia" w:ascii="宋体" w:hAnsi="宋体" w:eastAsia="宋体" w:cs="宋体"/>
                <w:color w:val="000000" w:themeColor="text1"/>
                <w:highlight w:val="none"/>
                <w14:textFill>
                  <w14:solidFill>
                    <w14:schemeClr w14:val="tx1"/>
                  </w14:solidFill>
                </w14:textFill>
              </w:rPr>
            </w:pPr>
          </w:p>
        </w:tc>
      </w:tr>
      <w:tr w14:paraId="75295A9F">
        <w:tblPrEx>
          <w:tblCellMar>
            <w:top w:w="0" w:type="dxa"/>
            <w:left w:w="10" w:type="dxa"/>
            <w:bottom w:w="0" w:type="dxa"/>
            <w:right w:w="10" w:type="dxa"/>
          </w:tblCellMar>
        </w:tblPrEx>
        <w:trPr>
          <w:trHeight w:val="590"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4C43307D">
            <w:pPr>
              <w:jc w:val="center"/>
              <w:rPr>
                <w:rFonts w:hint="eastAsia" w:ascii="宋体" w:hAnsi="宋体" w:eastAsia="宋体" w:cs="宋体"/>
                <w:color w:val="000000" w:themeColor="text1"/>
                <w:highlight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3CB6892F">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27E9886B">
            <w:pPr>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实际配送的货物与订购货物种类、质量不符，每次扣5分；未能及时更换的，采购人有权拒收，并每次加扣5分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419D9B43">
            <w:pPr>
              <w:jc w:val="center"/>
              <w:rPr>
                <w:rFonts w:hint="eastAsia" w:ascii="宋体" w:hAnsi="宋体" w:eastAsia="宋体" w:cs="宋体"/>
                <w:color w:val="000000" w:themeColor="text1"/>
                <w:highlight w:val="none"/>
                <w14:textFill>
                  <w14:solidFill>
                    <w14:schemeClr w14:val="tx1"/>
                  </w14:solidFill>
                </w14:textFill>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5BB3A0A9">
            <w:pPr>
              <w:jc w:val="center"/>
              <w:rPr>
                <w:rFonts w:hint="eastAsia" w:ascii="宋体" w:hAnsi="宋体" w:eastAsia="宋体" w:cs="宋体"/>
                <w:color w:val="000000" w:themeColor="text1"/>
                <w:highlight w:val="none"/>
                <w14:textFill>
                  <w14:solidFill>
                    <w14:schemeClr w14:val="tx1"/>
                  </w14:solidFill>
                </w14:textFill>
              </w:rPr>
            </w:pPr>
          </w:p>
        </w:tc>
      </w:tr>
      <w:tr w14:paraId="39EE1F08">
        <w:tblPrEx>
          <w:tblCellMar>
            <w:top w:w="0" w:type="dxa"/>
            <w:left w:w="10" w:type="dxa"/>
            <w:bottom w:w="0" w:type="dxa"/>
            <w:right w:w="10" w:type="dxa"/>
          </w:tblCellMar>
        </w:tblPrEx>
        <w:trPr>
          <w:trHeight w:val="375"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7F65A3C4">
            <w:pPr>
              <w:jc w:val="center"/>
              <w:rPr>
                <w:rFonts w:hint="eastAsia" w:ascii="宋体" w:hAnsi="宋体" w:eastAsia="宋体" w:cs="宋体"/>
                <w:color w:val="000000" w:themeColor="text1"/>
                <w:highlight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652562B6">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280B567B">
            <w:pPr>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相应批次的货物未能提供相关合格检验证明的，每次扣8分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41322D5E">
            <w:pPr>
              <w:jc w:val="center"/>
              <w:rPr>
                <w:rFonts w:hint="eastAsia" w:ascii="宋体" w:hAnsi="宋体" w:eastAsia="宋体" w:cs="宋体"/>
                <w:color w:val="000000" w:themeColor="text1"/>
                <w:highlight w:val="none"/>
                <w14:textFill>
                  <w14:solidFill>
                    <w14:schemeClr w14:val="tx1"/>
                  </w14:solidFill>
                </w14:textFill>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4430581D">
            <w:pPr>
              <w:jc w:val="center"/>
              <w:rPr>
                <w:rFonts w:hint="eastAsia" w:ascii="宋体" w:hAnsi="宋体" w:eastAsia="宋体" w:cs="宋体"/>
                <w:color w:val="000000" w:themeColor="text1"/>
                <w:highlight w:val="none"/>
                <w14:textFill>
                  <w14:solidFill>
                    <w14:schemeClr w14:val="tx1"/>
                  </w14:solidFill>
                </w14:textFill>
              </w:rPr>
            </w:pPr>
          </w:p>
        </w:tc>
      </w:tr>
      <w:tr w14:paraId="7BFE1B43">
        <w:tblPrEx>
          <w:tblCellMar>
            <w:top w:w="0" w:type="dxa"/>
            <w:left w:w="10" w:type="dxa"/>
            <w:bottom w:w="0" w:type="dxa"/>
            <w:right w:w="10" w:type="dxa"/>
          </w:tblCellMar>
        </w:tblPrEx>
        <w:trPr>
          <w:trHeight w:val="1447" w:hRule="atLeast"/>
          <w:jc w:val="center"/>
        </w:trPr>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5BDF1893">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质量要求</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0D7C854F">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6683D662">
            <w:pPr>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食品卫生不符合要求造成食物中毒的，每次扣25分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0434D115">
            <w:pPr>
              <w:jc w:val="center"/>
              <w:rPr>
                <w:rFonts w:hint="eastAsia" w:ascii="宋体" w:hAnsi="宋体" w:eastAsia="宋体" w:cs="宋体"/>
                <w:color w:val="000000" w:themeColor="text1"/>
                <w:highlight w:val="none"/>
                <w14:textFill>
                  <w14:solidFill>
                    <w14:schemeClr w14:val="tx1"/>
                  </w14:solidFill>
                </w14:textFill>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28366867">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中标供应商应承担由此造成的全部法律责任及经济损失赔偿（主要包括但不限于食物中毒人员医疗费、误工费、事故处理费等）</w:t>
            </w:r>
          </w:p>
        </w:tc>
      </w:tr>
      <w:tr w14:paraId="39D52EED">
        <w:tblPrEx>
          <w:tblCellMar>
            <w:top w:w="0" w:type="dxa"/>
            <w:left w:w="10" w:type="dxa"/>
            <w:bottom w:w="0" w:type="dxa"/>
            <w:right w:w="10" w:type="dxa"/>
          </w:tblCellMar>
        </w:tblPrEx>
        <w:trPr>
          <w:trHeight w:val="665"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5EF213AD">
            <w:pPr>
              <w:jc w:val="center"/>
              <w:rPr>
                <w:rFonts w:hint="eastAsia" w:ascii="宋体" w:hAnsi="宋体" w:eastAsia="宋体" w:cs="宋体"/>
                <w:color w:val="000000" w:themeColor="text1"/>
                <w:highlight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671B346F">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79F2EC85">
            <w:pPr>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滥用或过量使用食品添加剂、发现使用劣质原料、抗生素、激素等有害物质，每次扣5分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46AEB749">
            <w:pPr>
              <w:jc w:val="center"/>
              <w:rPr>
                <w:rFonts w:hint="eastAsia" w:ascii="宋体" w:hAnsi="宋体" w:eastAsia="宋体" w:cs="宋体"/>
                <w:color w:val="000000" w:themeColor="text1"/>
                <w:highlight w:val="none"/>
                <w14:textFill>
                  <w14:solidFill>
                    <w14:schemeClr w14:val="tx1"/>
                  </w14:solidFill>
                </w14:textFill>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201718D4">
            <w:pPr>
              <w:jc w:val="center"/>
              <w:rPr>
                <w:rFonts w:hint="eastAsia" w:ascii="宋体" w:hAnsi="宋体" w:eastAsia="宋体" w:cs="宋体"/>
                <w:color w:val="000000" w:themeColor="text1"/>
                <w:highlight w:val="none"/>
                <w14:textFill>
                  <w14:solidFill>
                    <w14:schemeClr w14:val="tx1"/>
                  </w14:solidFill>
                </w14:textFill>
              </w:rPr>
            </w:pPr>
          </w:p>
        </w:tc>
      </w:tr>
      <w:tr w14:paraId="7B4402C0">
        <w:tblPrEx>
          <w:tblCellMar>
            <w:top w:w="0" w:type="dxa"/>
            <w:left w:w="10" w:type="dxa"/>
            <w:bottom w:w="0" w:type="dxa"/>
            <w:right w:w="10" w:type="dxa"/>
          </w:tblCellMar>
        </w:tblPrEx>
        <w:trPr>
          <w:trHeight w:val="345"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0D7E2ECF">
            <w:pPr>
              <w:jc w:val="center"/>
              <w:rPr>
                <w:rFonts w:hint="eastAsia" w:ascii="宋体" w:hAnsi="宋体" w:eastAsia="宋体" w:cs="宋体"/>
                <w:color w:val="000000" w:themeColor="text1"/>
                <w:highlight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34675A97">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59422675">
            <w:pPr>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货物品质与招标文件不符，并未能及时补充的，每次扣5分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2143CCE2">
            <w:pPr>
              <w:jc w:val="center"/>
              <w:rPr>
                <w:rFonts w:hint="eastAsia" w:ascii="宋体" w:hAnsi="宋体" w:eastAsia="宋体" w:cs="宋体"/>
                <w:color w:val="000000" w:themeColor="text1"/>
                <w:highlight w:val="none"/>
                <w14:textFill>
                  <w14:solidFill>
                    <w14:schemeClr w14:val="tx1"/>
                  </w14:solidFill>
                </w14:textFill>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0EAEEC7A">
            <w:pPr>
              <w:jc w:val="center"/>
              <w:rPr>
                <w:rFonts w:hint="eastAsia" w:ascii="宋体" w:hAnsi="宋体" w:eastAsia="宋体" w:cs="宋体"/>
                <w:color w:val="000000" w:themeColor="text1"/>
                <w:highlight w:val="none"/>
                <w14:textFill>
                  <w14:solidFill>
                    <w14:schemeClr w14:val="tx1"/>
                  </w14:solidFill>
                </w14:textFill>
              </w:rPr>
            </w:pPr>
          </w:p>
        </w:tc>
      </w:tr>
      <w:tr w14:paraId="5E02E126">
        <w:tblPrEx>
          <w:tblCellMar>
            <w:top w:w="0" w:type="dxa"/>
            <w:left w:w="10" w:type="dxa"/>
            <w:bottom w:w="0" w:type="dxa"/>
            <w:right w:w="10" w:type="dxa"/>
          </w:tblCellMar>
        </w:tblPrEx>
        <w:trPr>
          <w:trHeight w:val="575" w:hRule="atLeast"/>
          <w:jc w:val="center"/>
        </w:trPr>
        <w:tc>
          <w:tcPr>
            <w:tcW w:w="558" w:type="dxa"/>
            <w:vMerge w:val="restart"/>
            <w:tcBorders>
              <w:top w:val="single" w:color="000000" w:sz="4" w:space="0"/>
              <w:left w:val="single" w:color="000000" w:sz="4" w:space="0"/>
              <w:bottom w:val="single" w:color="000000" w:sz="6" w:space="0"/>
              <w:right w:val="single" w:color="000000" w:sz="4" w:space="0"/>
            </w:tcBorders>
            <w:shd w:val="clear" w:color="auto" w:fill="auto"/>
            <w:noWrap w:val="0"/>
            <w:tcMar>
              <w:left w:w="10" w:type="dxa"/>
              <w:right w:w="10" w:type="dxa"/>
            </w:tcMar>
            <w:vAlign w:val="center"/>
          </w:tcPr>
          <w:p w14:paraId="3D97418E">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安全生产管理要求</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7DFDA372">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413C3D93">
            <w:pPr>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没有建立、健全本单位安全生产责任制，制定安全生产规章制度和操作规程，或违反制度操作的，每次扣2分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73EAF7E2">
            <w:pPr>
              <w:jc w:val="center"/>
              <w:rPr>
                <w:rFonts w:hint="eastAsia" w:ascii="宋体" w:hAnsi="宋体" w:eastAsia="宋体" w:cs="宋体"/>
                <w:color w:val="000000" w:themeColor="text1"/>
                <w:highlight w:val="none"/>
                <w14:textFill>
                  <w14:solidFill>
                    <w14:schemeClr w14:val="tx1"/>
                  </w14:solidFill>
                </w14:textFill>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189CEA10">
            <w:pPr>
              <w:jc w:val="center"/>
              <w:rPr>
                <w:rFonts w:hint="eastAsia" w:ascii="宋体" w:hAnsi="宋体" w:eastAsia="宋体" w:cs="宋体"/>
                <w:color w:val="000000" w:themeColor="text1"/>
                <w:highlight w:val="none"/>
                <w14:textFill>
                  <w14:solidFill>
                    <w14:schemeClr w14:val="tx1"/>
                  </w14:solidFill>
                </w14:textFill>
              </w:rPr>
            </w:pPr>
          </w:p>
        </w:tc>
      </w:tr>
      <w:tr w14:paraId="3BD40B77">
        <w:tblPrEx>
          <w:tblCellMar>
            <w:top w:w="0" w:type="dxa"/>
            <w:left w:w="10" w:type="dxa"/>
            <w:bottom w:w="0" w:type="dxa"/>
            <w:right w:w="10" w:type="dxa"/>
          </w:tblCellMar>
        </w:tblPrEx>
        <w:trPr>
          <w:trHeight w:val="310" w:hRule="atLeast"/>
          <w:jc w:val="center"/>
        </w:trPr>
        <w:tc>
          <w:tcPr>
            <w:tcW w:w="558" w:type="dxa"/>
            <w:vMerge w:val="continue"/>
            <w:tcBorders>
              <w:top w:val="single" w:color="000000" w:sz="6" w:space="0"/>
              <w:left w:val="single" w:color="000000" w:sz="4" w:space="0"/>
              <w:bottom w:val="single" w:color="000000" w:sz="6" w:space="0"/>
              <w:right w:val="single" w:color="000000" w:sz="4" w:space="0"/>
            </w:tcBorders>
            <w:shd w:val="clear" w:color="auto" w:fill="auto"/>
            <w:noWrap w:val="0"/>
            <w:tcMar>
              <w:left w:w="10" w:type="dxa"/>
              <w:right w:w="10" w:type="dxa"/>
            </w:tcMar>
            <w:vAlign w:val="center"/>
          </w:tcPr>
          <w:p w14:paraId="05F4D259">
            <w:pPr>
              <w:jc w:val="center"/>
              <w:rPr>
                <w:rFonts w:hint="eastAsia" w:ascii="宋体" w:hAnsi="宋体" w:eastAsia="宋体" w:cs="宋体"/>
                <w:color w:val="000000" w:themeColor="text1"/>
                <w:highlight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16BF30C5">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43EAA3DE">
            <w:pPr>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没有相关应急预案的，每次扣5分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17B4E56E">
            <w:pPr>
              <w:jc w:val="center"/>
              <w:rPr>
                <w:rFonts w:hint="eastAsia" w:ascii="宋体" w:hAnsi="宋体" w:eastAsia="宋体" w:cs="宋体"/>
                <w:color w:val="000000" w:themeColor="text1"/>
                <w:highlight w:val="none"/>
                <w14:textFill>
                  <w14:solidFill>
                    <w14:schemeClr w14:val="tx1"/>
                  </w14:solidFill>
                </w14:textFill>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7E866401">
            <w:pPr>
              <w:jc w:val="center"/>
              <w:rPr>
                <w:rFonts w:hint="eastAsia" w:ascii="宋体" w:hAnsi="宋体" w:eastAsia="宋体" w:cs="宋体"/>
                <w:color w:val="000000" w:themeColor="text1"/>
                <w:highlight w:val="none"/>
                <w14:textFill>
                  <w14:solidFill>
                    <w14:schemeClr w14:val="tx1"/>
                  </w14:solidFill>
                </w14:textFill>
              </w:rPr>
            </w:pPr>
          </w:p>
        </w:tc>
      </w:tr>
      <w:tr w14:paraId="2CF5D4C7">
        <w:tblPrEx>
          <w:tblCellMar>
            <w:top w:w="0" w:type="dxa"/>
            <w:left w:w="10" w:type="dxa"/>
            <w:bottom w:w="0" w:type="dxa"/>
            <w:right w:w="10" w:type="dxa"/>
          </w:tblCellMar>
        </w:tblPrEx>
        <w:trPr>
          <w:trHeight w:val="380" w:hRule="atLeast"/>
          <w:jc w:val="center"/>
        </w:trPr>
        <w:tc>
          <w:tcPr>
            <w:tcW w:w="558" w:type="dxa"/>
            <w:vMerge w:val="continue"/>
            <w:tcBorders>
              <w:top w:val="single" w:color="000000" w:sz="6" w:space="0"/>
              <w:left w:val="single" w:color="000000" w:sz="4" w:space="0"/>
              <w:bottom w:val="single" w:color="000000" w:sz="6" w:space="0"/>
              <w:right w:val="single" w:color="000000" w:sz="4" w:space="0"/>
            </w:tcBorders>
            <w:shd w:val="clear" w:color="auto" w:fill="auto"/>
            <w:noWrap w:val="0"/>
            <w:tcMar>
              <w:left w:w="10" w:type="dxa"/>
              <w:right w:w="10" w:type="dxa"/>
            </w:tcMar>
            <w:vAlign w:val="center"/>
          </w:tcPr>
          <w:p w14:paraId="02CB62F2">
            <w:pPr>
              <w:jc w:val="center"/>
              <w:rPr>
                <w:rFonts w:hint="eastAsia" w:ascii="宋体" w:hAnsi="宋体" w:eastAsia="宋体" w:cs="宋体"/>
                <w:color w:val="000000" w:themeColor="text1"/>
                <w:highlight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0F649B04">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30E8B831">
            <w:pPr>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造成重大事故或有重大事故不配合处理的，每宗扣10分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231FA24F">
            <w:pPr>
              <w:jc w:val="center"/>
              <w:rPr>
                <w:rFonts w:hint="eastAsia" w:ascii="宋体" w:hAnsi="宋体" w:eastAsia="宋体" w:cs="宋体"/>
                <w:color w:val="000000" w:themeColor="text1"/>
                <w:highlight w:val="none"/>
                <w14:textFill>
                  <w14:solidFill>
                    <w14:schemeClr w14:val="tx1"/>
                  </w14:solidFill>
                </w14:textFill>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30FE46A0">
            <w:pPr>
              <w:jc w:val="center"/>
              <w:rPr>
                <w:rFonts w:hint="eastAsia" w:ascii="宋体" w:hAnsi="宋体" w:eastAsia="宋体" w:cs="宋体"/>
                <w:color w:val="000000" w:themeColor="text1"/>
                <w:highlight w:val="none"/>
                <w14:textFill>
                  <w14:solidFill>
                    <w14:schemeClr w14:val="tx1"/>
                  </w14:solidFill>
                </w14:textFill>
              </w:rPr>
            </w:pPr>
          </w:p>
        </w:tc>
      </w:tr>
      <w:tr w14:paraId="4AA50505">
        <w:tblPrEx>
          <w:tblCellMar>
            <w:top w:w="0" w:type="dxa"/>
            <w:left w:w="10" w:type="dxa"/>
            <w:bottom w:w="0" w:type="dxa"/>
            <w:right w:w="10" w:type="dxa"/>
          </w:tblCellMar>
        </w:tblPrEx>
        <w:trPr>
          <w:trHeight w:val="315" w:hRule="atLeast"/>
          <w:jc w:val="center"/>
        </w:trPr>
        <w:tc>
          <w:tcPr>
            <w:tcW w:w="558" w:type="dxa"/>
            <w:vMerge w:val="continue"/>
            <w:tcBorders>
              <w:top w:val="single" w:color="000000" w:sz="6" w:space="0"/>
              <w:left w:val="single" w:color="000000" w:sz="4" w:space="0"/>
              <w:bottom w:val="single" w:color="000000" w:sz="6" w:space="0"/>
              <w:right w:val="single" w:color="000000" w:sz="4" w:space="0"/>
            </w:tcBorders>
            <w:shd w:val="clear" w:color="auto" w:fill="auto"/>
            <w:noWrap w:val="0"/>
            <w:tcMar>
              <w:left w:w="10" w:type="dxa"/>
              <w:right w:w="10" w:type="dxa"/>
            </w:tcMar>
            <w:vAlign w:val="center"/>
          </w:tcPr>
          <w:p w14:paraId="0C574030">
            <w:pPr>
              <w:jc w:val="center"/>
              <w:rPr>
                <w:rFonts w:hint="eastAsia" w:ascii="宋体" w:hAnsi="宋体" w:eastAsia="宋体" w:cs="宋体"/>
                <w:color w:val="000000" w:themeColor="text1"/>
                <w:highlight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021B30D3">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4794B023">
            <w:pPr>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未按要求及时、如实报告生产安全事故，每次扣10分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6BA6939E">
            <w:pPr>
              <w:jc w:val="center"/>
              <w:rPr>
                <w:rFonts w:hint="eastAsia" w:ascii="宋体" w:hAnsi="宋体" w:eastAsia="宋体" w:cs="宋体"/>
                <w:color w:val="000000" w:themeColor="text1"/>
                <w:highlight w:val="none"/>
                <w14:textFill>
                  <w14:solidFill>
                    <w14:schemeClr w14:val="tx1"/>
                  </w14:solidFill>
                </w14:textFill>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3291E7D4">
            <w:pPr>
              <w:jc w:val="center"/>
              <w:rPr>
                <w:rFonts w:hint="eastAsia" w:ascii="宋体" w:hAnsi="宋体" w:eastAsia="宋体" w:cs="宋体"/>
                <w:color w:val="000000" w:themeColor="text1"/>
                <w:highlight w:val="none"/>
                <w14:textFill>
                  <w14:solidFill>
                    <w14:schemeClr w14:val="tx1"/>
                  </w14:solidFill>
                </w14:textFill>
              </w:rPr>
            </w:pPr>
          </w:p>
        </w:tc>
      </w:tr>
      <w:tr w14:paraId="446ECF70">
        <w:tblPrEx>
          <w:tblCellMar>
            <w:top w:w="0" w:type="dxa"/>
            <w:left w:w="10" w:type="dxa"/>
            <w:bottom w:w="0" w:type="dxa"/>
            <w:right w:w="10" w:type="dxa"/>
          </w:tblCellMar>
        </w:tblPrEx>
        <w:trPr>
          <w:trHeight w:val="350" w:hRule="atLeast"/>
          <w:jc w:val="center"/>
        </w:trPr>
        <w:tc>
          <w:tcPr>
            <w:tcW w:w="558" w:type="dxa"/>
            <w:vMerge w:val="continue"/>
            <w:tcBorders>
              <w:top w:val="single" w:color="000000" w:sz="6"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138B726D">
            <w:pPr>
              <w:jc w:val="center"/>
              <w:rPr>
                <w:rFonts w:hint="eastAsia" w:ascii="宋体" w:hAnsi="宋体" w:eastAsia="宋体" w:cs="宋体"/>
                <w:color w:val="000000" w:themeColor="text1"/>
                <w:highlight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3438C728">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0FA1FAC1">
            <w:pPr>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提供资料弄虚作假的，每次扣5分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28D5E079">
            <w:pPr>
              <w:jc w:val="center"/>
              <w:rPr>
                <w:rFonts w:hint="eastAsia" w:ascii="宋体" w:hAnsi="宋体" w:eastAsia="宋体" w:cs="宋体"/>
                <w:color w:val="000000" w:themeColor="text1"/>
                <w:highlight w:val="none"/>
                <w14:textFill>
                  <w14:solidFill>
                    <w14:schemeClr w14:val="tx1"/>
                  </w14:solidFill>
                </w14:textFill>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451F90F9">
            <w:pPr>
              <w:jc w:val="center"/>
              <w:rPr>
                <w:rFonts w:hint="eastAsia" w:ascii="宋体" w:hAnsi="宋体" w:eastAsia="宋体" w:cs="宋体"/>
                <w:color w:val="000000" w:themeColor="text1"/>
                <w:highlight w:val="none"/>
                <w14:textFill>
                  <w14:solidFill>
                    <w14:schemeClr w14:val="tx1"/>
                  </w14:solidFill>
                </w14:textFill>
              </w:rPr>
            </w:pPr>
          </w:p>
        </w:tc>
      </w:tr>
      <w:tr w14:paraId="2E75CF06">
        <w:tblPrEx>
          <w:tblCellMar>
            <w:top w:w="0" w:type="dxa"/>
            <w:left w:w="10" w:type="dxa"/>
            <w:bottom w:w="0" w:type="dxa"/>
            <w:right w:w="10" w:type="dxa"/>
          </w:tblCellMar>
        </w:tblPrEx>
        <w:trPr>
          <w:trHeight w:val="632"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5B3F1E9D">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其他</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6CF86598">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42BB85EA">
            <w:pPr>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有违反招标文件及合同规定的其他违约事件的，每发现1次，需按违约性质并结合上述违约类型，每次扣5分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61823B27">
            <w:pPr>
              <w:jc w:val="center"/>
              <w:rPr>
                <w:rFonts w:hint="eastAsia" w:ascii="宋体" w:hAnsi="宋体" w:eastAsia="宋体" w:cs="宋体"/>
                <w:color w:val="000000" w:themeColor="text1"/>
                <w:highlight w:val="none"/>
                <w14:textFill>
                  <w14:solidFill>
                    <w14:schemeClr w14:val="tx1"/>
                  </w14:solidFill>
                </w14:textFill>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5200AD84">
            <w:pPr>
              <w:jc w:val="center"/>
              <w:rPr>
                <w:rFonts w:hint="eastAsia" w:ascii="宋体" w:hAnsi="宋体" w:eastAsia="宋体" w:cs="宋体"/>
                <w:color w:val="000000" w:themeColor="text1"/>
                <w:highlight w:val="none"/>
                <w14:textFill>
                  <w14:solidFill>
                    <w14:schemeClr w14:val="tx1"/>
                  </w14:solidFill>
                </w14:textFill>
              </w:rPr>
            </w:pPr>
          </w:p>
        </w:tc>
      </w:tr>
    </w:tbl>
    <w:p w14:paraId="79A09BFD">
      <w:pPr>
        <w:ind w:firstLine="420" w:firstLineChars="200"/>
        <w:rPr>
          <w:rFonts w:asci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提前终止供货服务的一周前，需以书面形式通知对方。</w:t>
      </w:r>
    </w:p>
    <w:p w14:paraId="13558117">
      <w:pPr>
        <w:tabs>
          <w:tab w:val="left" w:pos="360"/>
        </w:tabs>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考核供应商：</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考核月份：</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考核总得分：</w:t>
      </w:r>
    </w:p>
    <w:p w14:paraId="330F78C7">
      <w:pPr>
        <w:tabs>
          <w:tab w:val="left" w:pos="360"/>
        </w:tabs>
        <w:jc w:val="left"/>
        <w:rPr>
          <w:rFonts w:ascii="宋体" w:hAnsi="宋体" w:cs="宋体"/>
          <w:color w:val="000000" w:themeColor="text1"/>
          <w:sz w:val="24"/>
          <w:highlight w:val="none"/>
          <w14:textFill>
            <w14:solidFill>
              <w14:schemeClr w14:val="tx1"/>
            </w14:solidFill>
          </w14:textFill>
        </w:rPr>
      </w:pPr>
    </w:p>
    <w:p w14:paraId="0181D7C6">
      <w:pPr>
        <w:tabs>
          <w:tab w:val="left" w:pos="360"/>
        </w:tabs>
        <w:ind w:left="120" w:hanging="120" w:hangingChars="50"/>
        <w:jc w:val="left"/>
        <w:rPr>
          <w:rFonts w:asci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供应商确认签名：</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考核人员签名：</w:t>
      </w:r>
    </w:p>
    <w:p w14:paraId="3BB7F09B">
      <w:pPr>
        <w:tabs>
          <w:tab w:val="left" w:pos="360"/>
        </w:tabs>
        <w:ind w:left="120" w:hanging="120" w:hangingChars="50"/>
        <w:jc w:val="right"/>
        <w:rPr>
          <w:rFonts w:hint="eastAsia" w:ascii="宋体" w:cs="宋体"/>
          <w:color w:val="000000" w:themeColor="text1"/>
          <w:sz w:val="24"/>
          <w:highlight w:val="none"/>
          <w:lang w:val="en-US" w:eastAsia="zh-CN"/>
          <w14:textFill>
            <w14:solidFill>
              <w14:schemeClr w14:val="tx1"/>
            </w14:solidFill>
          </w14:textFill>
        </w:rPr>
      </w:pPr>
    </w:p>
    <w:p w14:paraId="391C79B5">
      <w:pPr>
        <w:tabs>
          <w:tab w:val="left" w:pos="360"/>
        </w:tabs>
        <w:wordWrap w:val="0"/>
        <w:ind w:left="120" w:hanging="120" w:hangingChars="50"/>
        <w:jc w:val="right"/>
        <w:rPr>
          <w:rFonts w:hint="eastAsia" w:ascii="宋体" w:cs="宋体"/>
          <w:color w:val="000000" w:themeColor="text1"/>
          <w:sz w:val="24"/>
          <w:highlight w:val="none"/>
          <w:lang w:val="en-US" w:eastAsia="zh-CN"/>
          <w14:textFill>
            <w14:solidFill>
              <w14:schemeClr w14:val="tx1"/>
            </w14:solidFill>
          </w14:textFill>
        </w:rPr>
      </w:pPr>
    </w:p>
    <w:p w14:paraId="23375A0E">
      <w:pPr>
        <w:tabs>
          <w:tab w:val="left" w:pos="360"/>
        </w:tabs>
        <w:wordWrap w:val="0"/>
        <w:ind w:left="120" w:hanging="120" w:hangingChars="50"/>
        <w:jc w:val="right"/>
        <w:rPr>
          <w:rFonts w:hint="eastAsia" w:ascii="宋体" w:cs="宋体"/>
          <w:color w:val="000000" w:themeColor="text1"/>
          <w:sz w:val="24"/>
          <w:highlight w:val="none"/>
          <w:lang w:val="en-US" w:eastAsia="zh-CN"/>
          <w14:textFill>
            <w14:solidFill>
              <w14:schemeClr w14:val="tx1"/>
            </w14:solidFill>
          </w14:textFill>
        </w:rPr>
      </w:pPr>
      <w:r>
        <w:rPr>
          <w:rFonts w:hint="eastAsia" w:ascii="宋体" w:cs="宋体"/>
          <w:color w:val="000000" w:themeColor="text1"/>
          <w:sz w:val="24"/>
          <w:highlight w:val="none"/>
          <w:lang w:val="en-US" w:eastAsia="zh-CN"/>
          <w14:textFill>
            <w14:solidFill>
              <w14:schemeClr w14:val="tx1"/>
            </w14:solidFill>
          </w14:textFill>
        </w:rPr>
        <w:t>阳江市阳东区华南师范大学附属阳东小学</w:t>
      </w:r>
    </w:p>
    <w:p w14:paraId="1CA1546D">
      <w:pPr>
        <w:keepNext w:val="0"/>
        <w:keepLines w:val="0"/>
        <w:pageBreakBefore w:val="0"/>
        <w:kinsoku/>
        <w:wordWrap/>
        <w:overflowPunct/>
        <w:topLinePunct w:val="0"/>
        <w:autoSpaceDE/>
        <w:autoSpaceDN/>
        <w:bidi w:val="0"/>
        <w:spacing w:line="400" w:lineRule="exact"/>
        <w:textAlignment w:val="auto"/>
        <w:rPr>
          <w:color w:val="000000" w:themeColor="text1"/>
          <w:highlight w:val="none"/>
          <w14:textFill>
            <w14:solidFill>
              <w14:schemeClr w14:val="tx1"/>
            </w14:solidFill>
          </w14:textFill>
        </w:rPr>
      </w:pPr>
      <w:r>
        <w:rPr>
          <w:rFonts w:hint="eastAsia" w:ascii="Arial" w:hAnsi="Arial" w:cs="Arial"/>
          <w:color w:val="000000" w:themeColor="text1"/>
          <w:sz w:val="24"/>
          <w:highlight w:val="none"/>
          <w:lang w:val="en-US" w:eastAsia="zh-CN"/>
          <w14:textFill>
            <w14:solidFill>
              <w14:schemeClr w14:val="tx1"/>
            </w14:solidFill>
          </w14:textFill>
        </w:rPr>
        <w:t xml:space="preserve">                                                </w:t>
      </w:r>
      <w:r>
        <w:rPr>
          <w:rFonts w:hint="eastAsia" w:cs="Arial"/>
          <w:color w:val="000000" w:themeColor="text1"/>
          <w:sz w:val="24"/>
          <w:highlight w:val="none"/>
          <w:lang w:val="en-US" w:eastAsia="zh-CN"/>
          <w14:textFill>
            <w14:solidFill>
              <w14:schemeClr w14:val="tx1"/>
            </w14:solidFill>
          </w14:textFill>
        </w:rPr>
        <w:t xml:space="preserve">    </w:t>
      </w:r>
      <w:r>
        <w:rPr>
          <w:rFonts w:hint="eastAsia" w:ascii="Arial" w:hAnsi="Arial" w:cs="Arial"/>
          <w:color w:val="000000" w:themeColor="text1"/>
          <w:sz w:val="24"/>
          <w:highlight w:val="none"/>
          <w:lang w:val="en-US" w:eastAsia="zh-CN"/>
          <w14:textFill>
            <w14:solidFill>
              <w14:schemeClr w14:val="tx1"/>
            </w14:solidFill>
          </w14:textFill>
        </w:rPr>
        <w:t xml:space="preserve">   </w:t>
      </w:r>
      <w:r>
        <w:rPr>
          <w:rFonts w:hint="eastAsia" w:ascii="宋体" w:cs="宋体" w:hAnsiTheme="minorHAnsi" w:eastAsiaTheme="minorEastAsia"/>
          <w:color w:val="000000" w:themeColor="text1"/>
          <w:kern w:val="2"/>
          <w:sz w:val="24"/>
          <w:szCs w:val="24"/>
          <w:highlight w:val="none"/>
          <w:lang w:val="en-US" w:eastAsia="zh-CN" w:bidi="ar-SA"/>
          <w14:textFill>
            <w14:solidFill>
              <w14:schemeClr w14:val="tx1"/>
            </w14:solidFill>
          </w14:textFill>
        </w:rPr>
        <w:t xml:space="preserve">     年  月  日</w:t>
      </w:r>
    </w:p>
    <w:p w14:paraId="3868E383">
      <w:pPr>
        <w:pStyle w:val="18"/>
        <w:keepNext w:val="0"/>
        <w:keepLines w:val="0"/>
        <w:pageBreakBefore w:val="0"/>
        <w:kinsoku/>
        <w:wordWrap/>
        <w:overflowPunct/>
        <w:topLinePunct w:val="0"/>
        <w:autoSpaceDE/>
        <w:autoSpaceDN/>
        <w:bidi w:val="0"/>
        <w:adjustRightInd/>
        <w:snapToGrid/>
        <w:spacing w:line="360" w:lineRule="auto"/>
        <w:textAlignment w:val="auto"/>
        <w:rPr>
          <w:rFonts w:hint="default" w:asciiTheme="minorEastAsia" w:hAnsiTheme="minorEastAsia" w:cstheme="minorEastAsia"/>
          <w:b/>
          <w:color w:val="000000" w:themeColor="text1"/>
          <w:sz w:val="21"/>
          <w:szCs w:val="21"/>
          <w:highlight w:val="none"/>
          <w:lang w:val="en-US" w:eastAsia="zh-CN"/>
          <w14:textFill>
            <w14:solidFill>
              <w14:schemeClr w14:val="tx1"/>
            </w14:solidFill>
          </w14:textFill>
        </w:rPr>
      </w:pPr>
    </w:p>
    <w:p w14:paraId="2A2B62B0">
      <w:pP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br w:type="page"/>
      </w:r>
    </w:p>
    <w:p w14:paraId="1E3A5E6E">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1.主要商务要求</w:t>
      </w:r>
    </w:p>
    <w:tbl>
      <w:tblPr>
        <w:tblStyle w:val="15"/>
        <w:tblW w:w="9300"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47"/>
        <w:gridCol w:w="7253"/>
      </w:tblGrid>
      <w:tr w14:paraId="7EDD67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47" w:type="dxa"/>
            <w:vAlign w:val="center"/>
          </w:tcPr>
          <w:p w14:paraId="2CF43628">
            <w:pPr>
              <w:pStyle w:val="18"/>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标的提供的时间</w:t>
            </w:r>
          </w:p>
        </w:tc>
        <w:tc>
          <w:tcPr>
            <w:tcW w:w="7253" w:type="dxa"/>
            <w:vAlign w:val="top"/>
          </w:tcPr>
          <w:p w14:paraId="26E72689">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2026年9月1日至2027年8月31日（为期壹年）。（超出该服务期作无效投标处理）</w:t>
            </w:r>
          </w:p>
        </w:tc>
      </w:tr>
      <w:tr w14:paraId="548E12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47" w:type="dxa"/>
            <w:vAlign w:val="center"/>
          </w:tcPr>
          <w:p w14:paraId="41FEE26B">
            <w:pPr>
              <w:pStyle w:val="18"/>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标的提供的地点</w:t>
            </w:r>
          </w:p>
        </w:tc>
        <w:tc>
          <w:tcPr>
            <w:tcW w:w="7253" w:type="dxa"/>
            <w:vAlign w:val="top"/>
          </w:tcPr>
          <w:p w14:paraId="191200CA">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阳江市阳东区华南师范大学附属阳东小学食堂。</w:t>
            </w:r>
          </w:p>
        </w:tc>
      </w:tr>
      <w:tr w14:paraId="4C3B4C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0" w:hRule="atLeast"/>
          <w:jc w:val="center"/>
        </w:trPr>
        <w:tc>
          <w:tcPr>
            <w:tcW w:w="2047" w:type="dxa"/>
            <w:vAlign w:val="center"/>
          </w:tcPr>
          <w:p w14:paraId="41C7A801">
            <w:pPr>
              <w:pStyle w:val="18"/>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报价方式</w:t>
            </w:r>
          </w:p>
        </w:tc>
        <w:tc>
          <w:tcPr>
            <w:tcW w:w="7253" w:type="dxa"/>
            <w:vAlign w:val="center"/>
          </w:tcPr>
          <w:p w14:paraId="3C810EDE">
            <w:pPr>
              <w:pStyle w:val="18"/>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折扣率报价</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0%-100%）</w:t>
            </w:r>
            <w:r>
              <w:rPr>
                <w:rFonts w:hint="eastAsia" w:ascii="宋体" w:hAnsi="宋体" w:cs="宋体"/>
                <w:color w:val="000000" w:themeColor="text1"/>
                <w:kern w:val="0"/>
                <w:szCs w:val="21"/>
                <w:highlight w:val="none"/>
                <w:lang w:eastAsia="zh-CN"/>
                <w14:textFill>
                  <w14:solidFill>
                    <w14:schemeClr w14:val="tx1"/>
                  </w14:solidFill>
                </w14:textFill>
              </w:rPr>
              <w:t>。</w:t>
            </w:r>
          </w:p>
        </w:tc>
      </w:tr>
      <w:tr w14:paraId="3577C3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47" w:type="dxa"/>
            <w:shd w:val="clear" w:color="auto" w:fill="auto"/>
            <w:vAlign w:val="center"/>
          </w:tcPr>
          <w:p w14:paraId="5D615A93">
            <w:pPr>
              <w:spacing w:line="320" w:lineRule="exact"/>
              <w:jc w:val="center"/>
              <w:rPr>
                <w:rFonts w:hint="default" w:ascii="宋体" w:hAnsi="宋体" w:eastAsia="宋体" w:cs="宋体"/>
                <w:b/>
                <w:bCs/>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报价</w:t>
            </w: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包括</w:t>
            </w:r>
          </w:p>
        </w:tc>
        <w:tc>
          <w:tcPr>
            <w:tcW w:w="7253" w:type="dxa"/>
            <w:shd w:val="clear" w:color="auto" w:fill="auto"/>
            <w:vAlign w:val="center"/>
          </w:tcPr>
          <w:p w14:paraId="6D1E0B76">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整个项目实施所需的食材</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配送</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检验检疫</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配备人员工资、福利、社保及相关税费等一切费用，采购人不再支付任何费用。</w:t>
            </w:r>
          </w:p>
        </w:tc>
      </w:tr>
      <w:tr w14:paraId="64C593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47" w:type="dxa"/>
            <w:shd w:val="clear" w:color="auto" w:fill="auto"/>
            <w:vAlign w:val="center"/>
          </w:tcPr>
          <w:p w14:paraId="124C4BB1">
            <w:pPr>
              <w:spacing w:line="320" w:lineRule="exact"/>
              <w:jc w:val="center"/>
              <w:rPr>
                <w:rFonts w:hint="eastAsia" w:ascii="宋体" w:hAnsi="宋体" w:eastAsia="宋体" w:cs="宋体"/>
                <w:b/>
                <w:bCs/>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合同签订要求</w:t>
            </w:r>
          </w:p>
        </w:tc>
        <w:tc>
          <w:tcPr>
            <w:tcW w:w="7253" w:type="dxa"/>
            <w:shd w:val="clear" w:color="auto" w:fill="auto"/>
            <w:vAlign w:val="center"/>
          </w:tcPr>
          <w:p w14:paraId="545CDB06">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采购合同由中标供应商</w:t>
            </w:r>
            <w:r>
              <w:rPr>
                <w:rFonts w:hint="eastAsia" w:ascii="宋体" w:hAnsi="宋体" w:cs="宋体"/>
                <w:color w:val="000000" w:themeColor="text1"/>
                <w:kern w:val="0"/>
                <w:sz w:val="21"/>
                <w:szCs w:val="21"/>
                <w:highlight w:val="none"/>
                <w:lang w:val="en-US" w:eastAsia="zh-CN"/>
                <w14:textFill>
                  <w14:solidFill>
                    <w14:schemeClr w14:val="tx1"/>
                  </w14:solidFill>
                </w14:textFill>
              </w:rPr>
              <w:t>凭《中标通知书》</w:t>
            </w:r>
            <w:r>
              <w:rPr>
                <w:rFonts w:hint="eastAsia" w:ascii="宋体" w:hAnsi="宋体" w:eastAsia="宋体" w:cs="宋体"/>
                <w:color w:val="000000" w:themeColor="text1"/>
                <w:kern w:val="0"/>
                <w:sz w:val="21"/>
                <w:szCs w:val="21"/>
                <w:highlight w:val="none"/>
                <w14:textFill>
                  <w14:solidFill>
                    <w14:schemeClr w14:val="tx1"/>
                  </w14:solidFill>
                </w14:textFill>
              </w:rPr>
              <w:t>与采购人双方签订，签订时间为《中标通知书》发出之日起</w:t>
            </w:r>
            <w:r>
              <w:rPr>
                <w:rFonts w:hint="eastAsia" w:ascii="宋体" w:hAnsi="宋体" w:cs="宋体"/>
                <w:color w:val="000000" w:themeColor="text1"/>
                <w:kern w:val="0"/>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kern w:val="0"/>
                <w:sz w:val="21"/>
                <w:szCs w:val="21"/>
                <w:highlight w:val="none"/>
                <w14:textFill>
                  <w14:solidFill>
                    <w14:schemeClr w14:val="tx1"/>
                  </w14:solidFill>
                </w14:textFill>
              </w:rPr>
              <w:t>个日历日内。</w:t>
            </w:r>
          </w:p>
        </w:tc>
      </w:tr>
      <w:tr w14:paraId="328508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47" w:type="dxa"/>
            <w:shd w:val="clear" w:color="auto" w:fill="auto"/>
            <w:vAlign w:val="center"/>
          </w:tcPr>
          <w:p w14:paraId="568D5074">
            <w:pPr>
              <w:spacing w:line="320" w:lineRule="exact"/>
              <w:jc w:val="center"/>
              <w:rPr>
                <w:rFonts w:hint="eastAsia" w:ascii="宋体" w:hAnsi="宋体" w:eastAsia="宋体" w:cs="宋体"/>
                <w:b/>
                <w:bCs/>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4"/>
                <w:highlight w:val="none"/>
                <w:lang w:val="en-US" w:eastAsia="zh-CN" w:bidi="ar-SA"/>
                <w14:textFill>
                  <w14:solidFill>
                    <w14:schemeClr w14:val="tx1"/>
                  </w14:solidFill>
                </w14:textFill>
              </w:rPr>
              <w:t>付款和结算方式</w:t>
            </w:r>
          </w:p>
        </w:tc>
        <w:tc>
          <w:tcPr>
            <w:tcW w:w="7253" w:type="dxa"/>
            <w:shd w:val="clear" w:color="auto" w:fill="auto"/>
            <w:vAlign w:val="center"/>
          </w:tcPr>
          <w:p w14:paraId="3E0FB924">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1.货款每个月以人民币为计价与支付货币进行结算。实际结算金额以实际发生采购量为准。供应商需提供符合国家要求的正规发票，发票公章必须与公司名称相符，合同方、收款方、发票方三者必须一致。</w:t>
            </w:r>
          </w:p>
          <w:p w14:paraId="1B7C3100">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2.当月结算价：各类肉类及蔬菜瓜果类产品货款=基准价×中标折扣率×当月实际供货量。</w:t>
            </w:r>
          </w:p>
          <w:p w14:paraId="3CA08FF9">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3.招标报价方式为折扣率报价，合同执行期内，不论中标配送公司供应货物的来源何地均按中标折扣率结算，中标折扣率合同期内不作调整。</w:t>
            </w:r>
          </w:p>
        </w:tc>
      </w:tr>
      <w:tr w14:paraId="0AA262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47" w:type="dxa"/>
            <w:shd w:val="clear" w:color="auto" w:fill="auto"/>
            <w:vAlign w:val="center"/>
          </w:tcPr>
          <w:p w14:paraId="20C5F086">
            <w:pPr>
              <w:spacing w:line="320" w:lineRule="exact"/>
              <w:jc w:val="center"/>
              <w:rPr>
                <w:rFonts w:hint="eastAsia" w:ascii="宋体" w:hAnsi="宋体" w:eastAsia="宋体" w:cs="宋体"/>
                <w:b/>
                <w:bCs/>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4"/>
                <w:highlight w:val="none"/>
                <w:lang w:val="en-US" w:eastAsia="zh-CN" w:bidi="ar-SA"/>
                <w14:textFill>
                  <w14:solidFill>
                    <w14:schemeClr w14:val="tx1"/>
                  </w14:solidFill>
                </w14:textFill>
              </w:rPr>
              <w:t>定价方式</w:t>
            </w:r>
          </w:p>
        </w:tc>
        <w:tc>
          <w:tcPr>
            <w:tcW w:w="7253" w:type="dxa"/>
            <w:shd w:val="clear" w:color="auto" w:fill="auto"/>
            <w:vAlign w:val="center"/>
          </w:tcPr>
          <w:p w14:paraId="166602F7">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价格以阳江市发展和改革局每月在政府信息公开网站公布的价格为基准价格，若上述官方机构公布的价格中没有的产品价格信息，则参照阳东地区农贸市场（或超市）同类及相近产品平均市场价，采购价格低于周边农贸市场（或超市）价格并实行浮动。若仍无法参照同类或相近品种产品的，由食堂管理小组与配送公司双方共同调研的价格为基准价格，供货时由配送公司与食堂管理小组共同协商，参考同类或相近品种产品的市场行情及根据配送公司中标时所报投标折扣率来确定执行标准。</w:t>
            </w:r>
          </w:p>
        </w:tc>
      </w:tr>
      <w:tr w14:paraId="618F08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47" w:type="dxa"/>
            <w:shd w:val="clear" w:color="auto" w:fill="auto"/>
            <w:vAlign w:val="center"/>
          </w:tcPr>
          <w:p w14:paraId="4B9F1F18">
            <w:pPr>
              <w:spacing w:line="320" w:lineRule="exact"/>
              <w:jc w:val="center"/>
              <w:rPr>
                <w:rFonts w:hint="eastAsia" w:ascii="宋体" w:hAnsi="宋体" w:eastAsia="宋体" w:cs="宋体"/>
                <w:b/>
                <w:bCs/>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配送时间</w:t>
            </w:r>
          </w:p>
        </w:tc>
        <w:tc>
          <w:tcPr>
            <w:tcW w:w="7253" w:type="dxa"/>
            <w:shd w:val="clear" w:color="auto" w:fill="auto"/>
            <w:vAlign w:val="center"/>
          </w:tcPr>
          <w:p w14:paraId="144EEE96">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每天上午</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：30前</w:t>
            </w:r>
            <w:r>
              <w:rPr>
                <w:rFonts w:hint="eastAsia" w:ascii="宋体" w:hAnsi="宋体" w:cs="宋体"/>
                <w:color w:val="000000" w:themeColor="text1"/>
                <w:highlight w:val="none"/>
                <w:lang w:val="en-US" w:eastAsia="zh-CN"/>
                <w14:textFill>
                  <w14:solidFill>
                    <w14:schemeClr w14:val="tx1"/>
                  </w14:solidFill>
                </w14:textFill>
              </w:rPr>
              <w:t>配送到采购人指定地点。</w:t>
            </w:r>
          </w:p>
        </w:tc>
      </w:tr>
      <w:tr w14:paraId="002016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47" w:type="dxa"/>
            <w:shd w:val="clear" w:color="auto" w:fill="auto"/>
            <w:vAlign w:val="center"/>
          </w:tcPr>
          <w:p w14:paraId="5E1D1731">
            <w:pPr>
              <w:spacing w:line="320" w:lineRule="exact"/>
              <w:jc w:val="cente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食品食材验收要求</w:t>
            </w:r>
          </w:p>
        </w:tc>
        <w:tc>
          <w:tcPr>
            <w:tcW w:w="7253" w:type="dxa"/>
            <w:shd w:val="clear" w:color="auto" w:fill="auto"/>
            <w:vAlign w:val="center"/>
          </w:tcPr>
          <w:p w14:paraId="1F135AE0">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1.信息核对：核对采购食品食材与购货凭证(或者送货单据)上的名称、数量是否相符；</w:t>
            </w:r>
          </w:p>
          <w:p w14:paraId="0DD00252">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2.外观检查：检查感官性状，包装是否有破损、污迹、霉变、腐烂，是否有异味，是否有病虫害附着等；</w:t>
            </w:r>
          </w:p>
          <w:p w14:paraId="4C8CE1DE">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3.标签检查：检查外包装标注信息是否完整，是否有产品的名称、规格或者净含量、生产日期、保质期、成分或者配料表、贮存条件等信息，是否标识生产者的名称、地址、联系方式以及产品标准代号、生产许可证编号等；</w:t>
            </w:r>
          </w:p>
          <w:p w14:paraId="6E1151C2">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4.温度检查：需冷藏冷冻的食品食材是否冷链运输，冷藏食品表面温度与标签标识的温度是否超过十3℃，冷冻食品食材表面温度是否高于-9℃；</w:t>
            </w:r>
          </w:p>
          <w:p w14:paraId="6EA3237E">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5.票据核验：检查随货同行的产品合格证明文件，文件上载明的内容是否与到货的食品生产日期、规格等信息保持一致；</w:t>
            </w:r>
          </w:p>
          <w:p w14:paraId="6C651881">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6.抽样检测：学校食堂对采购的蔬菜、肉类进行药物残留检测。</w:t>
            </w:r>
          </w:p>
          <w:p w14:paraId="1938449D">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7.供货商供货时，需同步提供该批次食用农产品的《承诺达标证》(或附带有二维码的电子承诺达标合格证)作为验收必要条件；不提供此证，可不予验收。此外，大米应每批次向供应商索取检验合格证明，合格证明中应含有国家和省的规定必检的重金属(包含铅、镉、汞等)含量项目；没有重金属检验合格证明的，不得采购和验收。</w:t>
            </w:r>
          </w:p>
        </w:tc>
      </w:tr>
      <w:tr w14:paraId="164835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47" w:type="dxa"/>
            <w:shd w:val="clear" w:color="auto" w:fill="auto"/>
            <w:vAlign w:val="center"/>
          </w:tcPr>
          <w:p w14:paraId="10ED12EA">
            <w:pPr>
              <w:spacing w:line="320" w:lineRule="exact"/>
              <w:jc w:val="center"/>
              <w:rPr>
                <w:rFonts w:hint="eastAsia" w:ascii="宋体" w:hAnsi="宋体" w:eastAsia="宋体" w:cs="Times New Roman"/>
                <w:b/>
                <w:bCs/>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Times New Roman"/>
                <w:b/>
                <w:bCs/>
                <w:color w:val="000000" w:themeColor="text1"/>
                <w:kern w:val="2"/>
                <w:sz w:val="21"/>
                <w:szCs w:val="24"/>
                <w:highlight w:val="none"/>
                <w:lang w:val="en-US" w:eastAsia="zh-CN" w:bidi="ar-SA"/>
                <w14:textFill>
                  <w14:solidFill>
                    <w14:schemeClr w14:val="tx1"/>
                  </w14:solidFill>
                </w14:textFill>
              </w:rPr>
              <w:t>售后服务要求</w:t>
            </w:r>
          </w:p>
        </w:tc>
        <w:tc>
          <w:tcPr>
            <w:tcW w:w="7253" w:type="dxa"/>
            <w:shd w:val="clear" w:color="auto" w:fill="auto"/>
            <w:vAlign w:val="center"/>
          </w:tcPr>
          <w:p w14:paraId="1D4E6636">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非采购人的人为原因而岀现产品质量问题，由中标供应商负责包换或包退，并承担因此而产生的一切费用，由于中标供应商所供货物质量原因（以有资质的质检部门的质检报告为准），造成采购方用餐人员发生食品安全事故的，中标供应商须承担所有相关的经济赔偿及法律责任。</w:t>
            </w:r>
          </w:p>
        </w:tc>
      </w:tr>
      <w:tr w14:paraId="6E9D2F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47" w:type="dxa"/>
            <w:shd w:val="clear" w:color="auto" w:fill="auto"/>
            <w:vAlign w:val="center"/>
          </w:tcPr>
          <w:p w14:paraId="24113874">
            <w:pPr>
              <w:spacing w:line="320" w:lineRule="exact"/>
              <w:jc w:val="center"/>
              <w:rPr>
                <w:rFonts w:hint="eastAsia" w:ascii="宋体" w:hAnsi="宋体" w:eastAsia="宋体" w:cs="Times New Roman"/>
                <w:b/>
                <w:bCs/>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Times New Roman"/>
                <w:b/>
                <w:bCs/>
                <w:color w:val="000000" w:themeColor="text1"/>
                <w:kern w:val="2"/>
                <w:sz w:val="21"/>
                <w:szCs w:val="24"/>
                <w:highlight w:val="none"/>
                <w:lang w:val="en-US" w:eastAsia="zh-CN" w:bidi="ar-SA"/>
                <w14:textFill>
                  <w14:solidFill>
                    <w14:schemeClr w14:val="tx1"/>
                  </w14:solidFill>
                </w14:textFill>
              </w:rPr>
              <w:t>项目其它要求</w:t>
            </w:r>
          </w:p>
        </w:tc>
        <w:tc>
          <w:tcPr>
            <w:tcW w:w="7253" w:type="dxa"/>
            <w:shd w:val="clear" w:color="auto" w:fill="auto"/>
            <w:vAlign w:val="center"/>
          </w:tcPr>
          <w:p w14:paraId="746BA65A">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1.合同签订后10个工作日内中标供应商须缴交人民币10万元的履约保证金（以银行保函、保险、金融机构或担保机构保函、汇票等非现金形式缴纳），履保证金在合同期满时无息退还。</w:t>
            </w:r>
          </w:p>
          <w:p w14:paraId="526077E5">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2.中标供应商在食材配送过程中如岀现需向采购人支付经济赔偿金、违约罚金等相关费用时，采购人可直接在每月食材配送结算金额中扣除，如金额不足以支时，差额部分中标供应商需另行向采购人支付。</w:t>
            </w:r>
          </w:p>
          <w:p w14:paraId="5DB3752E">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3.中标供应商因违反合同约定给采购人造成重大影响或经济损失，由此所造成采购人的经济损失以及引致的法律责任由中标供应商承担。</w:t>
            </w:r>
          </w:p>
          <w:p w14:paraId="51E0083B">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4.非采购人的原因而出现食材质量问题，由中标供应商负责包换或包退，并承担因此而产生的一切责任及费用。</w:t>
            </w:r>
          </w:p>
          <w:p w14:paraId="6B96A1D9">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5.采购人对中标供应商食材配送工作进行不定期抽查考核，原则上每月考核一次。</w:t>
            </w:r>
          </w:p>
          <w:p w14:paraId="2FBBEF20">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6.中标供应商有以下行为，经调查属实的，采购人将立即解除相关供应合同：</w:t>
            </w:r>
          </w:p>
          <w:p w14:paraId="701E2749">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1）弄虚作假，提供虚假材料取得中标资格的；</w:t>
            </w:r>
          </w:p>
          <w:p w14:paraId="2C970536">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2）因所供货物质量原因导致发生食品安全事故的；</w:t>
            </w:r>
          </w:p>
          <w:p w14:paraId="367EFC6A">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3）中标后将项目转包、分包行为的；</w:t>
            </w:r>
          </w:p>
          <w:p w14:paraId="6B64C87D">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4）无正当理由拒绝履行合同向采购人供货的；</w:t>
            </w:r>
          </w:p>
          <w:p w14:paraId="57FF56AA">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5）有行贿、给回扣等不正当竞争行为的；</w:t>
            </w:r>
          </w:p>
          <w:p w14:paraId="6DAA9633">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6）所供应食材存在故意假冒伪劣行为的；</w:t>
            </w:r>
          </w:p>
          <w:p w14:paraId="742B4F95">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7）经营情况发生重大变化，已经不具备承接中标供应项目能力的；</w:t>
            </w:r>
          </w:p>
          <w:p w14:paraId="4FC0A3BF">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8）违反招标文件和合同相关管理规定，或有其它违法违纪行为的。</w:t>
            </w:r>
          </w:p>
        </w:tc>
      </w:tr>
      <w:tr w14:paraId="676B07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47" w:type="dxa"/>
            <w:shd w:val="clear" w:color="auto" w:fill="auto"/>
            <w:vAlign w:val="center"/>
          </w:tcPr>
          <w:p w14:paraId="4229A31B">
            <w:pPr>
              <w:spacing w:line="320" w:lineRule="exact"/>
              <w:jc w:val="center"/>
              <w:rPr>
                <w:rFonts w:hint="eastAsia" w:ascii="宋体" w:hAnsi="宋体" w:eastAsia="宋体" w:cs="Times New Roman"/>
                <w:b/>
                <w:bCs/>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Times New Roman"/>
                <w:b/>
                <w:bCs/>
                <w:color w:val="000000" w:themeColor="text1"/>
                <w:kern w:val="2"/>
                <w:sz w:val="21"/>
                <w:szCs w:val="24"/>
                <w:highlight w:val="none"/>
                <w:lang w:val="en-US" w:eastAsia="zh-CN" w:bidi="ar-SA"/>
                <w14:textFill>
                  <w14:solidFill>
                    <w14:schemeClr w14:val="tx1"/>
                  </w14:solidFill>
                </w14:textFill>
              </w:rPr>
              <w:t>退出机制</w:t>
            </w:r>
          </w:p>
        </w:tc>
        <w:tc>
          <w:tcPr>
            <w:tcW w:w="7253" w:type="dxa"/>
            <w:shd w:val="clear" w:color="auto" w:fill="auto"/>
            <w:vAlign w:val="center"/>
          </w:tcPr>
          <w:p w14:paraId="385DDD88">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1.主动退出</w:t>
            </w:r>
          </w:p>
          <w:p w14:paraId="1BFA431C">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供货商中标或选定后因各种原因无法履行合同或职责，中途主动退出的，需提前30日向学校提出书面申请。主动退出的供货商，自退出之日起3年内不能参加或提供我校食堂食品食材采购和配送。</w:t>
            </w:r>
          </w:p>
          <w:p w14:paraId="496A38AF">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2.一票否决退出</w:t>
            </w:r>
          </w:p>
          <w:p w14:paraId="69AF8FBA">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供货商在履行供货合同期间，如有以下情形之一的，我校可与供货商终止供货合同：</w:t>
            </w:r>
          </w:p>
          <w:p w14:paraId="68D7C19C">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1）因提供的食品食材问题而发生学校食品安全事故被相关部门认定，造成不良影响的；</w:t>
            </w:r>
          </w:p>
          <w:p w14:paraId="56A5563E">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2）供货商提供的食品食材被市场监管部门(或第三方抽检机构)抽检认定为存在质量问题或不合格的，一年内达两次或两次以上的；</w:t>
            </w:r>
          </w:p>
          <w:p w14:paraId="27641851">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3）相关证照被行政主管部门吊销的；</w:t>
            </w:r>
          </w:p>
          <w:p w14:paraId="5B9501BD">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4）供应商因违规违纪行为，受到行业监督管理部门通报、查处的；</w:t>
            </w:r>
          </w:p>
          <w:p w14:paraId="6D643162">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5）发生重大服务质量问题受到有关政府部门处罚的；</w:t>
            </w:r>
          </w:p>
          <w:p w14:paraId="439E3801">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6）与他人串通，向学校主管人员或验收货人进行物质、金钱行贿的，损害国家利益、社会公共利益或师生合法权益的；</w:t>
            </w:r>
          </w:p>
          <w:p w14:paraId="56DF12F8">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7）不能按学校要求的期限完成供货计划,因供应商的原因影响学校师生无法正常用餐的；</w:t>
            </w:r>
          </w:p>
          <w:p w14:paraId="21907EF8">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8）工作态度或服务态度不端正,学校提出书面整改(或警告)通知后仍未采取有效措施进行改善，累计达3次的；</w:t>
            </w:r>
          </w:p>
          <w:p w14:paraId="50B2E33C">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9）无故推托或拒绝接受供货任务累计达3次的；</w:t>
            </w:r>
          </w:p>
          <w:p w14:paraId="7B24F4B7">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10）供应商违反了诚实信用和投标承诺，没有严格执行相关质量、服务，损害学校或师生利益的；</w:t>
            </w:r>
          </w:p>
          <w:p w14:paraId="3823ED80">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11）提供虚假信息，隐瞒、伪造、假借等弄虚作假的非法手段误导或欺骗采购人，以谋取非法利益的；</w:t>
            </w:r>
          </w:p>
          <w:p w14:paraId="11D65782">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12）拒绝接受相关部门和学校监督和检查的；</w:t>
            </w:r>
          </w:p>
          <w:p w14:paraId="387EF4CA">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13）出现信用危机、财务危机、经营危机甚至破产、倒闭，无法继续履行合同的；</w:t>
            </w:r>
          </w:p>
          <w:p w14:paraId="03D7903C">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14）因食品食材质量问题造成安全事故的；</w:t>
            </w:r>
          </w:p>
          <w:p w14:paraId="7CDF3069">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15）提供假冒伪劣、过期产品的；</w:t>
            </w:r>
          </w:p>
          <w:p w14:paraId="5EF7F29B">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16）检验检测报告造假的；</w:t>
            </w:r>
          </w:p>
          <w:p w14:paraId="554AACBC">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17）出现供货商有联手哄抬物价现象的，因供货价虚高被投诉达3次或以上的；</w:t>
            </w:r>
          </w:p>
          <w:p w14:paraId="46460E8A">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18）对履行合同条款不到位，我校提出书面整改(或警告)通知后仍未采取有效措施进行改善，累计达3次的；</w:t>
            </w:r>
          </w:p>
          <w:p w14:paraId="1FA7FE7A">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19）存在其他违反法律法规、行业管理规定等行为的。</w:t>
            </w:r>
          </w:p>
          <w:p w14:paraId="2103FDF8">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3.勒令退出</w:t>
            </w:r>
          </w:p>
          <w:p w14:paraId="467A1DCB">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1）中标或被选定后，供货商将标的转让、转包或委托他人配送的，一经查实，由学校约谈相关企业(个人)，限定时间整改，约谈2次以上(含2次)拒不整改的，取消其供货资格。2年内不能参加或提供学校食品食材采购和配送。</w:t>
            </w:r>
          </w:p>
          <w:p w14:paraId="585A9776">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2）在合同周期内，学校集中反映意见较大的供货商，由学校约谈相关企业(个人)，限定时间整改，约谈2次以上(含2次)拒不整改的，取消供货资格。2年内不能参加或提供学校食品食材采购和配送。</w:t>
            </w:r>
          </w:p>
          <w:p w14:paraId="7FAFA4D9">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3）学校充分发挥膳食管理委员会的监督作用，每季度组织不少于一次师生对学生食堂饭菜质量的满意度测评(满意度不得低于70%)，每学期组织一次综合满意度测评(满意度不得低于70%)，测评人数不少于就餐师生总数的50%；测评结果在适当范围内公示。供货期间，两次综合满意度测评结果低于70%的学校可无条件终止合同，其损失由供货商自行负责。学年综合满意度低于70%或供货期间有两次综合满意度测评结果低于70%的供货商，不得参与下一轮我校食堂食品原材料采购和配送的招投标活动。</w:t>
            </w:r>
          </w:p>
        </w:tc>
      </w:tr>
    </w:tbl>
    <w:p w14:paraId="6963FF66">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DB65CB1">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2.技术标准与要求</w:t>
      </w:r>
    </w:p>
    <w:tbl>
      <w:tblPr>
        <w:tblStyle w:val="15"/>
        <w:tblW w:w="946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6"/>
        <w:gridCol w:w="872"/>
        <w:gridCol w:w="1228"/>
        <w:gridCol w:w="820"/>
        <w:gridCol w:w="826"/>
        <w:gridCol w:w="1266"/>
        <w:gridCol w:w="1266"/>
        <w:gridCol w:w="829"/>
        <w:gridCol w:w="820"/>
        <w:gridCol w:w="821"/>
      </w:tblGrid>
      <w:tr w14:paraId="6238DA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6" w:type="dxa"/>
            <w:vAlign w:val="center"/>
          </w:tcPr>
          <w:p w14:paraId="74E21275">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872" w:type="dxa"/>
            <w:vAlign w:val="center"/>
          </w:tcPr>
          <w:p w14:paraId="6C1EA0A9">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品目名称</w:t>
            </w:r>
          </w:p>
        </w:tc>
        <w:tc>
          <w:tcPr>
            <w:tcW w:w="1228" w:type="dxa"/>
            <w:vAlign w:val="center"/>
          </w:tcPr>
          <w:p w14:paraId="7D760D57">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标的名称</w:t>
            </w:r>
          </w:p>
        </w:tc>
        <w:tc>
          <w:tcPr>
            <w:tcW w:w="820" w:type="dxa"/>
            <w:vAlign w:val="center"/>
          </w:tcPr>
          <w:p w14:paraId="0A696183">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w:t>
            </w:r>
          </w:p>
        </w:tc>
        <w:tc>
          <w:tcPr>
            <w:tcW w:w="826" w:type="dxa"/>
            <w:vAlign w:val="center"/>
          </w:tcPr>
          <w:p w14:paraId="343AB05C">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w:t>
            </w:r>
          </w:p>
        </w:tc>
        <w:tc>
          <w:tcPr>
            <w:tcW w:w="1266" w:type="dxa"/>
            <w:vAlign w:val="center"/>
          </w:tcPr>
          <w:p w14:paraId="4E314519">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分项预算单价（元）</w:t>
            </w:r>
          </w:p>
        </w:tc>
        <w:tc>
          <w:tcPr>
            <w:tcW w:w="1266" w:type="dxa"/>
            <w:vAlign w:val="center"/>
          </w:tcPr>
          <w:p w14:paraId="54178819">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分项预算总价（元）</w:t>
            </w:r>
          </w:p>
        </w:tc>
        <w:tc>
          <w:tcPr>
            <w:tcW w:w="829" w:type="dxa"/>
            <w:vAlign w:val="center"/>
          </w:tcPr>
          <w:p w14:paraId="5791214E">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权重%</w:t>
            </w:r>
          </w:p>
        </w:tc>
        <w:tc>
          <w:tcPr>
            <w:tcW w:w="820" w:type="dxa"/>
            <w:vAlign w:val="center"/>
          </w:tcPr>
          <w:p w14:paraId="2379B7EB">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所属行业</w:t>
            </w:r>
          </w:p>
        </w:tc>
        <w:tc>
          <w:tcPr>
            <w:tcW w:w="821" w:type="dxa"/>
            <w:vAlign w:val="center"/>
          </w:tcPr>
          <w:p w14:paraId="55EC4485">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技术要求</w:t>
            </w:r>
          </w:p>
        </w:tc>
      </w:tr>
      <w:tr w14:paraId="1F82E1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6" w:type="dxa"/>
            <w:vAlign w:val="center"/>
          </w:tcPr>
          <w:p w14:paraId="5D3F6042">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872" w:type="dxa"/>
            <w:vAlign w:val="center"/>
          </w:tcPr>
          <w:p w14:paraId="5FF59F50">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其他服务</w:t>
            </w:r>
          </w:p>
        </w:tc>
        <w:tc>
          <w:tcPr>
            <w:tcW w:w="1228" w:type="dxa"/>
            <w:vAlign w:val="center"/>
          </w:tcPr>
          <w:p w14:paraId="68A84F24">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阳江市阳东区华南师范大学附属阳东小学食堂大宗食材配送服务采购</w:t>
            </w:r>
          </w:p>
        </w:tc>
        <w:tc>
          <w:tcPr>
            <w:tcW w:w="820" w:type="dxa"/>
            <w:vAlign w:val="center"/>
          </w:tcPr>
          <w:p w14:paraId="6D966340">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w:t>
            </w:r>
          </w:p>
        </w:tc>
        <w:tc>
          <w:tcPr>
            <w:tcW w:w="826" w:type="dxa"/>
            <w:vAlign w:val="center"/>
          </w:tcPr>
          <w:p w14:paraId="4954E883">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1.00</w:t>
            </w:r>
          </w:p>
        </w:tc>
        <w:tc>
          <w:tcPr>
            <w:tcW w:w="1266" w:type="dxa"/>
            <w:vAlign w:val="center"/>
          </w:tcPr>
          <w:p w14:paraId="326E4002">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4533300.00</w:t>
            </w:r>
          </w:p>
        </w:tc>
        <w:tc>
          <w:tcPr>
            <w:tcW w:w="1266" w:type="dxa"/>
            <w:vAlign w:val="center"/>
          </w:tcPr>
          <w:p w14:paraId="534CCFA8">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4533300.00</w:t>
            </w:r>
          </w:p>
        </w:tc>
        <w:tc>
          <w:tcPr>
            <w:tcW w:w="829" w:type="dxa"/>
            <w:vAlign w:val="center"/>
          </w:tcPr>
          <w:p w14:paraId="248AC0B6">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100.0</w:t>
            </w:r>
          </w:p>
        </w:tc>
        <w:tc>
          <w:tcPr>
            <w:tcW w:w="820" w:type="dxa"/>
            <w:vAlign w:val="center"/>
          </w:tcPr>
          <w:p w14:paraId="49F526B6">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批发业</w:t>
            </w:r>
          </w:p>
        </w:tc>
        <w:tc>
          <w:tcPr>
            <w:tcW w:w="821" w:type="dxa"/>
            <w:vAlign w:val="center"/>
          </w:tcPr>
          <w:p w14:paraId="2939FFB1">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详见附表一</w:t>
            </w:r>
          </w:p>
        </w:tc>
      </w:tr>
    </w:tbl>
    <w:p w14:paraId="477BA39A">
      <w:pPr>
        <w:pStyle w:val="1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备注：最终综合总报价=（各产品报价×各项产品权重）的相加值</w:t>
      </w:r>
    </w:p>
    <w:p w14:paraId="6068D8B0">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249C275">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附表一：</w:t>
      </w:r>
      <w:r>
        <w:rPr>
          <w:rFonts w:hint="eastAsia" w:asciiTheme="minorEastAsia" w:hAnsiTheme="minorEastAsia" w:cstheme="minorEastAsia"/>
          <w:b/>
          <w:color w:val="000000" w:themeColor="text1"/>
          <w:sz w:val="21"/>
          <w:szCs w:val="21"/>
          <w:highlight w:val="none"/>
          <w:lang w:eastAsia="zh-CN"/>
          <w14:textFill>
            <w14:solidFill>
              <w14:schemeClr w14:val="tx1"/>
            </w14:solidFill>
          </w14:textFill>
        </w:rPr>
        <w:t>阳江市阳东区华南师范大学附属阳东小学食堂大宗食材配送服务采购项目</w:t>
      </w:r>
    </w:p>
    <w:tbl>
      <w:tblPr>
        <w:tblStyle w:val="15"/>
        <w:tblW w:w="9733"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
        <w:gridCol w:w="594"/>
        <w:gridCol w:w="8309"/>
      </w:tblGrid>
      <w:tr w14:paraId="4F6E21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830" w:type="dxa"/>
            <w:vAlign w:val="top"/>
          </w:tcPr>
          <w:p w14:paraId="14DDB5E6">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参数性质</w:t>
            </w:r>
          </w:p>
        </w:tc>
        <w:tc>
          <w:tcPr>
            <w:tcW w:w="594" w:type="dxa"/>
            <w:vAlign w:val="top"/>
          </w:tcPr>
          <w:p w14:paraId="5E7419F3">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8309" w:type="dxa"/>
            <w:vAlign w:val="top"/>
          </w:tcPr>
          <w:p w14:paraId="3D6324B2">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具体技术(参数)要求</w:t>
            </w:r>
          </w:p>
        </w:tc>
      </w:tr>
      <w:tr w14:paraId="348B59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0" w:type="dxa"/>
            <w:vAlign w:val="top"/>
          </w:tcPr>
          <w:p w14:paraId="6E8D9E06">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594" w:type="dxa"/>
            <w:vAlign w:val="center"/>
          </w:tcPr>
          <w:p w14:paraId="475D4DE0">
            <w:pPr>
              <w:pStyle w:val="18"/>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8309" w:type="dxa"/>
            <w:vAlign w:val="top"/>
          </w:tcPr>
          <w:p w14:paraId="6C1A08C3">
            <w:pPr>
              <w:pStyle w:val="21"/>
              <w:keepNext w:val="0"/>
              <w:keepLines w:val="0"/>
              <w:pageBreakBefore w:val="0"/>
              <w:kinsoku/>
              <w:wordWrap/>
              <w:overflowPunct/>
              <w:topLinePunct w:val="0"/>
              <w:autoSpaceDE/>
              <w:autoSpaceDN/>
              <w:bidi w:val="0"/>
              <w:spacing w:line="360" w:lineRule="auto"/>
              <w:ind w:firstLine="0" w:firstLineChars="0"/>
              <w:textAlignment w:val="auto"/>
              <w:outlineLvl w:val="9"/>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具体项目要求</w:t>
            </w:r>
          </w:p>
          <w:p w14:paraId="78A3D19E">
            <w:pPr>
              <w:keepNext w:val="0"/>
              <w:keepLines w:val="0"/>
              <w:pageBreakBefore w:val="0"/>
              <w:kinsoku/>
              <w:wordWrap/>
              <w:overflowPunct/>
              <w:topLinePunct w:val="0"/>
              <w:autoSpaceDE/>
              <w:autoSpaceDN/>
              <w:bidi w:val="0"/>
              <w:spacing w:line="360" w:lineRule="auto"/>
              <w:ind w:right="-171"/>
              <w:textAlignment w:val="auto"/>
              <w:outlineLvl w:val="9"/>
              <w:rPr>
                <w:rFonts w:hint="eastAsia"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（一）肉类、腊味制品、瓜果疏菜、水产海鲜类。</w:t>
            </w:r>
          </w:p>
          <w:p w14:paraId="7F908BDA">
            <w:pPr>
              <w:keepNext w:val="0"/>
              <w:keepLines w:val="0"/>
              <w:pageBreakBefore w:val="0"/>
              <w:kinsoku/>
              <w:wordWrap/>
              <w:overflowPunct/>
              <w:topLinePunct w:val="0"/>
              <w:autoSpaceDE/>
              <w:autoSpaceDN/>
              <w:bidi w:val="0"/>
              <w:snapToGrid w:val="0"/>
              <w:spacing w:line="360" w:lineRule="auto"/>
              <w:textAlignment w:val="auto"/>
              <w:outlineLvl w:val="9"/>
              <w:rPr>
                <w:rFonts w:hint="eastAsia"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1、鲜肉（边猪）、家禽、鱼类基本要求</w:t>
            </w:r>
          </w:p>
          <w:p w14:paraId="3CFE3E3C">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a）所供货物应保持较好的外观和质量等级，严格遵守《动物检疫法》和《食物卫生法》等相关规定。符合国家食品部门的有关标准，保证无异味、无霉烂变质，肉类保证来源于正规肉联厂，供货时须提交肉联厂的验收单及当批次有效的动物检疫合格证复印件（原件备查），鲜肉确保每日新鲜、无异味。</w:t>
            </w:r>
          </w:p>
          <w:p w14:paraId="0500DC63">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b）鲜肉[边猪（白条猪）]净重35KG以上，去头、去蹄、去板油、去内脏。</w:t>
            </w:r>
          </w:p>
          <w:p w14:paraId="6564FAC0">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c）鸡、鹅、鸭需去毛、去内脏。</w:t>
            </w:r>
          </w:p>
          <w:p w14:paraId="2A28492D">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d）鱼类要求鱼眼睛清亮，角膜透明，鳞片上覆有冻结的透明黏液层，皮肤天然色泽明显。</w:t>
            </w:r>
          </w:p>
          <w:p w14:paraId="7CDC3EA2">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e）所有货物规格符合采购人提交的日采购计划中明确的具体需求，所有的肉类产品不得有注水现象。</w:t>
            </w:r>
          </w:p>
          <w:p w14:paraId="37E92C90">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f）不得供应冷冻禽类、猪肉类食品。</w:t>
            </w:r>
          </w:p>
          <w:p w14:paraId="3FD6E317">
            <w:pPr>
              <w:keepNext w:val="0"/>
              <w:keepLines w:val="0"/>
              <w:pageBreakBefore w:val="0"/>
              <w:kinsoku/>
              <w:wordWrap/>
              <w:overflowPunct/>
              <w:topLinePunct w:val="0"/>
              <w:autoSpaceDE/>
              <w:autoSpaceDN/>
              <w:bidi w:val="0"/>
              <w:snapToGrid w:val="0"/>
              <w:spacing w:line="360" w:lineRule="auto"/>
              <w:textAlignment w:val="auto"/>
              <w:outlineLvl w:val="9"/>
              <w:rPr>
                <w:rFonts w:hint="eastAsia"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2、腊味：</w:t>
            </w:r>
          </w:p>
          <w:p w14:paraId="33A8417A">
            <w:pPr>
              <w:keepNext w:val="0"/>
              <w:keepLines w:val="0"/>
              <w:pageBreakBefore w:val="0"/>
              <w:kinsoku/>
              <w:wordWrap/>
              <w:overflowPunct/>
              <w:topLinePunct w:val="0"/>
              <w:autoSpaceDE/>
              <w:autoSpaceDN/>
              <w:bidi w:val="0"/>
              <w:snapToGrid w:val="0"/>
              <w:spacing w:line="360" w:lineRule="auto"/>
              <w:ind w:left="210" w:leftChars="100" w:firstLine="420" w:firstLineChars="20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符合国家食品部门有关标准，色泽鲜明，肌肉暗红色，脂肪透明呈乳白色，肉干燥结实，带有固有的腊式香味。</w:t>
            </w:r>
          </w:p>
          <w:p w14:paraId="272E77D7">
            <w:pPr>
              <w:keepNext w:val="0"/>
              <w:keepLines w:val="0"/>
              <w:pageBreakBefore w:val="0"/>
              <w:kinsoku/>
              <w:wordWrap/>
              <w:overflowPunct/>
              <w:topLinePunct w:val="0"/>
              <w:autoSpaceDE/>
              <w:autoSpaceDN/>
              <w:bidi w:val="0"/>
              <w:snapToGrid w:val="0"/>
              <w:spacing w:line="360" w:lineRule="auto"/>
              <w:textAlignment w:val="auto"/>
              <w:outlineLvl w:val="9"/>
              <w:rPr>
                <w:rFonts w:hint="eastAsia"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3、瓜果蔬菜</w:t>
            </w:r>
          </w:p>
          <w:p w14:paraId="4C006F3B">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供应产品的质量要求：瓜、果、蔬菜必须是优质货品，不得含有残留农药或污染物，中标供应商必须保证所供应的蔬菜符合卫生质量标准，同时承担因所供蔬菜问题引起的一切事故后果。卫生质量指标，应符合我国无公害蔬菜上的卫生指标规定。</w:t>
            </w:r>
          </w:p>
          <w:tbl>
            <w:tblPr>
              <w:tblStyle w:val="15"/>
              <w:tblW w:w="6183" w:type="dxa"/>
              <w:jc w:val="center"/>
              <w:tblLayout w:type="autofit"/>
              <w:tblCellMar>
                <w:top w:w="0" w:type="dxa"/>
                <w:left w:w="0" w:type="dxa"/>
                <w:bottom w:w="0" w:type="dxa"/>
                <w:right w:w="0" w:type="dxa"/>
              </w:tblCellMar>
            </w:tblPr>
            <w:tblGrid>
              <w:gridCol w:w="2833"/>
              <w:gridCol w:w="3350"/>
            </w:tblGrid>
            <w:tr w14:paraId="7F1B00F5">
              <w:tblPrEx>
                <w:tblCellMar>
                  <w:top w:w="0" w:type="dxa"/>
                  <w:left w:w="0" w:type="dxa"/>
                  <w:bottom w:w="0" w:type="dxa"/>
                  <w:right w:w="0" w:type="dxa"/>
                </w:tblCellMar>
              </w:tblPrEx>
              <w:trPr>
                <w:trHeight w:val="294" w:hRule="atLeast"/>
                <w:jc w:val="center"/>
              </w:trPr>
              <w:tc>
                <w:tcPr>
                  <w:tcW w:w="2833" w:type="dxa"/>
                  <w:tcBorders>
                    <w:top w:val="single" w:color="auto" w:sz="4" w:space="0"/>
                    <w:left w:val="single" w:color="auto" w:sz="4" w:space="0"/>
                    <w:bottom w:val="single" w:color="auto" w:sz="4" w:space="0"/>
                    <w:right w:val="single" w:color="auto" w:sz="4" w:space="0"/>
                  </w:tcBorders>
                  <w:noWrap w:val="0"/>
                  <w:vAlign w:val="center"/>
                </w:tcPr>
                <w:p w14:paraId="3F4A80C9">
                  <w:pPr>
                    <w:keepNext w:val="0"/>
                    <w:keepLines w:val="0"/>
                    <w:pageBreakBefore w:val="0"/>
                    <w:widowControl/>
                    <w:kinsoku/>
                    <w:wordWrap/>
                    <w:overflowPunct/>
                    <w:topLinePunct w:val="0"/>
                    <w:autoSpaceDE/>
                    <w:autoSpaceDN/>
                    <w:bidi w:val="0"/>
                    <w:spacing w:line="360" w:lineRule="auto"/>
                    <w:jc w:val="center"/>
                    <w:textAlignment w:val="auto"/>
                    <w:outlineLvl w:val="9"/>
                    <w:rPr>
                      <w:rFonts w:ascii="宋体" w:hAnsi="宋体"/>
                      <w:b/>
                      <w:bCs/>
                      <w:color w:val="000000" w:themeColor="text1"/>
                      <w:kern w:val="0"/>
                      <w:highlight w:val="none"/>
                      <w14:textFill>
                        <w14:solidFill>
                          <w14:schemeClr w14:val="tx1"/>
                        </w14:solidFill>
                      </w14:textFill>
                    </w:rPr>
                  </w:pPr>
                  <w:r>
                    <w:rPr>
                      <w:rFonts w:hint="eastAsia" w:ascii="宋体" w:hAnsi="宋体"/>
                      <w:b/>
                      <w:bCs/>
                      <w:color w:val="000000" w:themeColor="text1"/>
                      <w:kern w:val="0"/>
                      <w:highlight w:val="none"/>
                      <w14:textFill>
                        <w14:solidFill>
                          <w14:schemeClr w14:val="tx1"/>
                        </w14:solidFill>
                      </w14:textFill>
                    </w:rPr>
                    <w:t>项目</w:t>
                  </w:r>
                </w:p>
              </w:tc>
              <w:tc>
                <w:tcPr>
                  <w:tcW w:w="3350" w:type="dxa"/>
                  <w:tcBorders>
                    <w:top w:val="single" w:color="auto" w:sz="4" w:space="0"/>
                    <w:left w:val="nil"/>
                    <w:bottom w:val="single" w:color="auto" w:sz="4" w:space="0"/>
                    <w:right w:val="single" w:color="auto" w:sz="4" w:space="0"/>
                  </w:tcBorders>
                  <w:noWrap w:val="0"/>
                  <w:vAlign w:val="center"/>
                </w:tcPr>
                <w:p w14:paraId="777B65A0">
                  <w:pPr>
                    <w:keepNext w:val="0"/>
                    <w:keepLines w:val="0"/>
                    <w:pageBreakBefore w:val="0"/>
                    <w:widowControl/>
                    <w:kinsoku/>
                    <w:wordWrap/>
                    <w:overflowPunct/>
                    <w:topLinePunct w:val="0"/>
                    <w:autoSpaceDE/>
                    <w:autoSpaceDN/>
                    <w:bidi w:val="0"/>
                    <w:spacing w:line="360" w:lineRule="auto"/>
                    <w:jc w:val="center"/>
                    <w:textAlignment w:val="auto"/>
                    <w:outlineLvl w:val="9"/>
                    <w:rPr>
                      <w:rFonts w:ascii="宋体" w:hAnsi="宋体"/>
                      <w:b/>
                      <w:bCs/>
                      <w:color w:val="000000" w:themeColor="text1"/>
                      <w:kern w:val="0"/>
                      <w:highlight w:val="none"/>
                      <w14:textFill>
                        <w14:solidFill>
                          <w14:schemeClr w14:val="tx1"/>
                        </w14:solidFill>
                      </w14:textFill>
                    </w:rPr>
                  </w:pPr>
                  <w:r>
                    <w:rPr>
                      <w:rFonts w:hint="eastAsia" w:ascii="宋体" w:hAnsi="宋体"/>
                      <w:b/>
                      <w:bCs/>
                      <w:color w:val="000000" w:themeColor="text1"/>
                      <w:kern w:val="0"/>
                      <w:highlight w:val="none"/>
                      <w14:textFill>
                        <w14:solidFill>
                          <w14:schemeClr w14:val="tx1"/>
                        </w14:solidFill>
                      </w14:textFill>
                    </w:rPr>
                    <w:t>指标（</w:t>
                  </w:r>
                  <w:r>
                    <w:rPr>
                      <w:rFonts w:hint="eastAsia" w:ascii="宋体" w:hAnsi="宋体"/>
                      <w:b/>
                      <w:bCs/>
                      <w:color w:val="000000" w:themeColor="text1"/>
                      <w:highlight w:val="none"/>
                      <w14:textFill>
                        <w14:solidFill>
                          <w14:schemeClr w14:val="tx1"/>
                        </w14:solidFill>
                      </w14:textFill>
                    </w:rPr>
                    <w:t>mg/kg</w:t>
                  </w:r>
                  <w:r>
                    <w:rPr>
                      <w:rFonts w:hint="eastAsia" w:ascii="宋体" w:hAnsi="宋体"/>
                      <w:b/>
                      <w:bCs/>
                      <w:color w:val="000000" w:themeColor="text1"/>
                      <w:kern w:val="0"/>
                      <w:highlight w:val="none"/>
                      <w14:textFill>
                        <w14:solidFill>
                          <w14:schemeClr w14:val="tx1"/>
                        </w14:solidFill>
                      </w14:textFill>
                    </w:rPr>
                    <w:t>）</w:t>
                  </w:r>
                </w:p>
              </w:tc>
            </w:tr>
            <w:tr w14:paraId="32192A5D">
              <w:tblPrEx>
                <w:tblCellMar>
                  <w:top w:w="0" w:type="dxa"/>
                  <w:left w:w="0" w:type="dxa"/>
                  <w:bottom w:w="0" w:type="dxa"/>
                  <w:right w:w="0" w:type="dxa"/>
                </w:tblCellMar>
              </w:tblPrEx>
              <w:trPr>
                <w:trHeight w:val="458" w:hRule="atLeast"/>
                <w:jc w:val="center"/>
              </w:trPr>
              <w:tc>
                <w:tcPr>
                  <w:tcW w:w="2833" w:type="dxa"/>
                  <w:tcBorders>
                    <w:top w:val="single" w:color="auto" w:sz="4" w:space="0"/>
                    <w:left w:val="single" w:color="auto" w:sz="4" w:space="0"/>
                    <w:bottom w:val="single" w:color="auto" w:sz="4" w:space="0"/>
                    <w:right w:val="single" w:color="auto" w:sz="4" w:space="0"/>
                  </w:tcBorders>
                  <w:noWrap w:val="0"/>
                  <w:vAlign w:val="top"/>
                </w:tcPr>
                <w:p w14:paraId="49C6A93C">
                  <w:pPr>
                    <w:keepNext w:val="0"/>
                    <w:keepLines w:val="0"/>
                    <w:pageBreakBefore w:val="0"/>
                    <w:widowControl/>
                    <w:kinsoku/>
                    <w:wordWrap/>
                    <w:overflowPunct/>
                    <w:topLinePunct w:val="0"/>
                    <w:autoSpaceDE/>
                    <w:autoSpaceDN/>
                    <w:bidi w:val="0"/>
                    <w:spacing w:line="360" w:lineRule="auto"/>
                    <w:jc w:val="center"/>
                    <w:textAlignment w:val="auto"/>
                    <w:outlineLvl w:val="9"/>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甲胺磷</w:t>
                  </w:r>
                </w:p>
              </w:tc>
              <w:tc>
                <w:tcPr>
                  <w:tcW w:w="3350" w:type="dxa"/>
                  <w:tcBorders>
                    <w:top w:val="single" w:color="auto" w:sz="4" w:space="0"/>
                    <w:left w:val="nil"/>
                    <w:bottom w:val="single" w:color="auto" w:sz="4" w:space="0"/>
                    <w:right w:val="single" w:color="auto" w:sz="4" w:space="0"/>
                  </w:tcBorders>
                  <w:noWrap w:val="0"/>
                  <w:vAlign w:val="center"/>
                </w:tcPr>
                <w:p w14:paraId="49C404EA">
                  <w:pPr>
                    <w:keepNext w:val="0"/>
                    <w:keepLines w:val="0"/>
                    <w:pageBreakBefore w:val="0"/>
                    <w:widowControl/>
                    <w:kinsoku/>
                    <w:wordWrap/>
                    <w:overflowPunct/>
                    <w:topLinePunct w:val="0"/>
                    <w:autoSpaceDE/>
                    <w:autoSpaceDN/>
                    <w:bidi w:val="0"/>
                    <w:spacing w:line="360" w:lineRule="auto"/>
                    <w:jc w:val="center"/>
                    <w:textAlignment w:val="auto"/>
                    <w:outlineLvl w:val="9"/>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不得检出</w:t>
                  </w:r>
                </w:p>
              </w:tc>
            </w:tr>
            <w:tr w14:paraId="131F4E81">
              <w:tblPrEx>
                <w:tblCellMar>
                  <w:top w:w="0" w:type="dxa"/>
                  <w:left w:w="0" w:type="dxa"/>
                  <w:bottom w:w="0" w:type="dxa"/>
                  <w:right w:w="0" w:type="dxa"/>
                </w:tblCellMar>
              </w:tblPrEx>
              <w:trPr>
                <w:trHeight w:val="458" w:hRule="atLeast"/>
                <w:jc w:val="center"/>
              </w:trPr>
              <w:tc>
                <w:tcPr>
                  <w:tcW w:w="2833" w:type="dxa"/>
                  <w:tcBorders>
                    <w:top w:val="single" w:color="auto" w:sz="4" w:space="0"/>
                    <w:left w:val="single" w:color="auto" w:sz="4" w:space="0"/>
                    <w:bottom w:val="single" w:color="auto" w:sz="4" w:space="0"/>
                    <w:right w:val="single" w:color="auto" w:sz="4" w:space="0"/>
                  </w:tcBorders>
                  <w:noWrap w:val="0"/>
                  <w:vAlign w:val="top"/>
                </w:tcPr>
                <w:p w14:paraId="128C9FDF">
                  <w:pPr>
                    <w:keepNext w:val="0"/>
                    <w:keepLines w:val="0"/>
                    <w:pageBreakBefore w:val="0"/>
                    <w:widowControl/>
                    <w:kinsoku/>
                    <w:wordWrap/>
                    <w:overflowPunct/>
                    <w:topLinePunct w:val="0"/>
                    <w:autoSpaceDE/>
                    <w:autoSpaceDN/>
                    <w:bidi w:val="0"/>
                    <w:spacing w:line="360" w:lineRule="auto"/>
                    <w:jc w:val="center"/>
                    <w:textAlignment w:val="auto"/>
                    <w:outlineLvl w:val="9"/>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甲拌磷</w:t>
                  </w:r>
                </w:p>
              </w:tc>
              <w:tc>
                <w:tcPr>
                  <w:tcW w:w="3350" w:type="dxa"/>
                  <w:tcBorders>
                    <w:top w:val="single" w:color="auto" w:sz="4" w:space="0"/>
                    <w:left w:val="nil"/>
                    <w:bottom w:val="single" w:color="auto" w:sz="4" w:space="0"/>
                    <w:right w:val="single" w:color="auto" w:sz="4" w:space="0"/>
                  </w:tcBorders>
                  <w:noWrap w:val="0"/>
                  <w:vAlign w:val="center"/>
                </w:tcPr>
                <w:p w14:paraId="0BE531B7">
                  <w:pPr>
                    <w:keepNext w:val="0"/>
                    <w:keepLines w:val="0"/>
                    <w:pageBreakBefore w:val="0"/>
                    <w:widowControl/>
                    <w:kinsoku/>
                    <w:wordWrap/>
                    <w:overflowPunct/>
                    <w:topLinePunct w:val="0"/>
                    <w:autoSpaceDE/>
                    <w:autoSpaceDN/>
                    <w:bidi w:val="0"/>
                    <w:spacing w:line="360" w:lineRule="auto"/>
                    <w:jc w:val="center"/>
                    <w:textAlignment w:val="auto"/>
                    <w:outlineLvl w:val="9"/>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不得检出</w:t>
                  </w:r>
                </w:p>
              </w:tc>
            </w:tr>
            <w:tr w14:paraId="20889A5E">
              <w:tblPrEx>
                <w:tblCellMar>
                  <w:top w:w="0" w:type="dxa"/>
                  <w:left w:w="0" w:type="dxa"/>
                  <w:bottom w:w="0" w:type="dxa"/>
                  <w:right w:w="0" w:type="dxa"/>
                </w:tblCellMar>
              </w:tblPrEx>
              <w:trPr>
                <w:trHeight w:val="458" w:hRule="atLeast"/>
                <w:jc w:val="center"/>
              </w:trPr>
              <w:tc>
                <w:tcPr>
                  <w:tcW w:w="2833" w:type="dxa"/>
                  <w:tcBorders>
                    <w:top w:val="single" w:color="auto" w:sz="4" w:space="0"/>
                    <w:left w:val="single" w:color="auto" w:sz="4" w:space="0"/>
                    <w:bottom w:val="single" w:color="auto" w:sz="4" w:space="0"/>
                    <w:right w:val="single" w:color="auto" w:sz="4" w:space="0"/>
                  </w:tcBorders>
                  <w:noWrap w:val="0"/>
                  <w:vAlign w:val="top"/>
                </w:tcPr>
                <w:p w14:paraId="7809E475">
                  <w:pPr>
                    <w:keepNext w:val="0"/>
                    <w:keepLines w:val="0"/>
                    <w:pageBreakBefore w:val="0"/>
                    <w:widowControl/>
                    <w:kinsoku/>
                    <w:wordWrap/>
                    <w:overflowPunct/>
                    <w:topLinePunct w:val="0"/>
                    <w:autoSpaceDE/>
                    <w:autoSpaceDN/>
                    <w:bidi w:val="0"/>
                    <w:spacing w:line="360" w:lineRule="auto"/>
                    <w:jc w:val="center"/>
                    <w:textAlignment w:val="auto"/>
                    <w:outlineLvl w:val="9"/>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氧化乐果</w:t>
                  </w:r>
                </w:p>
              </w:tc>
              <w:tc>
                <w:tcPr>
                  <w:tcW w:w="3350" w:type="dxa"/>
                  <w:tcBorders>
                    <w:top w:val="single" w:color="auto" w:sz="4" w:space="0"/>
                    <w:left w:val="nil"/>
                    <w:bottom w:val="single" w:color="auto" w:sz="4" w:space="0"/>
                    <w:right w:val="single" w:color="auto" w:sz="4" w:space="0"/>
                  </w:tcBorders>
                  <w:noWrap w:val="0"/>
                  <w:vAlign w:val="center"/>
                </w:tcPr>
                <w:p w14:paraId="5B6D5015">
                  <w:pPr>
                    <w:keepNext w:val="0"/>
                    <w:keepLines w:val="0"/>
                    <w:pageBreakBefore w:val="0"/>
                    <w:widowControl/>
                    <w:kinsoku/>
                    <w:wordWrap/>
                    <w:overflowPunct/>
                    <w:topLinePunct w:val="0"/>
                    <w:autoSpaceDE/>
                    <w:autoSpaceDN/>
                    <w:bidi w:val="0"/>
                    <w:spacing w:line="360" w:lineRule="auto"/>
                    <w:jc w:val="center"/>
                    <w:textAlignment w:val="auto"/>
                    <w:outlineLvl w:val="9"/>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不得检出</w:t>
                  </w:r>
                </w:p>
              </w:tc>
            </w:tr>
            <w:tr w14:paraId="1ADCFDA5">
              <w:tblPrEx>
                <w:tblCellMar>
                  <w:top w:w="0" w:type="dxa"/>
                  <w:left w:w="0" w:type="dxa"/>
                  <w:bottom w:w="0" w:type="dxa"/>
                  <w:right w:w="0" w:type="dxa"/>
                </w:tblCellMar>
              </w:tblPrEx>
              <w:trPr>
                <w:trHeight w:val="458" w:hRule="atLeast"/>
                <w:jc w:val="center"/>
              </w:trPr>
              <w:tc>
                <w:tcPr>
                  <w:tcW w:w="2833" w:type="dxa"/>
                  <w:tcBorders>
                    <w:top w:val="single" w:color="auto" w:sz="4" w:space="0"/>
                    <w:left w:val="single" w:color="auto" w:sz="4" w:space="0"/>
                    <w:bottom w:val="single" w:color="auto" w:sz="4" w:space="0"/>
                    <w:right w:val="single" w:color="auto" w:sz="4" w:space="0"/>
                  </w:tcBorders>
                  <w:noWrap w:val="0"/>
                  <w:vAlign w:val="top"/>
                </w:tcPr>
                <w:p w14:paraId="71CD80F5">
                  <w:pPr>
                    <w:keepNext w:val="0"/>
                    <w:keepLines w:val="0"/>
                    <w:pageBreakBefore w:val="0"/>
                    <w:widowControl/>
                    <w:kinsoku/>
                    <w:wordWrap/>
                    <w:overflowPunct/>
                    <w:topLinePunct w:val="0"/>
                    <w:autoSpaceDE/>
                    <w:autoSpaceDN/>
                    <w:bidi w:val="0"/>
                    <w:spacing w:line="360" w:lineRule="auto"/>
                    <w:jc w:val="center"/>
                    <w:textAlignment w:val="auto"/>
                    <w:outlineLvl w:val="9"/>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甲基对硫磷</w:t>
                  </w:r>
                </w:p>
              </w:tc>
              <w:tc>
                <w:tcPr>
                  <w:tcW w:w="3350" w:type="dxa"/>
                  <w:tcBorders>
                    <w:top w:val="single" w:color="auto" w:sz="4" w:space="0"/>
                    <w:left w:val="nil"/>
                    <w:bottom w:val="single" w:color="auto" w:sz="4" w:space="0"/>
                    <w:right w:val="single" w:color="auto" w:sz="4" w:space="0"/>
                  </w:tcBorders>
                  <w:noWrap w:val="0"/>
                  <w:vAlign w:val="center"/>
                </w:tcPr>
                <w:p w14:paraId="31E2E284">
                  <w:pPr>
                    <w:keepNext w:val="0"/>
                    <w:keepLines w:val="0"/>
                    <w:pageBreakBefore w:val="0"/>
                    <w:widowControl/>
                    <w:kinsoku/>
                    <w:wordWrap/>
                    <w:overflowPunct/>
                    <w:topLinePunct w:val="0"/>
                    <w:autoSpaceDE/>
                    <w:autoSpaceDN/>
                    <w:bidi w:val="0"/>
                    <w:spacing w:line="360" w:lineRule="auto"/>
                    <w:jc w:val="center"/>
                    <w:textAlignment w:val="auto"/>
                    <w:outlineLvl w:val="9"/>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不得检出</w:t>
                  </w:r>
                </w:p>
              </w:tc>
            </w:tr>
            <w:tr w14:paraId="1C80D323">
              <w:tblPrEx>
                <w:tblCellMar>
                  <w:top w:w="0" w:type="dxa"/>
                  <w:left w:w="0" w:type="dxa"/>
                  <w:bottom w:w="0" w:type="dxa"/>
                  <w:right w:w="0" w:type="dxa"/>
                </w:tblCellMar>
              </w:tblPrEx>
              <w:trPr>
                <w:trHeight w:val="443" w:hRule="atLeast"/>
                <w:jc w:val="center"/>
              </w:trPr>
              <w:tc>
                <w:tcPr>
                  <w:tcW w:w="2833" w:type="dxa"/>
                  <w:tcBorders>
                    <w:top w:val="single" w:color="auto" w:sz="4" w:space="0"/>
                    <w:left w:val="single" w:color="auto" w:sz="4" w:space="0"/>
                    <w:bottom w:val="single" w:color="auto" w:sz="4" w:space="0"/>
                    <w:right w:val="single" w:color="auto" w:sz="4" w:space="0"/>
                  </w:tcBorders>
                  <w:noWrap w:val="0"/>
                  <w:vAlign w:val="top"/>
                </w:tcPr>
                <w:p w14:paraId="4FCFB5E7">
                  <w:pPr>
                    <w:keepNext w:val="0"/>
                    <w:keepLines w:val="0"/>
                    <w:pageBreakBefore w:val="0"/>
                    <w:widowControl/>
                    <w:kinsoku/>
                    <w:wordWrap/>
                    <w:overflowPunct/>
                    <w:topLinePunct w:val="0"/>
                    <w:autoSpaceDE/>
                    <w:autoSpaceDN/>
                    <w:bidi w:val="0"/>
                    <w:spacing w:line="360" w:lineRule="auto"/>
                    <w:jc w:val="center"/>
                    <w:textAlignment w:val="auto"/>
                    <w:outlineLvl w:val="9"/>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呋喃丹</w:t>
                  </w:r>
                </w:p>
              </w:tc>
              <w:tc>
                <w:tcPr>
                  <w:tcW w:w="3350" w:type="dxa"/>
                  <w:tcBorders>
                    <w:top w:val="single" w:color="auto" w:sz="4" w:space="0"/>
                    <w:left w:val="nil"/>
                    <w:bottom w:val="single" w:color="auto" w:sz="4" w:space="0"/>
                    <w:right w:val="single" w:color="auto" w:sz="4" w:space="0"/>
                  </w:tcBorders>
                  <w:noWrap w:val="0"/>
                  <w:vAlign w:val="center"/>
                </w:tcPr>
                <w:p w14:paraId="4503D019">
                  <w:pPr>
                    <w:keepNext w:val="0"/>
                    <w:keepLines w:val="0"/>
                    <w:pageBreakBefore w:val="0"/>
                    <w:widowControl/>
                    <w:kinsoku/>
                    <w:wordWrap/>
                    <w:overflowPunct/>
                    <w:topLinePunct w:val="0"/>
                    <w:autoSpaceDE/>
                    <w:autoSpaceDN/>
                    <w:bidi w:val="0"/>
                    <w:spacing w:line="360" w:lineRule="auto"/>
                    <w:jc w:val="center"/>
                    <w:textAlignment w:val="auto"/>
                    <w:outlineLvl w:val="9"/>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不得检出</w:t>
                  </w:r>
                </w:p>
              </w:tc>
            </w:tr>
            <w:tr w14:paraId="3178C94B">
              <w:tblPrEx>
                <w:tblCellMar>
                  <w:top w:w="0" w:type="dxa"/>
                  <w:left w:w="0" w:type="dxa"/>
                  <w:bottom w:w="0" w:type="dxa"/>
                  <w:right w:w="0" w:type="dxa"/>
                </w:tblCellMar>
              </w:tblPrEx>
              <w:trPr>
                <w:trHeight w:val="458" w:hRule="atLeast"/>
                <w:jc w:val="center"/>
              </w:trPr>
              <w:tc>
                <w:tcPr>
                  <w:tcW w:w="2833" w:type="dxa"/>
                  <w:tcBorders>
                    <w:top w:val="single" w:color="auto" w:sz="4" w:space="0"/>
                    <w:left w:val="single" w:color="auto" w:sz="4" w:space="0"/>
                    <w:bottom w:val="single" w:color="auto" w:sz="4" w:space="0"/>
                    <w:right w:val="single" w:color="auto" w:sz="4" w:space="0"/>
                  </w:tcBorders>
                  <w:noWrap w:val="0"/>
                  <w:vAlign w:val="top"/>
                </w:tcPr>
                <w:p w14:paraId="2BEB698A">
                  <w:pPr>
                    <w:keepNext w:val="0"/>
                    <w:keepLines w:val="0"/>
                    <w:pageBreakBefore w:val="0"/>
                    <w:widowControl/>
                    <w:kinsoku/>
                    <w:wordWrap/>
                    <w:overflowPunct/>
                    <w:topLinePunct w:val="0"/>
                    <w:autoSpaceDE/>
                    <w:autoSpaceDN/>
                    <w:bidi w:val="0"/>
                    <w:spacing w:line="360" w:lineRule="auto"/>
                    <w:jc w:val="center"/>
                    <w:textAlignment w:val="auto"/>
                    <w:outlineLvl w:val="9"/>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百菌清</w:t>
                  </w:r>
                </w:p>
              </w:tc>
              <w:tc>
                <w:tcPr>
                  <w:tcW w:w="3350" w:type="dxa"/>
                  <w:tcBorders>
                    <w:top w:val="single" w:color="auto" w:sz="4" w:space="0"/>
                    <w:left w:val="nil"/>
                    <w:bottom w:val="single" w:color="auto" w:sz="4" w:space="0"/>
                    <w:right w:val="single" w:color="auto" w:sz="4" w:space="0"/>
                  </w:tcBorders>
                  <w:noWrap w:val="0"/>
                  <w:vAlign w:val="center"/>
                </w:tcPr>
                <w:p w14:paraId="653C198F">
                  <w:pPr>
                    <w:keepNext w:val="0"/>
                    <w:keepLines w:val="0"/>
                    <w:pageBreakBefore w:val="0"/>
                    <w:widowControl/>
                    <w:kinsoku/>
                    <w:wordWrap/>
                    <w:overflowPunct/>
                    <w:topLinePunct w:val="0"/>
                    <w:autoSpaceDE/>
                    <w:autoSpaceDN/>
                    <w:bidi w:val="0"/>
                    <w:spacing w:line="360" w:lineRule="auto"/>
                    <w:jc w:val="center"/>
                    <w:textAlignment w:val="auto"/>
                    <w:outlineLvl w:val="9"/>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≤1.0</w:t>
                  </w:r>
                </w:p>
              </w:tc>
            </w:tr>
            <w:tr w14:paraId="1863C5A7">
              <w:tblPrEx>
                <w:tblCellMar>
                  <w:top w:w="0" w:type="dxa"/>
                  <w:left w:w="0" w:type="dxa"/>
                  <w:bottom w:w="0" w:type="dxa"/>
                  <w:right w:w="0" w:type="dxa"/>
                </w:tblCellMar>
              </w:tblPrEx>
              <w:trPr>
                <w:trHeight w:val="458" w:hRule="atLeast"/>
                <w:jc w:val="center"/>
              </w:trPr>
              <w:tc>
                <w:tcPr>
                  <w:tcW w:w="2833" w:type="dxa"/>
                  <w:tcBorders>
                    <w:top w:val="single" w:color="auto" w:sz="4" w:space="0"/>
                    <w:left w:val="single" w:color="auto" w:sz="4" w:space="0"/>
                    <w:bottom w:val="single" w:color="auto" w:sz="4" w:space="0"/>
                    <w:right w:val="single" w:color="auto" w:sz="4" w:space="0"/>
                  </w:tcBorders>
                  <w:noWrap w:val="0"/>
                  <w:vAlign w:val="top"/>
                </w:tcPr>
                <w:p w14:paraId="387471A5">
                  <w:pPr>
                    <w:keepNext w:val="0"/>
                    <w:keepLines w:val="0"/>
                    <w:pageBreakBefore w:val="0"/>
                    <w:widowControl/>
                    <w:kinsoku/>
                    <w:wordWrap/>
                    <w:overflowPunct/>
                    <w:topLinePunct w:val="0"/>
                    <w:autoSpaceDE/>
                    <w:autoSpaceDN/>
                    <w:bidi w:val="0"/>
                    <w:spacing w:line="360" w:lineRule="auto"/>
                    <w:jc w:val="center"/>
                    <w:textAlignment w:val="auto"/>
                    <w:outlineLvl w:val="9"/>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多菌灵</w:t>
                  </w:r>
                </w:p>
              </w:tc>
              <w:tc>
                <w:tcPr>
                  <w:tcW w:w="3350" w:type="dxa"/>
                  <w:tcBorders>
                    <w:top w:val="single" w:color="auto" w:sz="4" w:space="0"/>
                    <w:left w:val="nil"/>
                    <w:bottom w:val="single" w:color="auto" w:sz="4" w:space="0"/>
                    <w:right w:val="single" w:color="auto" w:sz="4" w:space="0"/>
                  </w:tcBorders>
                  <w:noWrap w:val="0"/>
                  <w:vAlign w:val="center"/>
                </w:tcPr>
                <w:p w14:paraId="68FFFC04">
                  <w:pPr>
                    <w:keepNext w:val="0"/>
                    <w:keepLines w:val="0"/>
                    <w:pageBreakBefore w:val="0"/>
                    <w:widowControl/>
                    <w:kinsoku/>
                    <w:wordWrap/>
                    <w:overflowPunct/>
                    <w:topLinePunct w:val="0"/>
                    <w:autoSpaceDE/>
                    <w:autoSpaceDN/>
                    <w:bidi w:val="0"/>
                    <w:spacing w:line="360" w:lineRule="auto"/>
                    <w:jc w:val="center"/>
                    <w:textAlignment w:val="auto"/>
                    <w:outlineLvl w:val="9"/>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≤0.5</w:t>
                  </w:r>
                </w:p>
              </w:tc>
            </w:tr>
            <w:tr w14:paraId="1F9EA768">
              <w:tblPrEx>
                <w:tblCellMar>
                  <w:top w:w="0" w:type="dxa"/>
                  <w:left w:w="0" w:type="dxa"/>
                  <w:bottom w:w="0" w:type="dxa"/>
                  <w:right w:w="0" w:type="dxa"/>
                </w:tblCellMar>
              </w:tblPrEx>
              <w:trPr>
                <w:trHeight w:val="458" w:hRule="atLeast"/>
                <w:jc w:val="center"/>
              </w:trPr>
              <w:tc>
                <w:tcPr>
                  <w:tcW w:w="2833" w:type="dxa"/>
                  <w:tcBorders>
                    <w:top w:val="single" w:color="auto" w:sz="4" w:space="0"/>
                    <w:left w:val="single" w:color="auto" w:sz="4" w:space="0"/>
                    <w:bottom w:val="single" w:color="auto" w:sz="4" w:space="0"/>
                    <w:right w:val="single" w:color="auto" w:sz="4" w:space="0"/>
                  </w:tcBorders>
                  <w:noWrap w:val="0"/>
                  <w:vAlign w:val="top"/>
                </w:tcPr>
                <w:p w14:paraId="517789CA">
                  <w:pPr>
                    <w:keepNext w:val="0"/>
                    <w:keepLines w:val="0"/>
                    <w:pageBreakBefore w:val="0"/>
                    <w:widowControl/>
                    <w:kinsoku/>
                    <w:wordWrap/>
                    <w:overflowPunct/>
                    <w:topLinePunct w:val="0"/>
                    <w:autoSpaceDE/>
                    <w:autoSpaceDN/>
                    <w:bidi w:val="0"/>
                    <w:spacing w:line="360" w:lineRule="auto"/>
                    <w:jc w:val="center"/>
                    <w:textAlignment w:val="auto"/>
                    <w:outlineLvl w:val="9"/>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汞（以Hg计）</w:t>
                  </w:r>
                </w:p>
              </w:tc>
              <w:tc>
                <w:tcPr>
                  <w:tcW w:w="3350" w:type="dxa"/>
                  <w:tcBorders>
                    <w:top w:val="single" w:color="auto" w:sz="4" w:space="0"/>
                    <w:left w:val="nil"/>
                    <w:bottom w:val="single" w:color="auto" w:sz="4" w:space="0"/>
                    <w:right w:val="single" w:color="auto" w:sz="4" w:space="0"/>
                  </w:tcBorders>
                  <w:noWrap w:val="0"/>
                  <w:vAlign w:val="center"/>
                </w:tcPr>
                <w:p w14:paraId="152B8425">
                  <w:pPr>
                    <w:keepNext w:val="0"/>
                    <w:keepLines w:val="0"/>
                    <w:pageBreakBefore w:val="0"/>
                    <w:widowControl/>
                    <w:kinsoku/>
                    <w:wordWrap/>
                    <w:overflowPunct/>
                    <w:topLinePunct w:val="0"/>
                    <w:autoSpaceDE/>
                    <w:autoSpaceDN/>
                    <w:bidi w:val="0"/>
                    <w:spacing w:line="360" w:lineRule="auto"/>
                    <w:jc w:val="center"/>
                    <w:textAlignment w:val="auto"/>
                    <w:outlineLvl w:val="9"/>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≤0.01</w:t>
                  </w:r>
                </w:p>
              </w:tc>
            </w:tr>
            <w:tr w14:paraId="79A8FDDE">
              <w:tblPrEx>
                <w:tblCellMar>
                  <w:top w:w="0" w:type="dxa"/>
                  <w:left w:w="0" w:type="dxa"/>
                  <w:bottom w:w="0" w:type="dxa"/>
                  <w:right w:w="0" w:type="dxa"/>
                </w:tblCellMar>
              </w:tblPrEx>
              <w:trPr>
                <w:trHeight w:val="458" w:hRule="atLeast"/>
                <w:jc w:val="center"/>
              </w:trPr>
              <w:tc>
                <w:tcPr>
                  <w:tcW w:w="2833" w:type="dxa"/>
                  <w:tcBorders>
                    <w:top w:val="single" w:color="auto" w:sz="4" w:space="0"/>
                    <w:left w:val="single" w:color="auto" w:sz="4" w:space="0"/>
                    <w:bottom w:val="single" w:color="auto" w:sz="4" w:space="0"/>
                    <w:right w:val="single" w:color="auto" w:sz="4" w:space="0"/>
                  </w:tcBorders>
                  <w:noWrap w:val="0"/>
                  <w:vAlign w:val="top"/>
                </w:tcPr>
                <w:p w14:paraId="269218D7">
                  <w:pPr>
                    <w:keepNext w:val="0"/>
                    <w:keepLines w:val="0"/>
                    <w:pageBreakBefore w:val="0"/>
                    <w:widowControl/>
                    <w:kinsoku/>
                    <w:wordWrap/>
                    <w:overflowPunct/>
                    <w:topLinePunct w:val="0"/>
                    <w:autoSpaceDE/>
                    <w:autoSpaceDN/>
                    <w:bidi w:val="0"/>
                    <w:spacing w:line="360" w:lineRule="auto"/>
                    <w:jc w:val="center"/>
                    <w:textAlignment w:val="auto"/>
                    <w:outlineLvl w:val="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铅（以Pb计）</w:t>
                  </w:r>
                </w:p>
              </w:tc>
              <w:tc>
                <w:tcPr>
                  <w:tcW w:w="3350" w:type="dxa"/>
                  <w:tcBorders>
                    <w:top w:val="single" w:color="auto" w:sz="4" w:space="0"/>
                    <w:left w:val="nil"/>
                    <w:bottom w:val="single" w:color="auto" w:sz="4" w:space="0"/>
                    <w:right w:val="single" w:color="auto" w:sz="4" w:space="0"/>
                  </w:tcBorders>
                  <w:noWrap w:val="0"/>
                  <w:vAlign w:val="center"/>
                </w:tcPr>
                <w:p w14:paraId="4A76032F">
                  <w:pPr>
                    <w:keepNext w:val="0"/>
                    <w:keepLines w:val="0"/>
                    <w:pageBreakBefore w:val="0"/>
                    <w:widowControl/>
                    <w:kinsoku/>
                    <w:wordWrap/>
                    <w:overflowPunct/>
                    <w:topLinePunct w:val="0"/>
                    <w:autoSpaceDE/>
                    <w:autoSpaceDN/>
                    <w:bidi w:val="0"/>
                    <w:spacing w:line="360" w:lineRule="auto"/>
                    <w:jc w:val="center"/>
                    <w:textAlignment w:val="auto"/>
                    <w:outlineLvl w:val="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≤0.2</w:t>
                  </w:r>
                </w:p>
              </w:tc>
            </w:tr>
            <w:tr w14:paraId="3296DCEE">
              <w:tblPrEx>
                <w:tblCellMar>
                  <w:top w:w="0" w:type="dxa"/>
                  <w:left w:w="0" w:type="dxa"/>
                  <w:bottom w:w="0" w:type="dxa"/>
                  <w:right w:w="0" w:type="dxa"/>
                </w:tblCellMar>
              </w:tblPrEx>
              <w:trPr>
                <w:trHeight w:val="458" w:hRule="atLeast"/>
                <w:jc w:val="center"/>
              </w:trPr>
              <w:tc>
                <w:tcPr>
                  <w:tcW w:w="2833" w:type="dxa"/>
                  <w:tcBorders>
                    <w:top w:val="single" w:color="auto" w:sz="4" w:space="0"/>
                    <w:left w:val="single" w:color="auto" w:sz="4" w:space="0"/>
                    <w:bottom w:val="single" w:color="auto" w:sz="4" w:space="0"/>
                    <w:right w:val="single" w:color="auto" w:sz="4" w:space="0"/>
                  </w:tcBorders>
                  <w:noWrap w:val="0"/>
                  <w:vAlign w:val="top"/>
                </w:tcPr>
                <w:p w14:paraId="728DDC45">
                  <w:pPr>
                    <w:keepNext w:val="0"/>
                    <w:keepLines w:val="0"/>
                    <w:pageBreakBefore w:val="0"/>
                    <w:widowControl/>
                    <w:kinsoku/>
                    <w:wordWrap/>
                    <w:overflowPunct/>
                    <w:topLinePunct w:val="0"/>
                    <w:autoSpaceDE/>
                    <w:autoSpaceDN/>
                    <w:bidi w:val="0"/>
                    <w:spacing w:line="360" w:lineRule="auto"/>
                    <w:jc w:val="center"/>
                    <w:textAlignment w:val="auto"/>
                    <w:outlineLvl w:val="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砷（以As计）</w:t>
                  </w:r>
                </w:p>
              </w:tc>
              <w:tc>
                <w:tcPr>
                  <w:tcW w:w="3350" w:type="dxa"/>
                  <w:tcBorders>
                    <w:top w:val="single" w:color="auto" w:sz="4" w:space="0"/>
                    <w:left w:val="nil"/>
                    <w:bottom w:val="single" w:color="auto" w:sz="4" w:space="0"/>
                    <w:right w:val="single" w:color="auto" w:sz="4" w:space="0"/>
                  </w:tcBorders>
                  <w:noWrap w:val="0"/>
                  <w:vAlign w:val="center"/>
                </w:tcPr>
                <w:p w14:paraId="0F892D07">
                  <w:pPr>
                    <w:keepNext w:val="0"/>
                    <w:keepLines w:val="0"/>
                    <w:pageBreakBefore w:val="0"/>
                    <w:widowControl/>
                    <w:kinsoku/>
                    <w:wordWrap/>
                    <w:overflowPunct/>
                    <w:topLinePunct w:val="0"/>
                    <w:autoSpaceDE/>
                    <w:autoSpaceDN/>
                    <w:bidi w:val="0"/>
                    <w:spacing w:line="360" w:lineRule="auto"/>
                    <w:jc w:val="center"/>
                    <w:textAlignment w:val="auto"/>
                    <w:outlineLvl w:val="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≤0.5</w:t>
                  </w:r>
                </w:p>
              </w:tc>
            </w:tr>
            <w:tr w14:paraId="63E946D1">
              <w:tblPrEx>
                <w:tblCellMar>
                  <w:top w:w="0" w:type="dxa"/>
                  <w:left w:w="0" w:type="dxa"/>
                  <w:bottom w:w="0" w:type="dxa"/>
                  <w:right w:w="0" w:type="dxa"/>
                </w:tblCellMar>
              </w:tblPrEx>
              <w:trPr>
                <w:trHeight w:val="458" w:hRule="atLeast"/>
                <w:jc w:val="center"/>
              </w:trPr>
              <w:tc>
                <w:tcPr>
                  <w:tcW w:w="2833" w:type="dxa"/>
                  <w:tcBorders>
                    <w:top w:val="single" w:color="auto" w:sz="4" w:space="0"/>
                    <w:left w:val="single" w:color="auto" w:sz="4" w:space="0"/>
                    <w:bottom w:val="single" w:color="auto" w:sz="4" w:space="0"/>
                    <w:right w:val="single" w:color="auto" w:sz="4" w:space="0"/>
                  </w:tcBorders>
                  <w:noWrap w:val="0"/>
                  <w:vAlign w:val="top"/>
                </w:tcPr>
                <w:p w14:paraId="766C50E7">
                  <w:pPr>
                    <w:keepNext w:val="0"/>
                    <w:keepLines w:val="0"/>
                    <w:pageBreakBefore w:val="0"/>
                    <w:widowControl/>
                    <w:kinsoku/>
                    <w:wordWrap/>
                    <w:overflowPunct/>
                    <w:topLinePunct w:val="0"/>
                    <w:autoSpaceDE/>
                    <w:autoSpaceDN/>
                    <w:bidi w:val="0"/>
                    <w:spacing w:line="360" w:lineRule="auto"/>
                    <w:jc w:val="center"/>
                    <w:textAlignment w:val="auto"/>
                    <w:outlineLvl w:val="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氟（以F计）</w:t>
                  </w:r>
                </w:p>
              </w:tc>
              <w:tc>
                <w:tcPr>
                  <w:tcW w:w="3350" w:type="dxa"/>
                  <w:tcBorders>
                    <w:top w:val="single" w:color="auto" w:sz="4" w:space="0"/>
                    <w:left w:val="nil"/>
                    <w:bottom w:val="single" w:color="auto" w:sz="4" w:space="0"/>
                    <w:right w:val="single" w:color="auto" w:sz="4" w:space="0"/>
                  </w:tcBorders>
                  <w:noWrap w:val="0"/>
                  <w:vAlign w:val="center"/>
                </w:tcPr>
                <w:p w14:paraId="51C27C15">
                  <w:pPr>
                    <w:keepNext w:val="0"/>
                    <w:keepLines w:val="0"/>
                    <w:pageBreakBefore w:val="0"/>
                    <w:widowControl/>
                    <w:kinsoku/>
                    <w:wordWrap/>
                    <w:overflowPunct/>
                    <w:topLinePunct w:val="0"/>
                    <w:autoSpaceDE/>
                    <w:autoSpaceDN/>
                    <w:bidi w:val="0"/>
                    <w:spacing w:line="360" w:lineRule="auto"/>
                    <w:jc w:val="center"/>
                    <w:textAlignment w:val="auto"/>
                    <w:outlineLvl w:val="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≤0.5</w:t>
                  </w:r>
                </w:p>
              </w:tc>
            </w:tr>
            <w:tr w14:paraId="2A487B37">
              <w:tblPrEx>
                <w:tblCellMar>
                  <w:top w:w="0" w:type="dxa"/>
                  <w:left w:w="0" w:type="dxa"/>
                  <w:bottom w:w="0" w:type="dxa"/>
                  <w:right w:w="0" w:type="dxa"/>
                </w:tblCellMar>
              </w:tblPrEx>
              <w:trPr>
                <w:trHeight w:val="458" w:hRule="atLeast"/>
                <w:jc w:val="center"/>
              </w:trPr>
              <w:tc>
                <w:tcPr>
                  <w:tcW w:w="2833" w:type="dxa"/>
                  <w:tcBorders>
                    <w:top w:val="single" w:color="auto" w:sz="4" w:space="0"/>
                    <w:left w:val="single" w:color="auto" w:sz="4" w:space="0"/>
                    <w:bottom w:val="single" w:color="auto" w:sz="4" w:space="0"/>
                    <w:right w:val="single" w:color="auto" w:sz="4" w:space="0"/>
                  </w:tcBorders>
                  <w:noWrap w:val="0"/>
                  <w:vAlign w:val="top"/>
                </w:tcPr>
                <w:p w14:paraId="3607D90C">
                  <w:pPr>
                    <w:keepNext w:val="0"/>
                    <w:keepLines w:val="0"/>
                    <w:pageBreakBefore w:val="0"/>
                    <w:widowControl/>
                    <w:kinsoku/>
                    <w:wordWrap/>
                    <w:overflowPunct/>
                    <w:topLinePunct w:val="0"/>
                    <w:autoSpaceDE/>
                    <w:autoSpaceDN/>
                    <w:bidi w:val="0"/>
                    <w:spacing w:line="360" w:lineRule="auto"/>
                    <w:jc w:val="center"/>
                    <w:textAlignment w:val="auto"/>
                    <w:outlineLvl w:val="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硝酸盐（以NaNO3计）</w:t>
                  </w:r>
                </w:p>
              </w:tc>
              <w:tc>
                <w:tcPr>
                  <w:tcW w:w="3350" w:type="dxa"/>
                  <w:tcBorders>
                    <w:top w:val="single" w:color="auto" w:sz="4" w:space="0"/>
                    <w:left w:val="nil"/>
                    <w:bottom w:val="single" w:color="auto" w:sz="4" w:space="0"/>
                    <w:right w:val="single" w:color="auto" w:sz="4" w:space="0"/>
                  </w:tcBorders>
                  <w:noWrap w:val="0"/>
                  <w:vAlign w:val="center"/>
                </w:tcPr>
                <w:p w14:paraId="072E6888">
                  <w:pPr>
                    <w:keepNext w:val="0"/>
                    <w:keepLines w:val="0"/>
                    <w:pageBreakBefore w:val="0"/>
                    <w:widowControl/>
                    <w:kinsoku/>
                    <w:wordWrap/>
                    <w:overflowPunct/>
                    <w:topLinePunct w:val="0"/>
                    <w:autoSpaceDE/>
                    <w:autoSpaceDN/>
                    <w:bidi w:val="0"/>
                    <w:spacing w:line="360" w:lineRule="auto"/>
                    <w:jc w:val="center"/>
                    <w:textAlignment w:val="auto"/>
                    <w:outlineLvl w:val="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瓜果类≤600；叶菜根茎类≤1200</w:t>
                  </w:r>
                </w:p>
              </w:tc>
            </w:tr>
            <w:tr w14:paraId="367C8A27">
              <w:tblPrEx>
                <w:tblCellMar>
                  <w:top w:w="0" w:type="dxa"/>
                  <w:left w:w="0" w:type="dxa"/>
                  <w:bottom w:w="0" w:type="dxa"/>
                  <w:right w:w="0" w:type="dxa"/>
                </w:tblCellMar>
              </w:tblPrEx>
              <w:trPr>
                <w:trHeight w:val="458" w:hRule="atLeast"/>
                <w:jc w:val="center"/>
              </w:trPr>
              <w:tc>
                <w:tcPr>
                  <w:tcW w:w="2833" w:type="dxa"/>
                  <w:tcBorders>
                    <w:top w:val="single" w:color="auto" w:sz="4" w:space="0"/>
                    <w:left w:val="single" w:color="auto" w:sz="4" w:space="0"/>
                    <w:bottom w:val="single" w:color="auto" w:sz="4" w:space="0"/>
                    <w:right w:val="single" w:color="auto" w:sz="4" w:space="0"/>
                  </w:tcBorders>
                  <w:noWrap w:val="0"/>
                  <w:vAlign w:val="top"/>
                </w:tcPr>
                <w:p w14:paraId="1EF3CBA3">
                  <w:pPr>
                    <w:keepNext w:val="0"/>
                    <w:keepLines w:val="0"/>
                    <w:pageBreakBefore w:val="0"/>
                    <w:widowControl/>
                    <w:kinsoku/>
                    <w:wordWrap/>
                    <w:overflowPunct/>
                    <w:topLinePunct w:val="0"/>
                    <w:autoSpaceDE/>
                    <w:autoSpaceDN/>
                    <w:bidi w:val="0"/>
                    <w:spacing w:line="360" w:lineRule="auto"/>
                    <w:jc w:val="center"/>
                    <w:textAlignment w:val="auto"/>
                    <w:outlineLvl w:val="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亚硝酸盐（以NaNO2计）</w:t>
                  </w:r>
                </w:p>
              </w:tc>
              <w:tc>
                <w:tcPr>
                  <w:tcW w:w="3350" w:type="dxa"/>
                  <w:tcBorders>
                    <w:top w:val="single" w:color="auto" w:sz="4" w:space="0"/>
                    <w:left w:val="nil"/>
                    <w:bottom w:val="single" w:color="auto" w:sz="4" w:space="0"/>
                    <w:right w:val="single" w:color="auto" w:sz="4" w:space="0"/>
                  </w:tcBorders>
                  <w:noWrap w:val="0"/>
                  <w:vAlign w:val="center"/>
                </w:tcPr>
                <w:p w14:paraId="77A70943">
                  <w:pPr>
                    <w:keepNext w:val="0"/>
                    <w:keepLines w:val="0"/>
                    <w:pageBreakBefore w:val="0"/>
                    <w:widowControl/>
                    <w:kinsoku/>
                    <w:wordWrap/>
                    <w:overflowPunct/>
                    <w:topLinePunct w:val="0"/>
                    <w:autoSpaceDE/>
                    <w:autoSpaceDN/>
                    <w:bidi w:val="0"/>
                    <w:spacing w:line="360" w:lineRule="auto"/>
                    <w:jc w:val="center"/>
                    <w:textAlignment w:val="auto"/>
                    <w:outlineLvl w:val="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w:t>
                  </w:r>
                </w:p>
              </w:tc>
            </w:tr>
          </w:tbl>
          <w:p w14:paraId="447D357B">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（2）具体感观要求：</w:t>
            </w:r>
          </w:p>
          <w:p w14:paraId="04371A83">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从蔬菜色泽看，各种蔬菜都应具有本品种固有的颜色，大多数有发亮的光泽，以此显示蔬菜的成熟度及鲜嫩程度；</w:t>
            </w:r>
          </w:p>
          <w:p w14:paraId="764D378B">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从蔬菜气味看，多数蔬菜具有清馨、甘辛香、甜酸香等气味，可凭嗅觉识别不同品种的质量，不允许有腐烂变质的亚硝酸盐味和其他异常气味；</w:t>
            </w:r>
          </w:p>
          <w:p w14:paraId="295F53AC">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从蔬菜滋味看，因品种不同而各异，多数蔬菜滋味甘淡、甜酸、清爽鲜美，少数具有辛酸、苦涩等特殊风味以刺激食欲，如失去本品种原有的滋味即为异常；</w:t>
            </w:r>
          </w:p>
          <w:p w14:paraId="1966B4FD">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从蔬菜形态看，应尽量避免由于客观因素而造成的各种非正常、不新鲜的蔬菜，例如萎蔫、枯塌、损伤、病变、虫害侵蚀等引起的形态异常等。</w:t>
            </w:r>
          </w:p>
          <w:p w14:paraId="3E3239B0">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叶菜类： </w:t>
            </w:r>
          </w:p>
          <w:p w14:paraId="5E1AF8FB">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属同一品种规格，肉质鲜嫩形态好，色泽正常，茎基部削平，无枯黄叶、病叶、泥土、明显机械伤和病虫害伤，无烧心焦边、腐烂等现象，无抽苔（菜心除外），无畸形、异味，结球叶菜要结球适度，花椰菜应新鲜洁白，不带叶麸，无畸形花。</w:t>
            </w:r>
          </w:p>
          <w:p w14:paraId="3D7352AB">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茄果类： </w:t>
            </w:r>
          </w:p>
          <w:p w14:paraId="54346C59">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属同一品种规格，果实整洁，成熟度适中，番茄花蒂不明显，无裂果及空洞现象，茄果不能有裂蒂及果皮变硬现象，无腐烂、畸形、异味，无明显机械伤。</w:t>
            </w:r>
          </w:p>
          <w:p w14:paraId="1495EC0A">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瓜果类： </w:t>
            </w:r>
          </w:p>
          <w:p w14:paraId="047E23B1">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属同一品种规格，形状、色泽一致，瓜条均匀，无疤点，无断裂，无腐烂、畸形、异味、明显机械伤，不带泥土。</w:t>
            </w:r>
          </w:p>
          <w:p w14:paraId="35187DA3">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根菜类： </w:t>
            </w:r>
          </w:p>
          <w:p w14:paraId="7361F8C9">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属同一品种规格，皮细光滑，大小均匀，肉质脆嫩致密新鲜，无腐烂、畸形、裂痕、糠心、异味，不带泥沙，不带茎叶和须根。</w:t>
            </w:r>
          </w:p>
          <w:p w14:paraId="1CF81C42">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薯芋类： </w:t>
            </w:r>
          </w:p>
          <w:p w14:paraId="6C2AF7DD">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属同一品种规格，色泽一致，不带泥沙，不带须根、茎叶，不干瘪，无腐烂、畸形、异味、明显机械伤、病虫害斑，马铃薯无发芽，皮不变绿。</w:t>
            </w:r>
          </w:p>
          <w:p w14:paraId="0F0661A9">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葱蒜类： </w:t>
            </w:r>
          </w:p>
          <w:p w14:paraId="76695F86">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属同一品种规格，允许葱、青蒜类保留干净须根，葱、蒜、韭菜不带老叶，蒜头、洋葱去根去枯叶，可食部分新鲜幼嫩，无腐烂、畸形、异味。</w:t>
            </w:r>
          </w:p>
          <w:p w14:paraId="393FDFBE">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豆类： </w:t>
            </w:r>
          </w:p>
          <w:p w14:paraId="4DCA890C">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属同一品种规格，形态完整，成熟度适中，无腐烂、畸形、异味，豆荚类新鲜、幼嫩、均匀，豆仁类籽粒饱满，较均匀，无发芽，不带泥土杂质。</w:t>
            </w:r>
          </w:p>
          <w:p w14:paraId="20ACBC5B">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水生菜类： </w:t>
            </w:r>
          </w:p>
          <w:p w14:paraId="7E5D1773">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属同一品种规格，肉质嫩，成熟度适中，无腐烂、畸形、异味，无明显机械伤，不带泥土和杂质，不干瘪，茭白不黑心。</w:t>
            </w:r>
          </w:p>
          <w:p w14:paraId="5EADDD6D">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食用菌类： </w:t>
            </w:r>
          </w:p>
          <w:p w14:paraId="33E60D90">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属同一品种规格，蘑菇、草菇菌盖圆整略展开，柄粗壮，菌膜紧，菇柄切削平整，不浸泡水（蘑菇允许浸盐水保鲜），新鲜，无杂质，无畸形菇，无腐烂、异味。</w:t>
            </w:r>
          </w:p>
          <w:p w14:paraId="1CD1BFA2">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芽苗类： </w:t>
            </w:r>
          </w:p>
          <w:p w14:paraId="7CC2941C">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芽苗幼嫩，不带豆壳杂质，新鲜，不浸水，无腐烂、异味。</w:t>
            </w:r>
          </w:p>
          <w:p w14:paraId="30E9ACF6">
            <w:pPr>
              <w:keepNext w:val="0"/>
              <w:keepLines w:val="0"/>
              <w:pageBreakBefore w:val="0"/>
              <w:numPr>
                <w:ilvl w:val="0"/>
                <w:numId w:val="2"/>
              </w:numPr>
              <w:kinsoku/>
              <w:wordWrap/>
              <w:overflowPunct/>
              <w:topLinePunct w:val="0"/>
              <w:autoSpaceDE/>
              <w:autoSpaceDN/>
              <w:bidi w:val="0"/>
              <w:snapToGrid w:val="0"/>
              <w:spacing w:line="360" w:lineRule="auto"/>
              <w:ind w:firstLine="420" w:firstLineChars="200"/>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食品供应链要求：所有食品的来源必须清晰。蔬菜来源应当为受到地方政府部门监管的自有基地、商品菜基地或蔬菜专业流通市场。</w:t>
            </w:r>
          </w:p>
          <w:p w14:paraId="360F703A">
            <w:pPr>
              <w:pStyle w:val="22"/>
              <w:keepNext w:val="0"/>
              <w:keepLines w:val="0"/>
              <w:pageBreakBefore w:val="0"/>
              <w:kinsoku/>
              <w:wordWrap/>
              <w:overflowPunct/>
              <w:topLinePunct w:val="0"/>
              <w:autoSpaceDE/>
              <w:autoSpaceDN/>
              <w:bidi w:val="0"/>
              <w:ind w:firstLine="0" w:firstLineChars="0"/>
              <w:textAlignment w:val="auto"/>
              <w:outlineLvl w:val="9"/>
              <w:rPr>
                <w:rFonts w:hint="eastAsia" w:cs="Times New Roman"/>
                <w:b/>
                <w:color w:val="000000" w:themeColor="text1"/>
                <w:kern w:val="2"/>
                <w:sz w:val="21"/>
                <w:highlight w:val="none"/>
                <w14:textFill>
                  <w14:solidFill>
                    <w14:schemeClr w14:val="tx1"/>
                  </w14:solidFill>
                </w14:textFill>
              </w:rPr>
            </w:pPr>
            <w:r>
              <w:rPr>
                <w:rFonts w:hint="eastAsia" w:cs="Times New Roman"/>
                <w:b/>
                <w:color w:val="000000" w:themeColor="text1"/>
                <w:kern w:val="2"/>
                <w:sz w:val="21"/>
                <w:highlight w:val="none"/>
                <w14:textFill>
                  <w14:solidFill>
                    <w14:schemeClr w14:val="tx1"/>
                  </w14:solidFill>
                </w14:textFill>
              </w:rPr>
              <w:t>4、水产海鲜类</w:t>
            </w:r>
          </w:p>
          <w:p w14:paraId="27BC17BC">
            <w:pPr>
              <w:pStyle w:val="22"/>
              <w:keepNext w:val="0"/>
              <w:keepLines w:val="0"/>
              <w:pageBreakBefore w:val="0"/>
              <w:kinsoku/>
              <w:wordWrap/>
              <w:overflowPunct/>
              <w:topLinePunct w:val="0"/>
              <w:autoSpaceDE/>
              <w:autoSpaceDN/>
              <w:bidi w:val="0"/>
              <w:ind w:firstLine="210" w:firstLineChars="100"/>
              <w:textAlignment w:val="auto"/>
              <w:outlineLvl w:val="9"/>
              <w:rPr>
                <w:rFonts w:hint="eastAsia" w:cs="Times New Roman"/>
                <w:bCs/>
                <w:color w:val="000000" w:themeColor="text1"/>
                <w:kern w:val="2"/>
                <w:sz w:val="21"/>
                <w:highlight w:val="none"/>
                <w14:textFill>
                  <w14:solidFill>
                    <w14:schemeClr w14:val="tx1"/>
                  </w14:solidFill>
                </w14:textFill>
              </w:rPr>
            </w:pPr>
            <w:r>
              <w:rPr>
                <w:rFonts w:hint="eastAsia" w:cs="Times New Roman"/>
                <w:bCs/>
                <w:color w:val="000000" w:themeColor="text1"/>
                <w:kern w:val="2"/>
                <w:sz w:val="21"/>
                <w:highlight w:val="none"/>
                <w14:textFill>
                  <w14:solidFill>
                    <w14:schemeClr w14:val="tx1"/>
                  </w14:solidFill>
                </w14:textFill>
              </w:rPr>
              <w:t>（1）海鲜、河鲜类必须鲜活，身体饱满结实，无腐烂异味，肉质紧密有弹性，来源可靠放心，无毒，无害，无污染（利用率不低于95%）。</w:t>
            </w:r>
          </w:p>
          <w:p w14:paraId="3D47A042">
            <w:pPr>
              <w:pStyle w:val="22"/>
              <w:keepNext w:val="0"/>
              <w:keepLines w:val="0"/>
              <w:pageBreakBefore w:val="0"/>
              <w:kinsoku/>
              <w:wordWrap/>
              <w:overflowPunct/>
              <w:topLinePunct w:val="0"/>
              <w:autoSpaceDE/>
              <w:autoSpaceDN/>
              <w:bidi w:val="0"/>
              <w:ind w:firstLine="210" w:firstLineChars="100"/>
              <w:textAlignment w:val="auto"/>
              <w:outlineLvl w:val="9"/>
              <w:rPr>
                <w:rFonts w:hint="eastAsia" w:cs="Times New Roman"/>
                <w:bCs/>
                <w:color w:val="000000" w:themeColor="text1"/>
                <w:kern w:val="2"/>
                <w:sz w:val="21"/>
                <w:highlight w:val="none"/>
                <w14:textFill>
                  <w14:solidFill>
                    <w14:schemeClr w14:val="tx1"/>
                  </w14:solidFill>
                </w14:textFill>
              </w:rPr>
            </w:pPr>
            <w:r>
              <w:rPr>
                <w:rFonts w:hint="eastAsia" w:cs="Times New Roman"/>
                <w:bCs/>
                <w:color w:val="000000" w:themeColor="text1"/>
                <w:kern w:val="2"/>
                <w:sz w:val="21"/>
                <w:highlight w:val="none"/>
                <w14:textFill>
                  <w14:solidFill>
                    <w14:schemeClr w14:val="tx1"/>
                  </w14:solidFill>
                </w14:textFill>
              </w:rPr>
              <w:t>（2）新鲜水产品的具体要求：要体态完整，体色正常，捞离水后，挣扎力。</w:t>
            </w:r>
          </w:p>
          <w:p w14:paraId="0A11AE17">
            <w:pPr>
              <w:pStyle w:val="22"/>
              <w:keepNext w:val="0"/>
              <w:keepLines w:val="0"/>
              <w:pageBreakBefore w:val="0"/>
              <w:kinsoku/>
              <w:wordWrap/>
              <w:overflowPunct/>
              <w:topLinePunct w:val="0"/>
              <w:autoSpaceDE/>
              <w:autoSpaceDN/>
              <w:bidi w:val="0"/>
              <w:ind w:firstLine="210" w:firstLineChars="100"/>
              <w:textAlignment w:val="auto"/>
              <w:outlineLvl w:val="9"/>
              <w:rPr>
                <w:rFonts w:hint="eastAsia" w:cs="Times New Roman"/>
                <w:bCs/>
                <w:color w:val="000000" w:themeColor="text1"/>
                <w:kern w:val="2"/>
                <w:sz w:val="21"/>
                <w:highlight w:val="none"/>
                <w14:textFill>
                  <w14:solidFill>
                    <w14:schemeClr w14:val="tx1"/>
                  </w14:solidFill>
                </w14:textFill>
              </w:rPr>
            </w:pPr>
            <w:r>
              <w:rPr>
                <w:rFonts w:hint="eastAsia" w:cs="Times New Roman"/>
                <w:bCs/>
                <w:color w:val="000000" w:themeColor="text1"/>
                <w:kern w:val="2"/>
                <w:sz w:val="21"/>
                <w:highlight w:val="none"/>
                <w14:textFill>
                  <w14:solidFill>
                    <w14:schemeClr w14:val="tx1"/>
                  </w14:solidFill>
                </w14:textFill>
              </w:rPr>
              <w:t xml:space="preserve">（3）冷冻鱼类要求鱼眼睛清亮，角膜透明，鳞片上覆盖有冻结的透明粘液层，皮肤天然色泽明显。鱼体完整无伤残，带鳞鱼应体表鳞片完整无损。去鳞鱼不应有残鳞片。另外鱼体富有弹性，手指轻按鱼体后，手指凹陷处可马上恢复。鱼应无异味有较温和的鱼腥味。 </w:t>
            </w:r>
          </w:p>
          <w:p w14:paraId="1A71409F">
            <w:pPr>
              <w:pStyle w:val="22"/>
              <w:keepNext w:val="0"/>
              <w:keepLines w:val="0"/>
              <w:pageBreakBefore w:val="0"/>
              <w:kinsoku/>
              <w:wordWrap/>
              <w:overflowPunct/>
              <w:topLinePunct w:val="0"/>
              <w:autoSpaceDE/>
              <w:autoSpaceDN/>
              <w:bidi w:val="0"/>
              <w:ind w:firstLine="210" w:firstLineChars="100"/>
              <w:textAlignment w:val="auto"/>
              <w:outlineLvl w:val="9"/>
              <w:rPr>
                <w:rFonts w:hint="eastAsia" w:cs="Times New Roman"/>
                <w:bCs/>
                <w:color w:val="000000" w:themeColor="text1"/>
                <w:kern w:val="2"/>
                <w:sz w:val="21"/>
                <w:highlight w:val="none"/>
                <w14:textFill>
                  <w14:solidFill>
                    <w14:schemeClr w14:val="tx1"/>
                  </w14:solidFill>
                </w14:textFill>
              </w:rPr>
            </w:pPr>
            <w:r>
              <w:rPr>
                <w:rFonts w:hint="eastAsia" w:cs="Times New Roman"/>
                <w:bCs/>
                <w:color w:val="000000" w:themeColor="text1"/>
                <w:kern w:val="2"/>
                <w:sz w:val="21"/>
                <w:highlight w:val="none"/>
                <w14:textFill>
                  <w14:solidFill>
                    <w14:schemeClr w14:val="tx1"/>
                  </w14:solidFill>
                </w14:textFill>
              </w:rPr>
              <w:t xml:space="preserve">（4）虾的头胸甲与躯干连接紧密，无断头现象。虾身清洁无污染无异味，虾眼突起，虾身较挺，肉质坚实；虾壳发亮、发硬，呈青绿色或青白色。 </w:t>
            </w:r>
          </w:p>
          <w:p w14:paraId="5937CF0E">
            <w:pPr>
              <w:pStyle w:val="22"/>
              <w:keepNext w:val="0"/>
              <w:keepLines w:val="0"/>
              <w:pageBreakBefore w:val="0"/>
              <w:kinsoku/>
              <w:wordWrap/>
              <w:overflowPunct/>
              <w:topLinePunct w:val="0"/>
              <w:autoSpaceDE/>
              <w:autoSpaceDN/>
              <w:bidi w:val="0"/>
              <w:ind w:firstLine="210" w:firstLineChars="100"/>
              <w:textAlignment w:val="auto"/>
              <w:outlineLvl w:val="9"/>
              <w:rPr>
                <w:rFonts w:hint="eastAsia" w:cs="Times New Roman"/>
                <w:bCs/>
                <w:color w:val="000000" w:themeColor="text1"/>
                <w:kern w:val="2"/>
                <w:sz w:val="21"/>
                <w:highlight w:val="none"/>
                <w14:textFill>
                  <w14:solidFill>
                    <w14:schemeClr w14:val="tx1"/>
                  </w14:solidFill>
                </w14:textFill>
              </w:rPr>
            </w:pPr>
            <w:r>
              <w:rPr>
                <w:rFonts w:hint="eastAsia" w:cs="Times New Roman"/>
                <w:bCs/>
                <w:color w:val="000000" w:themeColor="text1"/>
                <w:kern w:val="2"/>
                <w:sz w:val="21"/>
                <w:highlight w:val="none"/>
                <w14:textFill>
                  <w14:solidFill>
                    <w14:schemeClr w14:val="tx1"/>
                  </w14:solidFill>
                </w14:textFill>
              </w:rPr>
              <w:t xml:space="preserve">（5）黄鳝要体态完整，体色正常，在水中朝上直立，捞离水后，挣扎有力，身上粘度较多，个体较大。 </w:t>
            </w:r>
          </w:p>
          <w:p w14:paraId="53238064">
            <w:pPr>
              <w:pStyle w:val="22"/>
              <w:keepNext w:val="0"/>
              <w:keepLines w:val="0"/>
              <w:pageBreakBefore w:val="0"/>
              <w:kinsoku/>
              <w:wordWrap/>
              <w:overflowPunct/>
              <w:topLinePunct w:val="0"/>
              <w:autoSpaceDE/>
              <w:autoSpaceDN/>
              <w:bidi w:val="0"/>
              <w:ind w:firstLine="210" w:firstLineChars="100"/>
              <w:textAlignment w:val="auto"/>
              <w:outlineLvl w:val="9"/>
              <w:rPr>
                <w:rFonts w:hint="eastAsia" w:cs="Times New Roman"/>
                <w:bCs/>
                <w:color w:val="000000" w:themeColor="text1"/>
                <w:kern w:val="2"/>
                <w:sz w:val="21"/>
                <w:highlight w:val="none"/>
                <w14:textFill>
                  <w14:solidFill>
                    <w14:schemeClr w14:val="tx1"/>
                  </w14:solidFill>
                </w14:textFill>
              </w:rPr>
            </w:pPr>
            <w:r>
              <w:rPr>
                <w:rFonts w:hint="eastAsia" w:cs="Times New Roman"/>
                <w:bCs/>
                <w:color w:val="000000" w:themeColor="text1"/>
                <w:kern w:val="2"/>
                <w:sz w:val="21"/>
                <w:highlight w:val="none"/>
                <w14:textFill>
                  <w14:solidFill>
                    <w14:schemeClr w14:val="tx1"/>
                  </w14:solidFill>
                </w14:textFill>
              </w:rPr>
              <w:t xml:space="preserve">（6）贝壳类要求肉质新鲜，无臭味，两贝壳相碰发出实响，且响声均匀，在静水中会伸出触角；表面清洁完整，无寄生物，外观完美，有光泽。 </w:t>
            </w:r>
          </w:p>
          <w:p w14:paraId="6A857D5A">
            <w:pPr>
              <w:pStyle w:val="22"/>
              <w:keepNext w:val="0"/>
              <w:keepLines w:val="0"/>
              <w:pageBreakBefore w:val="0"/>
              <w:kinsoku/>
              <w:wordWrap/>
              <w:overflowPunct/>
              <w:topLinePunct w:val="0"/>
              <w:autoSpaceDE/>
              <w:autoSpaceDN/>
              <w:bidi w:val="0"/>
              <w:ind w:firstLine="210" w:firstLineChars="100"/>
              <w:textAlignment w:val="auto"/>
              <w:outlineLvl w:val="9"/>
              <w:rPr>
                <w:rFonts w:hint="eastAsia" w:cs="Times New Roman"/>
                <w:bCs/>
                <w:color w:val="000000" w:themeColor="text1"/>
                <w:kern w:val="2"/>
                <w:sz w:val="21"/>
                <w:highlight w:val="none"/>
                <w14:textFill>
                  <w14:solidFill>
                    <w14:schemeClr w14:val="tx1"/>
                  </w14:solidFill>
                </w14:textFill>
              </w:rPr>
            </w:pPr>
            <w:r>
              <w:rPr>
                <w:rFonts w:hint="eastAsia" w:cs="Times New Roman"/>
                <w:bCs/>
                <w:color w:val="000000" w:themeColor="text1"/>
                <w:kern w:val="2"/>
                <w:sz w:val="21"/>
                <w:highlight w:val="none"/>
                <w14:textFill>
                  <w14:solidFill>
                    <w14:schemeClr w14:val="tx1"/>
                  </w14:solidFill>
                </w14:textFill>
              </w:rPr>
              <w:t xml:space="preserve">（7）冷冻水产类解冻后净重量不少于82%，解冻时间为4小时以内（室温20℃）。所有冷冻要求清晰列出产品品牌、规格、类型、包装方式、包装净重、含冰量等相关参数。 </w:t>
            </w:r>
          </w:p>
          <w:p w14:paraId="7BD111D5">
            <w:pPr>
              <w:pStyle w:val="22"/>
              <w:keepNext w:val="0"/>
              <w:keepLines w:val="0"/>
              <w:pageBreakBefore w:val="0"/>
              <w:kinsoku/>
              <w:wordWrap/>
              <w:overflowPunct/>
              <w:topLinePunct w:val="0"/>
              <w:autoSpaceDE/>
              <w:autoSpaceDN/>
              <w:bidi w:val="0"/>
              <w:ind w:firstLine="210" w:firstLineChars="100"/>
              <w:textAlignment w:val="auto"/>
              <w:outlineLvl w:val="9"/>
              <w:rPr>
                <w:rFonts w:hint="eastAsia" w:cs="Times New Roman"/>
                <w:bCs/>
                <w:color w:val="000000" w:themeColor="text1"/>
                <w:kern w:val="2"/>
                <w:sz w:val="21"/>
                <w:highlight w:val="none"/>
                <w14:textFill>
                  <w14:solidFill>
                    <w14:schemeClr w14:val="tx1"/>
                  </w14:solidFill>
                </w14:textFill>
              </w:rPr>
            </w:pPr>
            <w:r>
              <w:rPr>
                <w:rFonts w:hint="eastAsia" w:cs="Times New Roman"/>
                <w:bCs/>
                <w:color w:val="000000" w:themeColor="text1"/>
                <w:kern w:val="2"/>
                <w:sz w:val="21"/>
                <w:highlight w:val="none"/>
                <w14:textFill>
                  <w14:solidFill>
                    <w14:schemeClr w14:val="tx1"/>
                  </w14:solidFill>
                </w14:textFill>
              </w:rPr>
              <w:t>（8）水产品须出具贮存地的出入库检疫证明。</w:t>
            </w:r>
          </w:p>
          <w:p w14:paraId="738F16BF">
            <w:pPr>
              <w:pStyle w:val="22"/>
              <w:keepNext w:val="0"/>
              <w:keepLines w:val="0"/>
              <w:pageBreakBefore w:val="0"/>
              <w:kinsoku/>
              <w:wordWrap/>
              <w:overflowPunct/>
              <w:topLinePunct w:val="0"/>
              <w:autoSpaceDE/>
              <w:autoSpaceDN/>
              <w:bidi w:val="0"/>
              <w:ind w:firstLine="210" w:firstLineChars="100"/>
              <w:textAlignment w:val="auto"/>
              <w:outlineLvl w:val="9"/>
              <w:rPr>
                <w:rFonts w:hint="eastAsia" w:cs="Times New Roman"/>
                <w:bCs/>
                <w:color w:val="000000" w:themeColor="text1"/>
                <w:kern w:val="2"/>
                <w:sz w:val="21"/>
                <w:highlight w:val="none"/>
                <w14:textFill>
                  <w14:solidFill>
                    <w14:schemeClr w14:val="tx1"/>
                  </w14:solidFill>
                </w14:textFill>
              </w:rPr>
            </w:pPr>
            <w:r>
              <w:rPr>
                <w:rFonts w:hint="eastAsia" w:cs="Times New Roman"/>
                <w:bCs/>
                <w:color w:val="000000" w:themeColor="text1"/>
                <w:kern w:val="2"/>
                <w:sz w:val="21"/>
                <w:highlight w:val="none"/>
                <w14:textFill>
                  <w14:solidFill>
                    <w14:schemeClr w14:val="tx1"/>
                  </w14:solidFill>
                </w14:textFill>
              </w:rPr>
              <w:t>（9）海鲜制品类：海鲜制品类包括但不限于鱼丸、墨鱼丸、鱼蛋、鱼腐等。</w:t>
            </w:r>
          </w:p>
          <w:p w14:paraId="12B08868">
            <w:pPr>
              <w:keepNext w:val="0"/>
              <w:keepLines w:val="0"/>
              <w:pageBreakBefore w:val="0"/>
              <w:kinsoku/>
              <w:wordWrap/>
              <w:overflowPunct/>
              <w:topLinePunct w:val="0"/>
              <w:autoSpaceDE/>
              <w:autoSpaceDN/>
              <w:bidi w:val="0"/>
              <w:spacing w:line="360" w:lineRule="auto"/>
              <w:ind w:right="-171"/>
              <w:textAlignment w:val="auto"/>
              <w:outlineLvl w:val="9"/>
              <w:rPr>
                <w:rFonts w:hint="eastAsia"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（二）调味料、干货、豆制品、粮油（大米、面、油等）、日用品等。</w:t>
            </w:r>
          </w:p>
          <w:p w14:paraId="552F1569">
            <w:pPr>
              <w:keepNext w:val="0"/>
              <w:keepLines w:val="0"/>
              <w:pageBreakBefore w:val="0"/>
              <w:kinsoku/>
              <w:wordWrap/>
              <w:overflowPunct/>
              <w:topLinePunct w:val="0"/>
              <w:autoSpaceDE/>
              <w:autoSpaceDN/>
              <w:bidi w:val="0"/>
              <w:snapToGrid w:val="0"/>
              <w:spacing w:line="360" w:lineRule="auto"/>
              <w:textAlignment w:val="auto"/>
              <w:outlineLvl w:val="9"/>
              <w:rPr>
                <w:rFonts w:hint="eastAsia"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1、</w:t>
            </w:r>
            <w:r>
              <w:rPr>
                <w:rFonts w:hint="eastAsia" w:ascii="宋体" w:hAnsi="宋体"/>
                <w:b/>
                <w:bCs/>
                <w:color w:val="000000" w:themeColor="text1"/>
                <w:highlight w:val="none"/>
                <w14:textFill>
                  <w14:solidFill>
                    <w14:schemeClr w14:val="tx1"/>
                  </w14:solidFill>
                </w14:textFill>
              </w:rPr>
              <w:t>调味料：</w:t>
            </w:r>
          </w:p>
          <w:p w14:paraId="3D5CA1EA">
            <w:pPr>
              <w:pStyle w:val="24"/>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1）酱油：酱油颜色比较红、亮、有光泽、透明，酱油倒在瓶子里摇一下，酱油产生的泡沫非常细腻，保持持久，挂碗现象非常好，有发黏的感觉。</w:t>
            </w:r>
          </w:p>
          <w:p w14:paraId="40C65FF3">
            <w:pPr>
              <w:pStyle w:val="24"/>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2）味精：无色至白色结晶或粉末，应具有特殊的鲜味，无异味，无肉眼可见杂质。</w:t>
            </w:r>
          </w:p>
          <w:p w14:paraId="41ECC76E">
            <w:pPr>
              <w:pStyle w:val="24"/>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3）酱类食品：应具有正常酿造酱的色泽、气味和滋味、不涩、无其他不良气味、不得有酸、苦、焦糊及其它异味、异物。</w:t>
            </w:r>
          </w:p>
          <w:p w14:paraId="0BED26C8">
            <w:pPr>
              <w:pStyle w:val="24"/>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4）淀粉制品：应具有各自品种固有的形态和色泽、不酸、不粘、不发霉、无变质、无异味、无杂质、口尝无砂质。</w:t>
            </w:r>
          </w:p>
          <w:p w14:paraId="5340278F">
            <w:pPr>
              <w:pStyle w:val="24"/>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5）食盐：结晶整齐一致、坚硬光滑，呈透明或半透明、不结块、无反卤吸潮现象、无杂质，沾取少许尝试具有纯正的咸味。</w:t>
            </w:r>
          </w:p>
          <w:p w14:paraId="75AA4BA4">
            <w:pPr>
              <w:pStyle w:val="24"/>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6）白糖：要求色泽洁白明亮，有光泽，具有白糖的正常气味，无酸味、酒味或其他外来气味。凡是白糖都应干燥，晶粒松散，不粘手，不结块，无肉眼可见的杂质，白糖的水溶液应清晰透明无杂质。</w:t>
            </w:r>
          </w:p>
          <w:p w14:paraId="2C582C2D">
            <w:pPr>
              <w:pStyle w:val="24"/>
              <w:keepNext w:val="0"/>
              <w:keepLines w:val="0"/>
              <w:pageBreakBefore w:val="0"/>
              <w:kinsoku/>
              <w:wordWrap/>
              <w:overflowPunct/>
              <w:topLinePunct w:val="0"/>
              <w:autoSpaceDE/>
              <w:autoSpaceDN/>
              <w:bidi w:val="0"/>
              <w:spacing w:line="360" w:lineRule="auto"/>
              <w:ind w:left="0" w:leftChars="0" w:firstLine="420" w:firstLineChars="200"/>
              <w:textAlignment w:val="auto"/>
              <w:outlineLvl w:val="9"/>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7）白砂糖：颗粒大如砂粒，晶粒均匀整齐，晶面明显，无碎末，糖质坚硬。</w:t>
            </w:r>
          </w:p>
          <w:p w14:paraId="3B0C0A18">
            <w:pPr>
              <w:pStyle w:val="24"/>
              <w:keepNext w:val="0"/>
              <w:keepLines w:val="0"/>
              <w:pageBreakBefore w:val="0"/>
              <w:kinsoku/>
              <w:wordWrap/>
              <w:overflowPunct/>
              <w:topLinePunct w:val="0"/>
              <w:autoSpaceDE/>
              <w:autoSpaceDN/>
              <w:bidi w:val="0"/>
              <w:spacing w:line="360" w:lineRule="auto"/>
              <w:ind w:left="420" w:leftChars="200" w:firstLine="0" w:firstLineChars="0"/>
              <w:textAlignment w:val="auto"/>
              <w:outlineLvl w:val="9"/>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8）绵白糖：颗粒细小而均匀，质地绵软、潮润。</w:t>
            </w:r>
          </w:p>
          <w:p w14:paraId="4CD66FBB">
            <w:pPr>
              <w:pStyle w:val="24"/>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9）红糖：呈晶粒状或粉末状，干燥而松散，不结块，不成团，杂质，其水溶液清晰，无沉淀，无悬浮物，具有甘蔗汁的清香味，无有酒味、酸味或其他外来不良气味，口味浓甜带鲜，微有糖蜜味，无焦苦味或其他外来异味。</w:t>
            </w:r>
          </w:p>
          <w:p w14:paraId="1C924C5D">
            <w:pPr>
              <w:pStyle w:val="24"/>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10）冰糖：块形完整，个粒均匀，结晶组织严密，透明或半透明，无破碎。</w:t>
            </w:r>
          </w:p>
          <w:p w14:paraId="7DA6ED4A">
            <w:pPr>
              <w:pStyle w:val="24"/>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11）方糖：呈正六面体状，表面平整，无裂纹，铁边，断角，无突出砂粒，无霉斑。</w:t>
            </w:r>
          </w:p>
          <w:p w14:paraId="4C93B0EE">
            <w:pPr>
              <w:pStyle w:val="24"/>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12）辛辣料：要求采用植物果实和种子粉碎而配制成的天然植物香料，如五香粉、胡椒粉、花椒粉、咖喱粉、芥末粉等，辛辣料的主要原料有八角、花椒、胡椒、桂皮、小茴香、大茴香、辣椒、孜然等。</w:t>
            </w:r>
          </w:p>
          <w:p w14:paraId="11EF173B">
            <w:pPr>
              <w:pStyle w:val="24"/>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13）辛辣料应呈干燥状，具有该种香料植物所特有的色、香、味，没有不纯正的气味和味道，无发霉味或其他异味。</w:t>
            </w:r>
          </w:p>
          <w:p w14:paraId="35633D23">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b/>
                <w:color w:val="000000" w:themeColor="text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14）腐乳：红腐乳要求表面呈红色或枣红色，内部呈杏黄色，色泽鲜艳，有光泽；白腐乳要求外表呈乳黄色。块形整齐均匀，质地细腻，无霉斑、霉变及杂质。具有各品种的腐乳特有的香味或特征气味，无任何其他异味，滋味鲜美，咸淡适口，无任何其他异味。</w:t>
            </w:r>
          </w:p>
          <w:p w14:paraId="76D3068C">
            <w:pPr>
              <w:keepNext w:val="0"/>
              <w:keepLines w:val="0"/>
              <w:pageBreakBefore w:val="0"/>
              <w:kinsoku/>
              <w:wordWrap/>
              <w:overflowPunct/>
              <w:topLinePunct w:val="0"/>
              <w:autoSpaceDE/>
              <w:autoSpaceDN/>
              <w:bidi w:val="0"/>
              <w:snapToGrid w:val="0"/>
              <w:spacing w:line="360" w:lineRule="auto"/>
              <w:textAlignment w:val="auto"/>
              <w:outlineLvl w:val="9"/>
              <w:rPr>
                <w:rFonts w:hint="eastAsia" w:ascii="宋体" w:hAnsi="宋体" w:cs="宋体"/>
                <w:bCs/>
                <w:color w:val="000000" w:themeColor="text1"/>
                <w:szCs w:val="2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干货制品：</w:t>
            </w:r>
            <w:r>
              <w:rPr>
                <w:rFonts w:hint="eastAsia" w:ascii="宋体" w:hAnsi="宋体"/>
                <w:color w:val="000000" w:themeColor="text1"/>
                <w:highlight w:val="none"/>
                <w14:textFill>
                  <w14:solidFill>
                    <w14:schemeClr w14:val="tx1"/>
                  </w14:solidFill>
                </w14:textFill>
              </w:rPr>
              <w:t>要求为符合国家相关行业标准的产品，干爽、不霉烂、整齐、均匀、完整，无虫蛀、无杂质，保持应有的色泽。从加工、包装、运输、贮存到销售全部符合国家规定标准，尤其是二氧化硫残留量、总砷含量不超过国家卫生标准；招标人可根据实际情况对需要的干货制品进行品质抽检，对质</w:t>
            </w:r>
            <w:r>
              <w:rPr>
                <w:rFonts w:hint="eastAsia" w:ascii="宋体" w:hAnsi="宋体" w:cs="宋体"/>
                <w:bCs/>
                <w:color w:val="000000" w:themeColor="text1"/>
                <w:szCs w:val="21"/>
                <w:highlight w:val="none"/>
                <w14:textFill>
                  <w14:solidFill>
                    <w14:schemeClr w14:val="tx1"/>
                  </w14:solidFill>
                </w14:textFill>
              </w:rPr>
              <w:t>量未达到国家标准的干货制品招标人有权拒绝接收。</w:t>
            </w:r>
          </w:p>
          <w:p w14:paraId="1AA2BE1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（1）肉皮：作为干肉皮，无论什么部位，体表洁净无毛，白亮无残余肥膘，无虫蛀，干爽，敲击时响声清脆，质量均匀为好，反之则为次之，如已发霉，并有哈喇味，即已变质。</w:t>
            </w:r>
          </w:p>
          <w:p w14:paraId="0542CF4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（2）玉兰片：玉兰片以色泽黄白、洁净、肉厚、纤维少、节较密、体长不超过 10~17cm的为最好，肉薄节疏、纤维多而粗老的质量较差。</w:t>
            </w:r>
          </w:p>
          <w:p w14:paraId="676EFB5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（3）黄花菜：又名金针菜，干燥、有清香味，菜色黄亮、身条长而粗壮、条杆粗细均匀者为佳。</w:t>
            </w:r>
          </w:p>
          <w:p w14:paraId="32E5D2D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（4）</w:t>
            </w:r>
            <w:r>
              <w:rPr>
                <w:rFonts w:hint="eastAsia" w:ascii="宋体" w:hAnsi="宋体" w:cs="宋体"/>
                <w:bCs/>
                <w:color w:val="000000" w:themeColor="text1"/>
                <w:szCs w:val="21"/>
                <w:highlight w:val="none"/>
                <w:lang w:val="zh-CN"/>
                <w14:textFill>
                  <w14:solidFill>
                    <w14:schemeClr w14:val="tx1"/>
                  </w14:solidFill>
                </w14:textFill>
              </w:rPr>
              <w:t>黑木耳：黑木耳的质量一般以条形大而完整，耳瓣舒展少卷曲，内厚黑，富于光泽，体干不霉，无杂质和碎者为优，反之则差。</w:t>
            </w:r>
          </w:p>
          <w:p w14:paraId="2B6D9AA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5</w:t>
            </w:r>
            <w:r>
              <w:rPr>
                <w:rFonts w:hint="eastAsia" w:ascii="宋体" w:hAnsi="宋体" w:cs="宋体"/>
                <w:bCs/>
                <w:color w:val="000000" w:themeColor="text1"/>
                <w:szCs w:val="21"/>
                <w:highlight w:val="none"/>
                <w:lang w:val="zh-CN"/>
                <w14:textFill>
                  <w14:solidFill>
                    <w14:schemeClr w14:val="tx1"/>
                  </w14:solidFill>
                </w14:textFill>
              </w:rPr>
              <w:t>）银耳：银耳又称白木耳，以朵大、色洁白、有光泽、无杂质，根小、干度足，完整者为佳品，朵小、色黄、根大、无光泽，散碎者次之；黄黑色者质量最次，依上述标准可将银耳分为上中下三等。质量好的银耳，根部易稣烂，食之柔软，质量次则根部大而发硬。</w:t>
            </w:r>
          </w:p>
          <w:p w14:paraId="448D354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6</w:t>
            </w:r>
            <w:r>
              <w:rPr>
                <w:rFonts w:hint="eastAsia" w:ascii="宋体" w:hAnsi="宋体" w:cs="宋体"/>
                <w:bCs/>
                <w:color w:val="000000" w:themeColor="text1"/>
                <w:szCs w:val="21"/>
                <w:highlight w:val="none"/>
                <w:lang w:val="zh-CN"/>
                <w14:textFill>
                  <w14:solidFill>
                    <w14:schemeClr w14:val="tx1"/>
                  </w14:solidFill>
                </w14:textFill>
              </w:rPr>
              <w:t>）香菇：根据采收季节和形状不同，香菇又分为花菇、厚菇、薄菇和菇丁四类，其中以花菇质量最好，厚菇次之，薄菇更差，菇丁质量最差。①花菇：朵小柄短，呈半球状，菇伞顶面有似菊花似的白色裂纹，肉厚、菌盖色泽淡黑，菇底褶，通过加工呈淡黄色，身干、质嫩、有芳香气味者为质好香菇。②厚菇：形状如伞，顶面无花纹，呈黑色并略有光泽，质嫩、肉厚、朵稍大，质量稍次。③薄菇：形状扁平、开伞、朵大、肉薄、菌盖表面浅褐色，菌褐白色，菌柄稍高，浅咖啡色，基部稍带红色或红褐色，质量比花菇厚，菇差，味淡。④菇丁：是指未充分发育的香菇，个小，直径在2cm以下，味淡质差。</w:t>
            </w:r>
          </w:p>
          <w:p w14:paraId="4740F5B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（7）</w:t>
            </w:r>
            <w:r>
              <w:rPr>
                <w:rFonts w:hint="eastAsia" w:ascii="宋体" w:hAnsi="宋体" w:cs="宋体"/>
                <w:bCs/>
                <w:color w:val="000000" w:themeColor="text1"/>
                <w:szCs w:val="21"/>
                <w:highlight w:val="none"/>
                <w:lang w:val="zh-CN"/>
                <w14:textFill>
                  <w14:solidFill>
                    <w14:schemeClr w14:val="tx1"/>
                  </w14:solidFill>
                </w14:textFill>
              </w:rPr>
              <w:t>黄豆：豆皮色呈各种大豆固有的颜色，光彩油亮，洁净而有光泽，颗粒饱满，整齐均匀，无虫蛀粒，无杂质，无霉变。</w:t>
            </w:r>
          </w:p>
          <w:p w14:paraId="5597188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8</w:t>
            </w:r>
            <w:r>
              <w:rPr>
                <w:rFonts w:hint="eastAsia" w:ascii="宋体" w:hAnsi="宋体" w:cs="宋体"/>
                <w:bCs/>
                <w:color w:val="000000" w:themeColor="text1"/>
                <w:szCs w:val="21"/>
                <w:highlight w:val="none"/>
                <w:lang w:val="zh-CN"/>
                <w14:textFill>
                  <w14:solidFill>
                    <w14:schemeClr w14:val="tx1"/>
                  </w14:solidFill>
                </w14:textFill>
              </w:rPr>
              <w:t>）花生：果荚呈土黄色或白色，果仁呈各不同品种所特有的颜色，色泽分布均匀一致，带荚花生和去荚果仁均颗粒饱满、形态完整、大小均匀，子叶肥厚而有光泽，无杂质，具有花生特有的气味、香味，无任何异味。</w:t>
            </w:r>
          </w:p>
          <w:p w14:paraId="2C34242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（9）</w:t>
            </w:r>
            <w:r>
              <w:rPr>
                <w:rFonts w:hint="eastAsia" w:ascii="宋体" w:hAnsi="宋体" w:cs="宋体"/>
                <w:bCs/>
                <w:color w:val="000000" w:themeColor="text1"/>
                <w:szCs w:val="21"/>
                <w:highlight w:val="none"/>
                <w:lang w:val="zh-CN"/>
                <w14:textFill>
                  <w14:solidFill>
                    <w14:schemeClr w14:val="tx1"/>
                  </w14:solidFill>
                </w14:textFill>
              </w:rPr>
              <w:t>腐竹：腐竹又名豆腐皮和油皮，有一、二、三级品之分。一极品：色泽黄亮、干燥筋韧、耐贮、无碎块。二极品：颜色较一极品灰黄、干燥无碎块。三极品：颜色更灰黄、无光泽、易碎、筋韧性差。</w:t>
            </w:r>
          </w:p>
          <w:p w14:paraId="6DED7F5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10</w:t>
            </w:r>
            <w:r>
              <w:rPr>
                <w:rFonts w:hint="eastAsia" w:ascii="宋体" w:hAnsi="宋体" w:cs="宋体"/>
                <w:bCs/>
                <w:color w:val="000000" w:themeColor="text1"/>
                <w:szCs w:val="21"/>
                <w:highlight w:val="none"/>
                <w:lang w:val="zh-CN"/>
                <w14:textFill>
                  <w14:solidFill>
                    <w14:schemeClr w14:val="tx1"/>
                  </w14:solidFill>
                </w14:textFill>
              </w:rPr>
              <w:t>）粉丝：质量好的粉丝，粉条细长、白净、晶莹透明、丝条均匀、整齐、干燥，不易折断，无斑点、黑迹，无霉变，有粉丝特有的光泽。</w:t>
            </w:r>
          </w:p>
          <w:p w14:paraId="3752E98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11</w:t>
            </w:r>
            <w:r>
              <w:rPr>
                <w:rFonts w:hint="eastAsia" w:ascii="宋体" w:hAnsi="宋体" w:cs="宋体"/>
                <w:bCs/>
                <w:color w:val="000000" w:themeColor="text1"/>
                <w:szCs w:val="21"/>
                <w:highlight w:val="none"/>
                <w:lang w:val="zh-CN"/>
                <w14:textFill>
                  <w14:solidFill>
                    <w14:schemeClr w14:val="tx1"/>
                  </w14:solidFill>
                </w14:textFill>
              </w:rPr>
              <w:t>）蹄筋：猪蹄筋的质量首先从蹄筋抽取的部位区别，后蹄筋体长而圆、粗状、光滑的品质好。前蹄筋体短而扁细、品质较差、保管完好的蹄筋应呈白色、无杂质，干、硬度高。</w:t>
            </w:r>
          </w:p>
          <w:p w14:paraId="334A8BA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12</w:t>
            </w:r>
            <w:r>
              <w:rPr>
                <w:rFonts w:hint="eastAsia" w:ascii="宋体" w:hAnsi="宋体" w:cs="宋体"/>
                <w:bCs/>
                <w:color w:val="000000" w:themeColor="text1"/>
                <w:szCs w:val="21"/>
                <w:highlight w:val="none"/>
                <w:lang w:val="zh-CN"/>
                <w14:textFill>
                  <w14:solidFill>
                    <w14:schemeClr w14:val="tx1"/>
                  </w14:solidFill>
                </w14:textFill>
              </w:rPr>
              <w:t>）干贝：上等干贝粒大完整、黄亮干燥、肉质饱满，肉丝清晰、粗且有特殊香气。粒小、碎破、色淡无光泽者较次。破碎、发黑发霉的为变质品。</w:t>
            </w:r>
          </w:p>
          <w:p w14:paraId="16701B8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13</w:t>
            </w:r>
            <w:r>
              <w:rPr>
                <w:rFonts w:hint="eastAsia" w:ascii="宋体" w:hAnsi="宋体" w:cs="宋体"/>
                <w:bCs/>
                <w:color w:val="000000" w:themeColor="text1"/>
                <w:szCs w:val="21"/>
                <w:highlight w:val="none"/>
                <w:lang w:val="zh-CN"/>
                <w14:textFill>
                  <w14:solidFill>
                    <w14:schemeClr w14:val="tx1"/>
                  </w14:solidFill>
                </w14:textFill>
              </w:rPr>
              <w:t>）鱿鱼：市场上常见的鱿鱼有椭圆形和长方形，选购时应注意：体干、体形完整、光亮洁净、淡粉红色、片大头小、肉厚者为优。体形部分卷曲，尾部和背部红中透暗，两侧有微红点、体小而宽、肉薄者为次品。</w:t>
            </w:r>
          </w:p>
          <w:p w14:paraId="7FD73BB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14</w:t>
            </w:r>
            <w:r>
              <w:rPr>
                <w:rFonts w:hint="eastAsia" w:ascii="宋体" w:hAnsi="宋体" w:cs="宋体"/>
                <w:bCs/>
                <w:color w:val="000000" w:themeColor="text1"/>
                <w:szCs w:val="21"/>
                <w:highlight w:val="none"/>
                <w:lang w:val="zh-CN"/>
                <w14:textFill>
                  <w14:solidFill>
                    <w14:schemeClr w14:val="tx1"/>
                  </w14:solidFill>
                </w14:textFill>
              </w:rPr>
              <w:t>）海蛰：海蛰是由水母加工制成，选购时应注意色泽，以乳白色或淡黄色、气味清新、质厚均匀、个体完整、块大、无血黑（体肉红皮）有光泽的为上品，带有膜状血衣的为次品。</w:t>
            </w:r>
          </w:p>
          <w:p w14:paraId="4F883C0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15</w:t>
            </w:r>
            <w:r>
              <w:rPr>
                <w:rFonts w:hint="eastAsia" w:ascii="宋体" w:hAnsi="宋体" w:cs="宋体"/>
                <w:bCs/>
                <w:color w:val="000000" w:themeColor="text1"/>
                <w:szCs w:val="21"/>
                <w:highlight w:val="none"/>
                <w:lang w:val="zh-CN"/>
                <w14:textFill>
                  <w14:solidFill>
                    <w14:schemeClr w14:val="tx1"/>
                  </w14:solidFill>
                </w14:textFill>
              </w:rPr>
              <w:t>）海参：检验标准主要是以体形的大小，肉质的厚薄及体内有无沙粒来鉴别。体形大、肉质厚、体内无沙者为上品，体形小、肉质薄、原体没剖开，体内有沙粒者较差。</w:t>
            </w:r>
          </w:p>
          <w:p w14:paraId="11BFC3A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16</w:t>
            </w:r>
            <w:r>
              <w:rPr>
                <w:rFonts w:hint="eastAsia" w:ascii="宋体" w:hAnsi="宋体" w:cs="宋体"/>
                <w:bCs/>
                <w:color w:val="000000" w:themeColor="text1"/>
                <w:szCs w:val="21"/>
                <w:highlight w:val="none"/>
                <w:lang w:val="zh-CN"/>
                <w14:textFill>
                  <w14:solidFill>
                    <w14:schemeClr w14:val="tx1"/>
                  </w14:solidFill>
                </w14:textFill>
              </w:rPr>
              <w:t>）紫菜：属海产红藻类植物，因鲜紫菜叶较宽大，经干制成长方块形，散片状卷筒，其中以卷筒形柔嫩微脆、叶薄、色紫清香鲜美的为品质优。</w:t>
            </w:r>
          </w:p>
          <w:p w14:paraId="229B305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17</w:t>
            </w:r>
            <w:r>
              <w:rPr>
                <w:rFonts w:hint="eastAsia" w:ascii="宋体" w:hAnsi="宋体" w:cs="宋体"/>
                <w:bCs/>
                <w:color w:val="000000" w:themeColor="text1"/>
                <w:szCs w:val="21"/>
                <w:highlight w:val="none"/>
                <w:lang w:val="zh-CN"/>
                <w14:textFill>
                  <w14:solidFill>
                    <w14:schemeClr w14:val="tx1"/>
                  </w14:solidFill>
                </w14:textFill>
              </w:rPr>
              <w:t>）发菜：发菜是陆生褐色藻类，以藻体细长、绿黑色、柔软爽滑、干燥、无杂质的质量为优，反之则劣。</w:t>
            </w:r>
          </w:p>
          <w:p w14:paraId="06AF4FC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18</w:t>
            </w:r>
            <w:r>
              <w:rPr>
                <w:rFonts w:hint="eastAsia" w:ascii="宋体" w:hAnsi="宋体" w:cs="宋体"/>
                <w:bCs/>
                <w:color w:val="000000" w:themeColor="text1"/>
                <w:szCs w:val="21"/>
                <w:highlight w:val="none"/>
                <w:lang w:val="zh-CN"/>
                <w14:textFill>
                  <w14:solidFill>
                    <w14:schemeClr w14:val="tx1"/>
                  </w14:solidFill>
                </w14:textFill>
              </w:rPr>
              <w:t>）鱼肚：其标准一般为体大整齐、肚厚、身干、光洁明亮、无虫蛀腐者好；灰暗、肉薄、体小则次之，有虫蛀、颜色发黑、变霉则为变质品。</w:t>
            </w:r>
          </w:p>
          <w:p w14:paraId="0888D576">
            <w:pPr>
              <w:keepNext w:val="0"/>
              <w:keepLines w:val="0"/>
              <w:pageBreakBefore w:val="0"/>
              <w:kinsoku/>
              <w:wordWrap/>
              <w:overflowPunct/>
              <w:topLinePunct w:val="0"/>
              <w:autoSpaceDE/>
              <w:autoSpaceDN/>
              <w:bidi w:val="0"/>
              <w:snapToGrid w:val="0"/>
              <w:spacing w:line="360" w:lineRule="auto"/>
              <w:textAlignment w:val="auto"/>
              <w:outlineLvl w:val="9"/>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3、豆制品：</w:t>
            </w:r>
          </w:p>
          <w:p w14:paraId="40B3D4C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w:t>
            </w:r>
            <w:r>
              <w:rPr>
                <w:rFonts w:hint="eastAsia" w:ascii="宋体" w:hAnsi="宋体" w:cs="宋体"/>
                <w:bCs/>
                <w:color w:val="000000" w:themeColor="text1"/>
                <w:szCs w:val="21"/>
                <w:highlight w:val="none"/>
                <w:lang w:val="zh-CN"/>
                <w14:textFill>
                  <w14:solidFill>
                    <w14:schemeClr w14:val="tx1"/>
                  </w14:solidFill>
                </w14:textFill>
              </w:rPr>
              <w:t>豆腐：腐呈均匀的乳白色或淡黄色，稍有光泽，块形完整，软硬适度，富有一定的弹性，质地细嫩，结构均匀，无杂质，具有豆腐特有的香味，取样品品尝时口感细腻鲜嫩，味道纯正清香。</w:t>
            </w:r>
          </w:p>
          <w:p w14:paraId="02C9082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2</w:t>
            </w:r>
            <w:r>
              <w:rPr>
                <w:rFonts w:hint="eastAsia" w:ascii="宋体" w:hAnsi="宋体" w:cs="宋体"/>
                <w:bCs/>
                <w:color w:val="000000" w:themeColor="text1"/>
                <w:szCs w:val="21"/>
                <w:highlight w:val="none"/>
                <w:lang w:val="zh-CN"/>
                <w14:textFill>
                  <w14:solidFill>
                    <w14:schemeClr w14:val="tx1"/>
                  </w14:solidFill>
                </w14:textFill>
              </w:rPr>
              <w:t>）油炸豆卜：金黄色或棕黄色，色彩鲜艳而有光泽，块形整齐，有弹性，皮脆，内质呈蜂窝状，不粘不散，无杂质</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bCs/>
                <w:color w:val="000000" w:themeColor="text1"/>
                <w:szCs w:val="21"/>
                <w:highlight w:val="none"/>
                <w:lang w:val="zh-CN"/>
                <w14:textFill>
                  <w14:solidFill>
                    <w14:schemeClr w14:val="tx1"/>
                  </w14:solidFill>
                </w14:textFill>
              </w:rPr>
              <w:t>具有豆腐泡特有的清香风味，无其他任何不良气味，取样品细细咀嚼，外皮酥脆适口，泡内软嫩，咸香适度，具有豆腐泡固有的滋味。</w:t>
            </w:r>
          </w:p>
          <w:p w14:paraId="3E9B05A0">
            <w:pPr>
              <w:keepNext w:val="0"/>
              <w:keepLines w:val="0"/>
              <w:pageBreakBefore w:val="0"/>
              <w:kinsoku/>
              <w:wordWrap/>
              <w:overflowPunct/>
              <w:topLinePunct w:val="0"/>
              <w:autoSpaceDE/>
              <w:autoSpaceDN/>
              <w:bidi w:val="0"/>
              <w:snapToGrid w:val="0"/>
              <w:spacing w:line="360" w:lineRule="auto"/>
              <w:textAlignment w:val="auto"/>
              <w:outlineLvl w:val="9"/>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4、粮油（大米、面、油）</w:t>
            </w:r>
          </w:p>
          <w:p w14:paraId="4257CDF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 xml:space="preserve">（1）供应产品的质量要求： </w:t>
            </w:r>
          </w:p>
          <w:p w14:paraId="7DB5D84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①米、油货物必须符合卫生，不得有腐烂、变质、油脂酸败、霉变、生虫、污秽不结、混有异物</w:t>
            </w:r>
            <w:r>
              <w:rPr>
                <w:rFonts w:hint="eastAsia" w:ascii="宋体" w:hAnsi="宋体"/>
                <w:bCs/>
                <w:color w:val="000000" w:themeColor="text1"/>
                <w:highlight w:val="none"/>
                <w14:textFill>
                  <w14:solidFill>
                    <w14:schemeClr w14:val="tx1"/>
                  </w14:solidFill>
                </w14:textFill>
              </w:rPr>
              <w:t>或者</w:t>
            </w:r>
            <w:r>
              <w:rPr>
                <w:rFonts w:hint="eastAsia" w:ascii="宋体" w:hAnsi="宋体"/>
                <w:color w:val="000000" w:themeColor="text1"/>
                <w:highlight w:val="none"/>
                <w14:textFill>
                  <w14:solidFill>
                    <w14:schemeClr w14:val="tx1"/>
                  </w14:solidFill>
                </w14:textFill>
              </w:rPr>
              <w:t>其他感官性状异常，并可能对人体健康有害的物质。</w:t>
            </w:r>
          </w:p>
          <w:p w14:paraId="3FA854B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②米、油要提供SC认证、国家机关发出的产品检验合格证书。包装食品：包装箱完整，同时包装箱要印有注册商标、生产厂家名称、厂址、出厂日期、产品合格证、保质期限、产品成份、厂家电话号码。散装豆类：提供生产厂家营业执照、卫生许可证、国家机关发出的产品检验合格证书。中标供应商所提供产品质量必须要符合行业标准要求，不得有掺假、变质、变味、过期等现象出现，严禁伪劣、假冒、无证不合格物品进入仓库。</w:t>
            </w:r>
          </w:p>
          <w:p w14:paraId="2A902A5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③中标供应商在供应过程中，如果发生出现质量问题或造成食物中毒,如变质等情况，经查实后确属中标供应商责任，中标供应商应承担全部责任，主要包括食物中毒人员医疗费、误工费、事故处理费等，直至追究刑事责任。</w:t>
            </w:r>
          </w:p>
          <w:p w14:paraId="488E172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④</w:t>
            </w:r>
            <w:r>
              <w:rPr>
                <w:rFonts w:hint="eastAsia" w:ascii="宋体" w:hAnsi="宋体"/>
                <w:color w:val="000000" w:themeColor="text1"/>
                <w:highlight w:val="none"/>
                <w14:textFill>
                  <w14:solidFill>
                    <w14:schemeClr w14:val="tx1"/>
                  </w14:solidFill>
                </w14:textFill>
              </w:rPr>
              <w:t>要求提供的食用油生产厂家信誉良好，有明确的商品标签，有生产日期、保质期、质量等级，并标明初制油的加工工艺(即用浸出法生产，还是用压榨法生产的)和是否用转基因油料生产，不许以次充好、以假充真。如将毛油当一级或二级油进行销售，将低价位的植物油掺入高价位植物油中进行销售，牟取暴利，一经查处，中标供应商将承担全部责任。</w:t>
            </w:r>
          </w:p>
          <w:p w14:paraId="5AA7532D">
            <w:pPr>
              <w:pStyle w:val="21"/>
              <w:keepNext w:val="0"/>
              <w:keepLines w:val="0"/>
              <w:pageBreakBefore w:val="0"/>
              <w:tabs>
                <w:tab w:val="left" w:pos="545"/>
              </w:tabs>
              <w:kinsoku/>
              <w:wordWrap/>
              <w:overflowPunct/>
              <w:topLinePunct w:val="0"/>
              <w:autoSpaceDE/>
              <w:autoSpaceDN/>
              <w:bidi w:val="0"/>
              <w:ind w:firstLine="0" w:firstLineChars="0"/>
              <w:jc w:val="left"/>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1）大米</w:t>
            </w:r>
          </w:p>
          <w:tbl>
            <w:tblPr>
              <w:tblStyle w:val="15"/>
              <w:tblW w:w="7654"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1074"/>
              <w:gridCol w:w="1266"/>
              <w:gridCol w:w="5314"/>
            </w:tblGrid>
            <w:tr w14:paraId="46559FE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1074" w:type="dxa"/>
                  <w:tcBorders>
                    <w:bottom w:val="single" w:color="000000" w:sz="6" w:space="0"/>
                    <w:right w:val="single" w:color="000000" w:sz="6" w:space="0"/>
                  </w:tcBorders>
                  <w:noWrap w:val="0"/>
                  <w:vAlign w:val="top"/>
                </w:tcPr>
                <w:p w14:paraId="12A64B6E">
                  <w:pPr>
                    <w:pStyle w:val="23"/>
                    <w:keepNext w:val="0"/>
                    <w:keepLines w:val="0"/>
                    <w:pageBreakBefore w:val="0"/>
                    <w:kinsoku/>
                    <w:wordWrap/>
                    <w:overflowPunct/>
                    <w:topLinePunct w:val="0"/>
                    <w:autoSpaceDE/>
                    <w:autoSpaceDN/>
                    <w:bidi w:val="0"/>
                    <w:spacing w:before="79"/>
                    <w:ind w:left="268" w:right="269"/>
                    <w:jc w:val="center"/>
                    <w:textAlignment w:val="auto"/>
                    <w:outlineLvl w:val="9"/>
                    <w:rPr>
                      <w:b/>
                      <w:color w:val="000000" w:themeColor="text1"/>
                      <w:sz w:val="21"/>
                      <w:szCs w:val="21"/>
                      <w:highlight w:val="none"/>
                      <w14:textFill>
                        <w14:solidFill>
                          <w14:schemeClr w14:val="tx1"/>
                        </w14:solidFill>
                      </w14:textFill>
                    </w:rPr>
                  </w:pPr>
                  <w:r>
                    <w:rPr>
                      <w:b/>
                      <w:color w:val="000000" w:themeColor="text1"/>
                      <w:sz w:val="21"/>
                      <w:szCs w:val="21"/>
                      <w:highlight w:val="none"/>
                      <w14:textFill>
                        <w14:solidFill>
                          <w14:schemeClr w14:val="tx1"/>
                        </w14:solidFill>
                      </w14:textFill>
                    </w:rPr>
                    <w:t>序号</w:t>
                  </w:r>
                </w:p>
              </w:tc>
              <w:tc>
                <w:tcPr>
                  <w:tcW w:w="1266" w:type="dxa"/>
                  <w:tcBorders>
                    <w:left w:val="single" w:color="000000" w:sz="6" w:space="0"/>
                    <w:bottom w:val="single" w:color="000000" w:sz="6" w:space="0"/>
                    <w:right w:val="single" w:color="000000" w:sz="6" w:space="0"/>
                  </w:tcBorders>
                  <w:noWrap w:val="0"/>
                  <w:vAlign w:val="top"/>
                </w:tcPr>
                <w:p w14:paraId="40D6DBA5">
                  <w:pPr>
                    <w:pStyle w:val="23"/>
                    <w:keepNext w:val="0"/>
                    <w:keepLines w:val="0"/>
                    <w:pageBreakBefore w:val="0"/>
                    <w:kinsoku/>
                    <w:wordWrap/>
                    <w:overflowPunct/>
                    <w:topLinePunct w:val="0"/>
                    <w:autoSpaceDE/>
                    <w:autoSpaceDN/>
                    <w:bidi w:val="0"/>
                    <w:spacing w:before="79"/>
                    <w:ind w:right="546"/>
                    <w:jc w:val="center"/>
                    <w:textAlignment w:val="auto"/>
                    <w:outlineLvl w:val="9"/>
                    <w:rPr>
                      <w:b/>
                      <w:color w:val="000000" w:themeColor="text1"/>
                      <w:sz w:val="21"/>
                      <w:szCs w:val="21"/>
                      <w:highlight w:val="none"/>
                      <w14:textFill>
                        <w14:solidFill>
                          <w14:schemeClr w14:val="tx1"/>
                        </w14:solidFill>
                      </w14:textFill>
                    </w:rPr>
                  </w:pPr>
                  <w:r>
                    <w:rPr>
                      <w:b/>
                      <w:color w:val="000000" w:themeColor="text1"/>
                      <w:sz w:val="21"/>
                      <w:szCs w:val="21"/>
                      <w:highlight w:val="none"/>
                      <w14:textFill>
                        <w14:solidFill>
                          <w14:schemeClr w14:val="tx1"/>
                        </w14:solidFill>
                      </w14:textFill>
                    </w:rPr>
                    <w:t>品名</w:t>
                  </w:r>
                </w:p>
              </w:tc>
              <w:tc>
                <w:tcPr>
                  <w:tcW w:w="5314" w:type="dxa"/>
                  <w:tcBorders>
                    <w:left w:val="single" w:color="000000" w:sz="6" w:space="0"/>
                    <w:bottom w:val="single" w:color="000000" w:sz="6" w:space="0"/>
                  </w:tcBorders>
                  <w:noWrap w:val="0"/>
                  <w:vAlign w:val="top"/>
                </w:tcPr>
                <w:p w14:paraId="525E1F6E">
                  <w:pPr>
                    <w:pStyle w:val="23"/>
                    <w:keepNext w:val="0"/>
                    <w:keepLines w:val="0"/>
                    <w:pageBreakBefore w:val="0"/>
                    <w:kinsoku/>
                    <w:wordWrap/>
                    <w:overflowPunct/>
                    <w:topLinePunct w:val="0"/>
                    <w:autoSpaceDE/>
                    <w:autoSpaceDN/>
                    <w:bidi w:val="0"/>
                    <w:spacing w:before="79"/>
                    <w:ind w:right="3434"/>
                    <w:jc w:val="center"/>
                    <w:textAlignment w:val="auto"/>
                    <w:outlineLvl w:val="9"/>
                    <w:rPr>
                      <w:b/>
                      <w:color w:val="000000" w:themeColor="text1"/>
                      <w:sz w:val="21"/>
                      <w:szCs w:val="21"/>
                      <w:highlight w:val="none"/>
                      <w14:textFill>
                        <w14:solidFill>
                          <w14:schemeClr w14:val="tx1"/>
                        </w14:solidFill>
                      </w14:textFill>
                    </w:rPr>
                  </w:pPr>
                  <w:r>
                    <w:rPr>
                      <w:b/>
                      <w:color w:val="000000" w:themeColor="text1"/>
                      <w:sz w:val="21"/>
                      <w:szCs w:val="21"/>
                      <w:highlight w:val="none"/>
                      <w14:textFill>
                        <w14:solidFill>
                          <w14:schemeClr w14:val="tx1"/>
                        </w14:solidFill>
                      </w14:textFill>
                    </w:rPr>
                    <w:t>质量描述</w:t>
                  </w:r>
                </w:p>
              </w:tc>
            </w:tr>
            <w:tr w14:paraId="4F5743D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65" w:hRule="atLeast"/>
                <w:jc w:val="center"/>
              </w:trPr>
              <w:tc>
                <w:tcPr>
                  <w:tcW w:w="1074" w:type="dxa"/>
                  <w:tcBorders>
                    <w:top w:val="single" w:color="000000" w:sz="6" w:space="0"/>
                    <w:bottom w:val="single" w:color="000000" w:sz="6" w:space="0"/>
                    <w:right w:val="single" w:color="000000" w:sz="6" w:space="0"/>
                  </w:tcBorders>
                  <w:noWrap w:val="0"/>
                  <w:vAlign w:val="top"/>
                </w:tcPr>
                <w:p w14:paraId="471B98E1">
                  <w:pPr>
                    <w:pStyle w:val="23"/>
                    <w:keepNext w:val="0"/>
                    <w:keepLines w:val="0"/>
                    <w:pageBreakBefore w:val="0"/>
                    <w:kinsoku/>
                    <w:wordWrap/>
                    <w:overflowPunct/>
                    <w:topLinePunct w:val="0"/>
                    <w:autoSpaceDE/>
                    <w:autoSpaceDN/>
                    <w:bidi w:val="0"/>
                    <w:spacing w:before="3"/>
                    <w:jc w:val="center"/>
                    <w:textAlignment w:val="auto"/>
                    <w:outlineLvl w:val="9"/>
                    <w:rPr>
                      <w:rFonts w:hint="eastAsia"/>
                      <w:color w:val="000000" w:themeColor="text1"/>
                      <w:szCs w:val="21"/>
                      <w:highlight w:val="none"/>
                      <w14:textFill>
                        <w14:solidFill>
                          <w14:schemeClr w14:val="tx1"/>
                        </w14:solidFill>
                      </w14:textFill>
                    </w:rPr>
                  </w:pPr>
                </w:p>
                <w:p w14:paraId="562EE4F5">
                  <w:pPr>
                    <w:pStyle w:val="23"/>
                    <w:keepNext w:val="0"/>
                    <w:keepLines w:val="0"/>
                    <w:pageBreakBefore w:val="0"/>
                    <w:kinsoku/>
                    <w:wordWrap/>
                    <w:overflowPunct/>
                    <w:topLinePunct w:val="0"/>
                    <w:autoSpaceDE/>
                    <w:autoSpaceDN/>
                    <w:bidi w:val="0"/>
                    <w:spacing w:before="3"/>
                    <w:jc w:val="center"/>
                    <w:textAlignment w:val="auto"/>
                    <w:outlineLvl w:val="9"/>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p>
              </w:tc>
              <w:tc>
                <w:tcPr>
                  <w:tcW w:w="1266" w:type="dxa"/>
                  <w:tcBorders>
                    <w:top w:val="single" w:color="000000" w:sz="6" w:space="0"/>
                    <w:left w:val="single" w:color="000000" w:sz="6" w:space="0"/>
                    <w:bottom w:val="single" w:color="000000" w:sz="6" w:space="0"/>
                    <w:right w:val="single" w:color="000000" w:sz="6" w:space="0"/>
                  </w:tcBorders>
                  <w:noWrap w:val="0"/>
                  <w:vAlign w:val="top"/>
                </w:tcPr>
                <w:p w14:paraId="459E5CE6">
                  <w:pPr>
                    <w:pStyle w:val="23"/>
                    <w:keepNext w:val="0"/>
                    <w:keepLines w:val="0"/>
                    <w:pageBreakBefore w:val="0"/>
                    <w:kinsoku/>
                    <w:wordWrap/>
                    <w:overflowPunct/>
                    <w:topLinePunct w:val="0"/>
                    <w:autoSpaceDE/>
                    <w:autoSpaceDN/>
                    <w:bidi w:val="0"/>
                    <w:spacing w:before="3"/>
                    <w:jc w:val="center"/>
                    <w:textAlignment w:val="auto"/>
                    <w:outlineLvl w:val="9"/>
                    <w:rPr>
                      <w:rFonts w:hint="eastAsia"/>
                      <w:color w:val="000000" w:themeColor="text1"/>
                      <w:szCs w:val="21"/>
                      <w:highlight w:val="none"/>
                      <w14:textFill>
                        <w14:solidFill>
                          <w14:schemeClr w14:val="tx1"/>
                        </w14:solidFill>
                      </w14:textFill>
                    </w:rPr>
                  </w:pPr>
                </w:p>
                <w:p w14:paraId="706F5ABD">
                  <w:pPr>
                    <w:pStyle w:val="23"/>
                    <w:keepNext w:val="0"/>
                    <w:keepLines w:val="0"/>
                    <w:pageBreakBefore w:val="0"/>
                    <w:kinsoku/>
                    <w:wordWrap/>
                    <w:overflowPunct/>
                    <w:topLinePunct w:val="0"/>
                    <w:autoSpaceDE/>
                    <w:autoSpaceDN/>
                    <w:bidi w:val="0"/>
                    <w:spacing w:before="3"/>
                    <w:jc w:val="center"/>
                    <w:textAlignment w:val="auto"/>
                    <w:outlineLvl w:val="9"/>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大米</w:t>
                  </w:r>
                </w:p>
              </w:tc>
              <w:tc>
                <w:tcPr>
                  <w:tcW w:w="5314" w:type="dxa"/>
                  <w:tcBorders>
                    <w:top w:val="single" w:color="000000" w:sz="6" w:space="0"/>
                    <w:left w:val="single" w:color="000000" w:sz="6" w:space="0"/>
                    <w:bottom w:val="single" w:color="000000" w:sz="6" w:space="0"/>
                  </w:tcBorders>
                  <w:noWrap w:val="0"/>
                  <w:vAlign w:val="top"/>
                </w:tcPr>
                <w:p w14:paraId="75651502">
                  <w:pPr>
                    <w:pStyle w:val="23"/>
                    <w:keepNext w:val="0"/>
                    <w:keepLines w:val="0"/>
                    <w:pageBreakBefore w:val="0"/>
                    <w:kinsoku/>
                    <w:wordWrap/>
                    <w:overflowPunct/>
                    <w:topLinePunct w:val="0"/>
                    <w:autoSpaceDE/>
                    <w:autoSpaceDN/>
                    <w:bidi w:val="0"/>
                    <w:spacing w:before="3"/>
                    <w:textAlignment w:val="auto"/>
                    <w:outlineLvl w:val="9"/>
                    <w:rPr>
                      <w:rFonts w:hint="eastAsia"/>
                      <w:color w:val="000000" w:themeColor="text1"/>
                      <w:szCs w:val="21"/>
                      <w:highlight w:val="none"/>
                      <w14:textFill>
                        <w14:solidFill>
                          <w14:schemeClr w14:val="tx1"/>
                        </w14:solidFill>
                      </w14:textFill>
                    </w:rPr>
                  </w:pPr>
                  <w:r>
                    <w:rPr>
                      <w:rFonts w:hint="eastAsia"/>
                      <w:color w:val="000000" w:themeColor="text1"/>
                      <w:szCs w:val="21"/>
                      <w:highlight w:val="none"/>
                      <w:lang w:val="en-US"/>
                      <w14:textFill>
                        <w14:solidFill>
                          <w14:schemeClr w14:val="tx1"/>
                        </w14:solidFill>
                      </w14:textFill>
                    </w:rPr>
                    <w:t>1.</w:t>
                  </w:r>
                  <w:r>
                    <w:rPr>
                      <w:rFonts w:hint="eastAsia"/>
                      <w:color w:val="000000" w:themeColor="text1"/>
                      <w:szCs w:val="21"/>
                      <w:highlight w:val="none"/>
                      <w14:textFill>
                        <w14:solidFill>
                          <w14:schemeClr w14:val="tx1"/>
                        </w14:solidFill>
                      </w14:textFill>
                    </w:rPr>
                    <w:t>大米须达GB/T 1354-2018二级标准，水分含量在12°以下，无掺杂、无沙石，碎米少，无黄粒米；</w:t>
                  </w:r>
                </w:p>
                <w:p w14:paraId="61AE8A8A">
                  <w:pPr>
                    <w:pStyle w:val="23"/>
                    <w:keepNext w:val="0"/>
                    <w:keepLines w:val="0"/>
                    <w:pageBreakBefore w:val="0"/>
                    <w:kinsoku/>
                    <w:wordWrap/>
                    <w:overflowPunct/>
                    <w:topLinePunct w:val="0"/>
                    <w:autoSpaceDE/>
                    <w:autoSpaceDN/>
                    <w:bidi w:val="0"/>
                    <w:spacing w:before="3"/>
                    <w:textAlignment w:val="auto"/>
                    <w:outlineLvl w:val="9"/>
                    <w:rPr>
                      <w:rFonts w:hint="eastAsia"/>
                      <w:color w:val="000000" w:themeColor="text1"/>
                      <w:szCs w:val="21"/>
                      <w:highlight w:val="none"/>
                      <w14:textFill>
                        <w14:solidFill>
                          <w14:schemeClr w14:val="tx1"/>
                        </w14:solidFill>
                      </w14:textFill>
                    </w:rPr>
                  </w:pPr>
                  <w:r>
                    <w:rPr>
                      <w:rFonts w:hint="eastAsia"/>
                      <w:color w:val="000000" w:themeColor="text1"/>
                      <w:szCs w:val="21"/>
                      <w:highlight w:val="none"/>
                      <w:lang w:val="en-US"/>
                      <w14:textFill>
                        <w14:solidFill>
                          <w14:schemeClr w14:val="tx1"/>
                        </w14:solidFill>
                      </w14:textFill>
                    </w:rPr>
                    <w:t>2.</w:t>
                  </w:r>
                  <w:r>
                    <w:rPr>
                      <w:rFonts w:hint="eastAsia"/>
                      <w:color w:val="000000" w:themeColor="text1"/>
                      <w:szCs w:val="21"/>
                      <w:highlight w:val="none"/>
                      <w14:textFill>
                        <w14:solidFill>
                          <w14:schemeClr w14:val="tx1"/>
                        </w14:solidFill>
                      </w14:textFill>
                    </w:rPr>
                    <w:t>大米包装袋上印有大米品名、等级、数量、出厂名、厂家地址及其电话。</w:t>
                  </w:r>
                </w:p>
              </w:tc>
            </w:tr>
            <w:tr w14:paraId="04B1044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49" w:hRule="atLeast"/>
                <w:jc w:val="center"/>
              </w:trPr>
              <w:tc>
                <w:tcPr>
                  <w:tcW w:w="1074" w:type="dxa"/>
                  <w:tcBorders>
                    <w:top w:val="single" w:color="000000" w:sz="6" w:space="0"/>
                    <w:bottom w:val="single" w:color="000000" w:sz="6" w:space="0"/>
                    <w:right w:val="single" w:color="000000" w:sz="6" w:space="0"/>
                  </w:tcBorders>
                  <w:noWrap w:val="0"/>
                  <w:vAlign w:val="top"/>
                </w:tcPr>
                <w:p w14:paraId="53F8967C">
                  <w:pPr>
                    <w:pStyle w:val="23"/>
                    <w:keepNext w:val="0"/>
                    <w:keepLines w:val="0"/>
                    <w:pageBreakBefore w:val="0"/>
                    <w:kinsoku/>
                    <w:wordWrap/>
                    <w:overflowPunct/>
                    <w:topLinePunct w:val="0"/>
                    <w:autoSpaceDE/>
                    <w:autoSpaceDN/>
                    <w:bidi w:val="0"/>
                    <w:spacing w:before="3"/>
                    <w:jc w:val="center"/>
                    <w:textAlignment w:val="auto"/>
                    <w:outlineLvl w:val="9"/>
                    <w:rPr>
                      <w:rFonts w:hint="eastAsia"/>
                      <w:color w:val="000000" w:themeColor="text1"/>
                      <w:szCs w:val="21"/>
                      <w:highlight w:val="none"/>
                      <w14:textFill>
                        <w14:solidFill>
                          <w14:schemeClr w14:val="tx1"/>
                        </w14:solidFill>
                      </w14:textFill>
                    </w:rPr>
                  </w:pPr>
                </w:p>
                <w:p w14:paraId="4F2CD5F2">
                  <w:pPr>
                    <w:pStyle w:val="23"/>
                    <w:keepNext w:val="0"/>
                    <w:keepLines w:val="0"/>
                    <w:pageBreakBefore w:val="0"/>
                    <w:kinsoku/>
                    <w:wordWrap/>
                    <w:overflowPunct/>
                    <w:topLinePunct w:val="0"/>
                    <w:autoSpaceDE/>
                    <w:autoSpaceDN/>
                    <w:bidi w:val="0"/>
                    <w:spacing w:before="3"/>
                    <w:jc w:val="center"/>
                    <w:textAlignment w:val="auto"/>
                    <w:outlineLvl w:val="9"/>
                    <w:rPr>
                      <w:rFonts w:hint="eastAsia"/>
                      <w:color w:val="000000" w:themeColor="text1"/>
                      <w:szCs w:val="21"/>
                      <w:highlight w:val="none"/>
                      <w14:textFill>
                        <w14:solidFill>
                          <w14:schemeClr w14:val="tx1"/>
                        </w14:solidFill>
                      </w14:textFill>
                    </w:rPr>
                  </w:pPr>
                </w:p>
                <w:p w14:paraId="67BB63F3">
                  <w:pPr>
                    <w:pStyle w:val="23"/>
                    <w:keepNext w:val="0"/>
                    <w:keepLines w:val="0"/>
                    <w:pageBreakBefore w:val="0"/>
                    <w:kinsoku/>
                    <w:wordWrap/>
                    <w:overflowPunct/>
                    <w:topLinePunct w:val="0"/>
                    <w:autoSpaceDE/>
                    <w:autoSpaceDN/>
                    <w:bidi w:val="0"/>
                    <w:spacing w:before="3"/>
                    <w:jc w:val="center"/>
                    <w:textAlignment w:val="auto"/>
                    <w:outlineLvl w:val="9"/>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w:t>
                  </w:r>
                </w:p>
              </w:tc>
              <w:tc>
                <w:tcPr>
                  <w:tcW w:w="1266" w:type="dxa"/>
                  <w:tcBorders>
                    <w:top w:val="single" w:color="000000" w:sz="6" w:space="0"/>
                    <w:left w:val="single" w:color="000000" w:sz="6" w:space="0"/>
                    <w:bottom w:val="single" w:color="000000" w:sz="6" w:space="0"/>
                    <w:right w:val="single" w:color="000000" w:sz="6" w:space="0"/>
                  </w:tcBorders>
                  <w:noWrap w:val="0"/>
                  <w:vAlign w:val="top"/>
                </w:tcPr>
                <w:p w14:paraId="01975908">
                  <w:pPr>
                    <w:pStyle w:val="23"/>
                    <w:keepNext w:val="0"/>
                    <w:keepLines w:val="0"/>
                    <w:pageBreakBefore w:val="0"/>
                    <w:kinsoku/>
                    <w:wordWrap/>
                    <w:overflowPunct/>
                    <w:topLinePunct w:val="0"/>
                    <w:autoSpaceDE/>
                    <w:autoSpaceDN/>
                    <w:bidi w:val="0"/>
                    <w:spacing w:before="3"/>
                    <w:jc w:val="center"/>
                    <w:textAlignment w:val="auto"/>
                    <w:outlineLvl w:val="9"/>
                    <w:rPr>
                      <w:rFonts w:hint="eastAsia"/>
                      <w:color w:val="000000" w:themeColor="text1"/>
                      <w:szCs w:val="21"/>
                      <w:highlight w:val="none"/>
                      <w14:textFill>
                        <w14:solidFill>
                          <w14:schemeClr w14:val="tx1"/>
                        </w14:solidFill>
                      </w14:textFill>
                    </w:rPr>
                  </w:pPr>
                </w:p>
                <w:p w14:paraId="7CE745DC">
                  <w:pPr>
                    <w:pStyle w:val="23"/>
                    <w:keepNext w:val="0"/>
                    <w:keepLines w:val="0"/>
                    <w:pageBreakBefore w:val="0"/>
                    <w:kinsoku/>
                    <w:wordWrap/>
                    <w:overflowPunct/>
                    <w:topLinePunct w:val="0"/>
                    <w:autoSpaceDE/>
                    <w:autoSpaceDN/>
                    <w:bidi w:val="0"/>
                    <w:spacing w:before="3"/>
                    <w:jc w:val="center"/>
                    <w:textAlignment w:val="auto"/>
                    <w:outlineLvl w:val="9"/>
                    <w:rPr>
                      <w:rFonts w:hint="eastAsia"/>
                      <w:color w:val="000000" w:themeColor="text1"/>
                      <w:szCs w:val="21"/>
                      <w:highlight w:val="none"/>
                      <w14:textFill>
                        <w14:solidFill>
                          <w14:schemeClr w14:val="tx1"/>
                        </w14:solidFill>
                      </w14:textFill>
                    </w:rPr>
                  </w:pPr>
                </w:p>
                <w:p w14:paraId="22932939">
                  <w:pPr>
                    <w:pStyle w:val="23"/>
                    <w:keepNext w:val="0"/>
                    <w:keepLines w:val="0"/>
                    <w:pageBreakBefore w:val="0"/>
                    <w:kinsoku/>
                    <w:wordWrap/>
                    <w:overflowPunct/>
                    <w:topLinePunct w:val="0"/>
                    <w:autoSpaceDE/>
                    <w:autoSpaceDN/>
                    <w:bidi w:val="0"/>
                    <w:spacing w:before="3"/>
                    <w:jc w:val="center"/>
                    <w:textAlignment w:val="auto"/>
                    <w:outlineLvl w:val="9"/>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油</w:t>
                  </w:r>
                </w:p>
              </w:tc>
              <w:tc>
                <w:tcPr>
                  <w:tcW w:w="5314" w:type="dxa"/>
                  <w:tcBorders>
                    <w:top w:val="single" w:color="000000" w:sz="6" w:space="0"/>
                    <w:left w:val="single" w:color="000000" w:sz="6" w:space="0"/>
                    <w:bottom w:val="single" w:color="000000" w:sz="6" w:space="0"/>
                  </w:tcBorders>
                  <w:noWrap w:val="0"/>
                  <w:vAlign w:val="top"/>
                </w:tcPr>
                <w:p w14:paraId="527DB882">
                  <w:pPr>
                    <w:pStyle w:val="23"/>
                    <w:keepNext w:val="0"/>
                    <w:keepLines w:val="0"/>
                    <w:pageBreakBefore w:val="0"/>
                    <w:kinsoku/>
                    <w:wordWrap/>
                    <w:overflowPunct/>
                    <w:topLinePunct w:val="0"/>
                    <w:autoSpaceDE/>
                    <w:autoSpaceDN/>
                    <w:bidi w:val="0"/>
                    <w:spacing w:before="3"/>
                    <w:textAlignment w:val="auto"/>
                    <w:outlineLvl w:val="9"/>
                    <w:rPr>
                      <w:rFonts w:hint="eastAsia"/>
                      <w:color w:val="000000" w:themeColor="text1"/>
                      <w:szCs w:val="21"/>
                      <w:highlight w:val="none"/>
                      <w14:textFill>
                        <w14:solidFill>
                          <w14:schemeClr w14:val="tx1"/>
                        </w14:solidFill>
                      </w14:textFill>
                    </w:rPr>
                  </w:pPr>
                  <w:r>
                    <w:rPr>
                      <w:rFonts w:hint="eastAsia"/>
                      <w:color w:val="000000" w:themeColor="text1"/>
                      <w:szCs w:val="21"/>
                      <w:highlight w:val="none"/>
                      <w:lang w:val="en-US"/>
                      <w14:textFill>
                        <w14:solidFill>
                          <w14:schemeClr w14:val="tx1"/>
                        </w14:solidFill>
                      </w14:textFill>
                    </w:rPr>
                    <w:t>1.</w:t>
                  </w:r>
                  <w:r>
                    <w:rPr>
                      <w:rFonts w:hint="eastAsia"/>
                      <w:color w:val="000000" w:themeColor="text1"/>
                      <w:szCs w:val="21"/>
                      <w:highlight w:val="none"/>
                      <w14:textFill>
                        <w14:solidFill>
                          <w14:schemeClr w14:val="tx1"/>
                        </w14:solidFill>
                      </w14:textFill>
                    </w:rPr>
                    <w:t>按国家食用调和油质量标准SB/T 10292-1998；</w:t>
                  </w:r>
                </w:p>
                <w:p w14:paraId="050795DB">
                  <w:pPr>
                    <w:pStyle w:val="23"/>
                    <w:keepNext w:val="0"/>
                    <w:keepLines w:val="0"/>
                    <w:pageBreakBefore w:val="0"/>
                    <w:kinsoku/>
                    <w:wordWrap/>
                    <w:overflowPunct/>
                    <w:topLinePunct w:val="0"/>
                    <w:autoSpaceDE/>
                    <w:autoSpaceDN/>
                    <w:bidi w:val="0"/>
                    <w:spacing w:before="3"/>
                    <w:textAlignment w:val="auto"/>
                    <w:outlineLvl w:val="9"/>
                    <w:rPr>
                      <w:rFonts w:hint="eastAsia"/>
                      <w:color w:val="000000" w:themeColor="text1"/>
                      <w:szCs w:val="21"/>
                      <w:highlight w:val="none"/>
                      <w14:textFill>
                        <w14:solidFill>
                          <w14:schemeClr w14:val="tx1"/>
                        </w14:solidFill>
                      </w14:textFill>
                    </w:rPr>
                  </w:pPr>
                  <w:r>
                    <w:rPr>
                      <w:rFonts w:hint="eastAsia"/>
                      <w:color w:val="000000" w:themeColor="text1"/>
                      <w:szCs w:val="21"/>
                      <w:highlight w:val="none"/>
                      <w:lang w:val="en-US"/>
                      <w14:textFill>
                        <w14:solidFill>
                          <w14:schemeClr w14:val="tx1"/>
                        </w14:solidFill>
                      </w14:textFill>
                    </w:rPr>
                    <w:t>2.</w:t>
                  </w:r>
                  <w:r>
                    <w:rPr>
                      <w:rFonts w:hint="eastAsia"/>
                      <w:color w:val="000000" w:themeColor="text1"/>
                      <w:szCs w:val="21"/>
                      <w:highlight w:val="none"/>
                      <w14:textFill>
                        <w14:solidFill>
                          <w14:schemeClr w14:val="tx1"/>
                        </w14:solidFill>
                      </w14:textFill>
                    </w:rPr>
                    <w:t>有合格检疫报告，外观的色泽、透明度、气味滋味等无异常；</w:t>
                  </w:r>
                </w:p>
                <w:p w14:paraId="0459F10D">
                  <w:pPr>
                    <w:pStyle w:val="23"/>
                    <w:keepNext w:val="0"/>
                    <w:keepLines w:val="0"/>
                    <w:pageBreakBefore w:val="0"/>
                    <w:kinsoku/>
                    <w:wordWrap/>
                    <w:overflowPunct/>
                    <w:topLinePunct w:val="0"/>
                    <w:autoSpaceDE/>
                    <w:autoSpaceDN/>
                    <w:bidi w:val="0"/>
                    <w:spacing w:before="3"/>
                    <w:textAlignment w:val="auto"/>
                    <w:outlineLvl w:val="9"/>
                    <w:rPr>
                      <w:rFonts w:hint="eastAsia"/>
                      <w:color w:val="000000" w:themeColor="text1"/>
                      <w:szCs w:val="21"/>
                      <w:highlight w:val="none"/>
                      <w14:textFill>
                        <w14:solidFill>
                          <w14:schemeClr w14:val="tx1"/>
                        </w14:solidFill>
                      </w14:textFill>
                    </w:rPr>
                  </w:pPr>
                  <w:r>
                    <w:rPr>
                      <w:rFonts w:hint="eastAsia"/>
                      <w:color w:val="000000" w:themeColor="text1"/>
                      <w:szCs w:val="21"/>
                      <w:highlight w:val="none"/>
                      <w:lang w:val="en-US"/>
                      <w14:textFill>
                        <w14:solidFill>
                          <w14:schemeClr w14:val="tx1"/>
                        </w14:solidFill>
                      </w14:textFill>
                    </w:rPr>
                    <w:t>3.</w:t>
                  </w:r>
                  <w:r>
                    <w:rPr>
                      <w:rFonts w:hint="eastAsia"/>
                      <w:color w:val="000000" w:themeColor="text1"/>
                      <w:szCs w:val="21"/>
                      <w:highlight w:val="none"/>
                      <w14:textFill>
                        <w14:solidFill>
                          <w14:schemeClr w14:val="tx1"/>
                        </w14:solidFill>
                      </w14:textFill>
                    </w:rPr>
                    <w:t>定型包装。</w:t>
                  </w:r>
                </w:p>
              </w:tc>
            </w:tr>
            <w:tr w14:paraId="3E58B94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533" w:hRule="atLeast"/>
                <w:jc w:val="center"/>
              </w:trPr>
              <w:tc>
                <w:tcPr>
                  <w:tcW w:w="1074" w:type="dxa"/>
                  <w:tcBorders>
                    <w:top w:val="single" w:color="000000" w:sz="6" w:space="0"/>
                    <w:bottom w:val="single" w:color="000000" w:sz="6" w:space="0"/>
                    <w:right w:val="single" w:color="000000" w:sz="6" w:space="0"/>
                  </w:tcBorders>
                  <w:noWrap w:val="0"/>
                  <w:vAlign w:val="top"/>
                </w:tcPr>
                <w:p w14:paraId="39D93231">
                  <w:pPr>
                    <w:pStyle w:val="23"/>
                    <w:keepNext w:val="0"/>
                    <w:keepLines w:val="0"/>
                    <w:pageBreakBefore w:val="0"/>
                    <w:kinsoku/>
                    <w:wordWrap/>
                    <w:overflowPunct/>
                    <w:topLinePunct w:val="0"/>
                    <w:autoSpaceDE/>
                    <w:autoSpaceDN/>
                    <w:bidi w:val="0"/>
                    <w:spacing w:before="3"/>
                    <w:jc w:val="center"/>
                    <w:textAlignment w:val="auto"/>
                    <w:outlineLvl w:val="9"/>
                    <w:rPr>
                      <w:rFonts w:hint="eastAsia"/>
                      <w:color w:val="000000" w:themeColor="text1"/>
                      <w:szCs w:val="21"/>
                      <w:highlight w:val="none"/>
                      <w14:textFill>
                        <w14:solidFill>
                          <w14:schemeClr w14:val="tx1"/>
                        </w14:solidFill>
                      </w14:textFill>
                    </w:rPr>
                  </w:pPr>
                </w:p>
                <w:p w14:paraId="4B056481">
                  <w:pPr>
                    <w:pStyle w:val="23"/>
                    <w:keepNext w:val="0"/>
                    <w:keepLines w:val="0"/>
                    <w:pageBreakBefore w:val="0"/>
                    <w:kinsoku/>
                    <w:wordWrap/>
                    <w:overflowPunct/>
                    <w:topLinePunct w:val="0"/>
                    <w:autoSpaceDE/>
                    <w:autoSpaceDN/>
                    <w:bidi w:val="0"/>
                    <w:spacing w:before="3"/>
                    <w:jc w:val="center"/>
                    <w:textAlignment w:val="auto"/>
                    <w:outlineLvl w:val="9"/>
                    <w:rPr>
                      <w:rFonts w:hint="eastAsia"/>
                      <w:color w:val="000000" w:themeColor="text1"/>
                      <w:szCs w:val="21"/>
                      <w:highlight w:val="none"/>
                      <w14:textFill>
                        <w14:solidFill>
                          <w14:schemeClr w14:val="tx1"/>
                        </w14:solidFill>
                      </w14:textFill>
                    </w:rPr>
                  </w:pPr>
                </w:p>
                <w:p w14:paraId="70422860">
                  <w:pPr>
                    <w:pStyle w:val="23"/>
                    <w:keepNext w:val="0"/>
                    <w:keepLines w:val="0"/>
                    <w:pageBreakBefore w:val="0"/>
                    <w:kinsoku/>
                    <w:wordWrap/>
                    <w:overflowPunct/>
                    <w:topLinePunct w:val="0"/>
                    <w:autoSpaceDE/>
                    <w:autoSpaceDN/>
                    <w:bidi w:val="0"/>
                    <w:spacing w:before="3"/>
                    <w:jc w:val="center"/>
                    <w:textAlignment w:val="auto"/>
                    <w:outlineLvl w:val="9"/>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w:t>
                  </w:r>
                </w:p>
              </w:tc>
              <w:tc>
                <w:tcPr>
                  <w:tcW w:w="1266" w:type="dxa"/>
                  <w:tcBorders>
                    <w:top w:val="single" w:color="000000" w:sz="6" w:space="0"/>
                    <w:left w:val="single" w:color="000000" w:sz="6" w:space="0"/>
                    <w:bottom w:val="single" w:color="000000" w:sz="6" w:space="0"/>
                    <w:right w:val="single" w:color="000000" w:sz="6" w:space="0"/>
                  </w:tcBorders>
                  <w:noWrap w:val="0"/>
                  <w:vAlign w:val="top"/>
                </w:tcPr>
                <w:p w14:paraId="43FAE09C">
                  <w:pPr>
                    <w:pStyle w:val="23"/>
                    <w:keepNext w:val="0"/>
                    <w:keepLines w:val="0"/>
                    <w:pageBreakBefore w:val="0"/>
                    <w:kinsoku/>
                    <w:wordWrap/>
                    <w:overflowPunct/>
                    <w:topLinePunct w:val="0"/>
                    <w:autoSpaceDE/>
                    <w:autoSpaceDN/>
                    <w:bidi w:val="0"/>
                    <w:spacing w:before="3"/>
                    <w:jc w:val="center"/>
                    <w:textAlignment w:val="auto"/>
                    <w:outlineLvl w:val="9"/>
                    <w:rPr>
                      <w:rFonts w:hint="eastAsia"/>
                      <w:color w:val="000000" w:themeColor="text1"/>
                      <w:szCs w:val="21"/>
                      <w:highlight w:val="none"/>
                      <w14:textFill>
                        <w14:solidFill>
                          <w14:schemeClr w14:val="tx1"/>
                        </w14:solidFill>
                      </w14:textFill>
                    </w:rPr>
                  </w:pPr>
                </w:p>
                <w:p w14:paraId="7044D453">
                  <w:pPr>
                    <w:pStyle w:val="23"/>
                    <w:keepNext w:val="0"/>
                    <w:keepLines w:val="0"/>
                    <w:pageBreakBefore w:val="0"/>
                    <w:kinsoku/>
                    <w:wordWrap/>
                    <w:overflowPunct/>
                    <w:topLinePunct w:val="0"/>
                    <w:autoSpaceDE/>
                    <w:autoSpaceDN/>
                    <w:bidi w:val="0"/>
                    <w:spacing w:before="3"/>
                    <w:jc w:val="center"/>
                    <w:textAlignment w:val="auto"/>
                    <w:outlineLvl w:val="9"/>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高筋面粉（含面粉配料）</w:t>
                  </w:r>
                </w:p>
              </w:tc>
              <w:tc>
                <w:tcPr>
                  <w:tcW w:w="5314" w:type="dxa"/>
                  <w:tcBorders>
                    <w:top w:val="single" w:color="000000" w:sz="6" w:space="0"/>
                    <w:left w:val="single" w:color="000000" w:sz="6" w:space="0"/>
                    <w:bottom w:val="single" w:color="000000" w:sz="6" w:space="0"/>
                  </w:tcBorders>
                  <w:noWrap w:val="0"/>
                  <w:vAlign w:val="top"/>
                </w:tcPr>
                <w:p w14:paraId="744C6188">
                  <w:pPr>
                    <w:pStyle w:val="23"/>
                    <w:keepNext w:val="0"/>
                    <w:keepLines w:val="0"/>
                    <w:pageBreakBefore w:val="0"/>
                    <w:kinsoku/>
                    <w:wordWrap/>
                    <w:overflowPunct/>
                    <w:topLinePunct w:val="0"/>
                    <w:autoSpaceDE/>
                    <w:autoSpaceDN/>
                    <w:bidi w:val="0"/>
                    <w:spacing w:before="3"/>
                    <w:textAlignment w:val="auto"/>
                    <w:outlineLvl w:val="9"/>
                    <w:rPr>
                      <w:rFonts w:hint="eastAsia"/>
                      <w:color w:val="000000" w:themeColor="text1"/>
                      <w:szCs w:val="21"/>
                      <w:highlight w:val="none"/>
                      <w14:textFill>
                        <w14:solidFill>
                          <w14:schemeClr w14:val="tx1"/>
                        </w14:solidFill>
                      </w14:textFill>
                    </w:rPr>
                  </w:pPr>
                  <w:r>
                    <w:rPr>
                      <w:rFonts w:hint="eastAsia"/>
                      <w:color w:val="000000" w:themeColor="text1"/>
                      <w:szCs w:val="21"/>
                      <w:highlight w:val="none"/>
                      <w:lang w:val="en-US"/>
                      <w14:textFill>
                        <w14:solidFill>
                          <w14:schemeClr w14:val="tx1"/>
                        </w14:solidFill>
                      </w14:textFill>
                    </w:rPr>
                    <w:t>1.</w:t>
                  </w:r>
                  <w:r>
                    <w:rPr>
                      <w:rFonts w:hint="eastAsia"/>
                      <w:color w:val="000000" w:themeColor="text1"/>
                      <w:szCs w:val="21"/>
                      <w:highlight w:val="none"/>
                      <w14:textFill>
                        <w14:solidFill>
                          <w14:schemeClr w14:val="tx1"/>
                        </w14:solidFill>
                      </w14:textFill>
                    </w:rPr>
                    <w:t>高筋面粉达GB/T 8607-1988国家标准，质量等级一级；</w:t>
                  </w:r>
                </w:p>
                <w:p w14:paraId="1C74272F">
                  <w:pPr>
                    <w:pStyle w:val="23"/>
                    <w:keepNext w:val="0"/>
                    <w:keepLines w:val="0"/>
                    <w:pageBreakBefore w:val="0"/>
                    <w:kinsoku/>
                    <w:wordWrap/>
                    <w:overflowPunct/>
                    <w:topLinePunct w:val="0"/>
                    <w:autoSpaceDE/>
                    <w:autoSpaceDN/>
                    <w:bidi w:val="0"/>
                    <w:spacing w:before="3"/>
                    <w:textAlignment w:val="auto"/>
                    <w:outlineLvl w:val="9"/>
                    <w:rPr>
                      <w:rFonts w:hint="eastAsia"/>
                      <w:color w:val="000000" w:themeColor="text1"/>
                      <w:szCs w:val="21"/>
                      <w:highlight w:val="none"/>
                      <w14:textFill>
                        <w14:solidFill>
                          <w14:schemeClr w14:val="tx1"/>
                        </w14:solidFill>
                      </w14:textFill>
                    </w:rPr>
                  </w:pPr>
                  <w:r>
                    <w:rPr>
                      <w:rFonts w:hint="eastAsia"/>
                      <w:color w:val="000000" w:themeColor="text1"/>
                      <w:szCs w:val="21"/>
                      <w:highlight w:val="none"/>
                      <w:lang w:val="en-US"/>
                      <w14:textFill>
                        <w14:solidFill>
                          <w14:schemeClr w14:val="tx1"/>
                        </w14:solidFill>
                      </w14:textFill>
                    </w:rPr>
                    <w:t>2.</w:t>
                  </w:r>
                  <w:r>
                    <w:rPr>
                      <w:rFonts w:hint="eastAsia"/>
                      <w:color w:val="000000" w:themeColor="text1"/>
                      <w:szCs w:val="21"/>
                      <w:highlight w:val="none"/>
                      <w14:textFill>
                        <w14:solidFill>
                          <w14:schemeClr w14:val="tx1"/>
                        </w14:solidFill>
                      </w14:textFill>
                    </w:rPr>
                    <w:t>色泽正常，干爽无异味；</w:t>
                  </w:r>
                </w:p>
                <w:p w14:paraId="07C4F42D">
                  <w:pPr>
                    <w:pStyle w:val="23"/>
                    <w:keepNext w:val="0"/>
                    <w:keepLines w:val="0"/>
                    <w:pageBreakBefore w:val="0"/>
                    <w:kinsoku/>
                    <w:wordWrap/>
                    <w:overflowPunct/>
                    <w:topLinePunct w:val="0"/>
                    <w:autoSpaceDE/>
                    <w:autoSpaceDN/>
                    <w:bidi w:val="0"/>
                    <w:spacing w:before="3"/>
                    <w:textAlignment w:val="auto"/>
                    <w:outlineLvl w:val="9"/>
                    <w:rPr>
                      <w:rFonts w:hint="eastAsia"/>
                      <w:color w:val="000000" w:themeColor="text1"/>
                      <w:szCs w:val="21"/>
                      <w:highlight w:val="none"/>
                      <w14:textFill>
                        <w14:solidFill>
                          <w14:schemeClr w14:val="tx1"/>
                        </w14:solidFill>
                      </w14:textFill>
                    </w:rPr>
                  </w:pPr>
                  <w:r>
                    <w:rPr>
                      <w:rFonts w:hint="eastAsia"/>
                      <w:color w:val="000000" w:themeColor="text1"/>
                      <w:szCs w:val="21"/>
                      <w:highlight w:val="none"/>
                      <w:lang w:val="en-US"/>
                      <w14:textFill>
                        <w14:solidFill>
                          <w14:schemeClr w14:val="tx1"/>
                        </w14:solidFill>
                      </w14:textFill>
                    </w:rPr>
                    <w:t>3.</w:t>
                  </w:r>
                  <w:r>
                    <w:rPr>
                      <w:rFonts w:hint="eastAsia"/>
                      <w:color w:val="000000" w:themeColor="text1"/>
                      <w:szCs w:val="21"/>
                      <w:highlight w:val="none"/>
                      <w14:textFill>
                        <w14:solidFill>
                          <w14:schemeClr w14:val="tx1"/>
                        </w14:solidFill>
                      </w14:textFill>
                    </w:rPr>
                    <w:t>按进货量抽查20％，数量按抽查验收实数为准；</w:t>
                  </w:r>
                </w:p>
                <w:p w14:paraId="4CE4280C">
                  <w:pPr>
                    <w:pStyle w:val="23"/>
                    <w:keepNext w:val="0"/>
                    <w:keepLines w:val="0"/>
                    <w:pageBreakBefore w:val="0"/>
                    <w:kinsoku/>
                    <w:wordWrap/>
                    <w:overflowPunct/>
                    <w:topLinePunct w:val="0"/>
                    <w:autoSpaceDE/>
                    <w:autoSpaceDN/>
                    <w:bidi w:val="0"/>
                    <w:spacing w:before="3"/>
                    <w:textAlignment w:val="auto"/>
                    <w:outlineLvl w:val="9"/>
                    <w:rPr>
                      <w:rFonts w:hint="eastAsia"/>
                      <w:color w:val="000000" w:themeColor="text1"/>
                      <w:szCs w:val="21"/>
                      <w:highlight w:val="none"/>
                      <w14:textFill>
                        <w14:solidFill>
                          <w14:schemeClr w14:val="tx1"/>
                        </w14:solidFill>
                      </w14:textFill>
                    </w:rPr>
                  </w:pPr>
                  <w:r>
                    <w:rPr>
                      <w:rFonts w:hint="eastAsia"/>
                      <w:color w:val="000000" w:themeColor="text1"/>
                      <w:szCs w:val="21"/>
                      <w:highlight w:val="none"/>
                      <w:lang w:val="en-US"/>
                      <w14:textFill>
                        <w14:solidFill>
                          <w14:schemeClr w14:val="tx1"/>
                        </w14:solidFill>
                      </w14:textFill>
                    </w:rPr>
                    <w:t>4.</w:t>
                  </w:r>
                  <w:r>
                    <w:rPr>
                      <w:rFonts w:hint="eastAsia"/>
                      <w:color w:val="000000" w:themeColor="text1"/>
                      <w:szCs w:val="21"/>
                      <w:highlight w:val="none"/>
                      <w14:textFill>
                        <w14:solidFill>
                          <w14:schemeClr w14:val="tx1"/>
                        </w14:solidFill>
                      </w14:textFill>
                    </w:rPr>
                    <w:t>包装袋上有注册商标及QS标注，有检验合格证、生产日期和保质期。</w:t>
                  </w:r>
                </w:p>
              </w:tc>
            </w:tr>
            <w:tr w14:paraId="7EE4DC0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531" w:hRule="atLeast"/>
                <w:jc w:val="center"/>
              </w:trPr>
              <w:tc>
                <w:tcPr>
                  <w:tcW w:w="1074" w:type="dxa"/>
                  <w:tcBorders>
                    <w:top w:val="single" w:color="000000" w:sz="6" w:space="0"/>
                    <w:right w:val="single" w:color="000000" w:sz="6" w:space="0"/>
                  </w:tcBorders>
                  <w:noWrap w:val="0"/>
                  <w:vAlign w:val="top"/>
                </w:tcPr>
                <w:p w14:paraId="7E1668A3">
                  <w:pPr>
                    <w:pStyle w:val="23"/>
                    <w:keepNext w:val="0"/>
                    <w:keepLines w:val="0"/>
                    <w:pageBreakBefore w:val="0"/>
                    <w:kinsoku/>
                    <w:wordWrap/>
                    <w:overflowPunct/>
                    <w:topLinePunct w:val="0"/>
                    <w:autoSpaceDE/>
                    <w:autoSpaceDN/>
                    <w:bidi w:val="0"/>
                    <w:spacing w:before="3"/>
                    <w:jc w:val="center"/>
                    <w:textAlignment w:val="auto"/>
                    <w:outlineLvl w:val="9"/>
                    <w:rPr>
                      <w:rFonts w:hint="eastAsia"/>
                      <w:color w:val="000000" w:themeColor="text1"/>
                      <w:szCs w:val="21"/>
                      <w:highlight w:val="none"/>
                      <w14:textFill>
                        <w14:solidFill>
                          <w14:schemeClr w14:val="tx1"/>
                        </w14:solidFill>
                      </w14:textFill>
                    </w:rPr>
                  </w:pPr>
                </w:p>
                <w:p w14:paraId="65A2F763">
                  <w:pPr>
                    <w:pStyle w:val="23"/>
                    <w:keepNext w:val="0"/>
                    <w:keepLines w:val="0"/>
                    <w:pageBreakBefore w:val="0"/>
                    <w:kinsoku/>
                    <w:wordWrap/>
                    <w:overflowPunct/>
                    <w:topLinePunct w:val="0"/>
                    <w:autoSpaceDE/>
                    <w:autoSpaceDN/>
                    <w:bidi w:val="0"/>
                    <w:spacing w:before="3"/>
                    <w:jc w:val="center"/>
                    <w:textAlignment w:val="auto"/>
                    <w:outlineLvl w:val="9"/>
                    <w:rPr>
                      <w:rFonts w:hint="eastAsia"/>
                      <w:color w:val="000000" w:themeColor="text1"/>
                      <w:szCs w:val="21"/>
                      <w:highlight w:val="none"/>
                      <w14:textFill>
                        <w14:solidFill>
                          <w14:schemeClr w14:val="tx1"/>
                        </w14:solidFill>
                      </w14:textFill>
                    </w:rPr>
                  </w:pPr>
                </w:p>
                <w:p w14:paraId="22A771E2">
                  <w:pPr>
                    <w:pStyle w:val="23"/>
                    <w:keepNext w:val="0"/>
                    <w:keepLines w:val="0"/>
                    <w:pageBreakBefore w:val="0"/>
                    <w:kinsoku/>
                    <w:wordWrap/>
                    <w:overflowPunct/>
                    <w:topLinePunct w:val="0"/>
                    <w:autoSpaceDE/>
                    <w:autoSpaceDN/>
                    <w:bidi w:val="0"/>
                    <w:spacing w:before="3"/>
                    <w:jc w:val="center"/>
                    <w:textAlignment w:val="auto"/>
                    <w:outlineLvl w:val="9"/>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w:t>
                  </w:r>
                </w:p>
              </w:tc>
              <w:tc>
                <w:tcPr>
                  <w:tcW w:w="1266" w:type="dxa"/>
                  <w:tcBorders>
                    <w:top w:val="single" w:color="000000" w:sz="6" w:space="0"/>
                    <w:left w:val="single" w:color="000000" w:sz="6" w:space="0"/>
                    <w:right w:val="single" w:color="000000" w:sz="6" w:space="0"/>
                  </w:tcBorders>
                  <w:noWrap w:val="0"/>
                  <w:vAlign w:val="top"/>
                </w:tcPr>
                <w:p w14:paraId="7B95700C">
                  <w:pPr>
                    <w:pStyle w:val="23"/>
                    <w:keepNext w:val="0"/>
                    <w:keepLines w:val="0"/>
                    <w:pageBreakBefore w:val="0"/>
                    <w:kinsoku/>
                    <w:wordWrap/>
                    <w:overflowPunct/>
                    <w:topLinePunct w:val="0"/>
                    <w:autoSpaceDE/>
                    <w:autoSpaceDN/>
                    <w:bidi w:val="0"/>
                    <w:spacing w:before="3"/>
                    <w:jc w:val="center"/>
                    <w:textAlignment w:val="auto"/>
                    <w:outlineLvl w:val="9"/>
                    <w:rPr>
                      <w:rFonts w:hint="eastAsia"/>
                      <w:color w:val="000000" w:themeColor="text1"/>
                      <w:szCs w:val="21"/>
                      <w:highlight w:val="none"/>
                      <w14:textFill>
                        <w14:solidFill>
                          <w14:schemeClr w14:val="tx1"/>
                        </w14:solidFill>
                      </w14:textFill>
                    </w:rPr>
                  </w:pPr>
                </w:p>
                <w:p w14:paraId="3FC7B03A">
                  <w:pPr>
                    <w:pStyle w:val="23"/>
                    <w:keepNext w:val="0"/>
                    <w:keepLines w:val="0"/>
                    <w:pageBreakBefore w:val="0"/>
                    <w:kinsoku/>
                    <w:wordWrap/>
                    <w:overflowPunct/>
                    <w:topLinePunct w:val="0"/>
                    <w:autoSpaceDE/>
                    <w:autoSpaceDN/>
                    <w:bidi w:val="0"/>
                    <w:spacing w:before="3"/>
                    <w:jc w:val="center"/>
                    <w:textAlignment w:val="auto"/>
                    <w:outlineLvl w:val="9"/>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低筋面粉（含面粉配料）</w:t>
                  </w:r>
                </w:p>
              </w:tc>
              <w:tc>
                <w:tcPr>
                  <w:tcW w:w="5314" w:type="dxa"/>
                  <w:tcBorders>
                    <w:top w:val="single" w:color="000000" w:sz="6" w:space="0"/>
                    <w:left w:val="single" w:color="000000" w:sz="6" w:space="0"/>
                  </w:tcBorders>
                  <w:noWrap w:val="0"/>
                  <w:vAlign w:val="top"/>
                </w:tcPr>
                <w:p w14:paraId="481042D6">
                  <w:pPr>
                    <w:pStyle w:val="23"/>
                    <w:keepNext w:val="0"/>
                    <w:keepLines w:val="0"/>
                    <w:pageBreakBefore w:val="0"/>
                    <w:kinsoku/>
                    <w:wordWrap/>
                    <w:overflowPunct/>
                    <w:topLinePunct w:val="0"/>
                    <w:autoSpaceDE/>
                    <w:autoSpaceDN/>
                    <w:bidi w:val="0"/>
                    <w:spacing w:before="3"/>
                    <w:textAlignment w:val="auto"/>
                    <w:outlineLvl w:val="9"/>
                    <w:rPr>
                      <w:rFonts w:hint="eastAsia"/>
                      <w:color w:val="000000" w:themeColor="text1"/>
                      <w:szCs w:val="21"/>
                      <w:highlight w:val="none"/>
                      <w14:textFill>
                        <w14:solidFill>
                          <w14:schemeClr w14:val="tx1"/>
                        </w14:solidFill>
                      </w14:textFill>
                    </w:rPr>
                  </w:pPr>
                  <w:r>
                    <w:rPr>
                      <w:rFonts w:hint="eastAsia"/>
                      <w:color w:val="000000" w:themeColor="text1"/>
                      <w:szCs w:val="21"/>
                      <w:highlight w:val="none"/>
                      <w:lang w:val="en-US"/>
                      <w14:textFill>
                        <w14:solidFill>
                          <w14:schemeClr w14:val="tx1"/>
                        </w14:solidFill>
                      </w14:textFill>
                    </w:rPr>
                    <w:t>1.</w:t>
                  </w:r>
                  <w:r>
                    <w:rPr>
                      <w:rFonts w:hint="eastAsia"/>
                      <w:color w:val="000000" w:themeColor="text1"/>
                      <w:szCs w:val="21"/>
                      <w:highlight w:val="none"/>
                      <w14:textFill>
                        <w14:solidFill>
                          <w14:schemeClr w14:val="tx1"/>
                        </w14:solidFill>
                      </w14:textFill>
                    </w:rPr>
                    <w:t>低筋面粉达GB/T 8608-1988标准，质量等级一级；</w:t>
                  </w:r>
                </w:p>
                <w:p w14:paraId="7B8989CE">
                  <w:pPr>
                    <w:pStyle w:val="23"/>
                    <w:keepNext w:val="0"/>
                    <w:keepLines w:val="0"/>
                    <w:pageBreakBefore w:val="0"/>
                    <w:kinsoku/>
                    <w:wordWrap/>
                    <w:overflowPunct/>
                    <w:topLinePunct w:val="0"/>
                    <w:autoSpaceDE/>
                    <w:autoSpaceDN/>
                    <w:bidi w:val="0"/>
                    <w:spacing w:before="3"/>
                    <w:textAlignment w:val="auto"/>
                    <w:outlineLvl w:val="9"/>
                    <w:rPr>
                      <w:rFonts w:hint="eastAsia"/>
                      <w:color w:val="000000" w:themeColor="text1"/>
                      <w:szCs w:val="21"/>
                      <w:highlight w:val="none"/>
                      <w14:textFill>
                        <w14:solidFill>
                          <w14:schemeClr w14:val="tx1"/>
                        </w14:solidFill>
                      </w14:textFill>
                    </w:rPr>
                  </w:pPr>
                  <w:r>
                    <w:rPr>
                      <w:rFonts w:hint="eastAsia"/>
                      <w:color w:val="000000" w:themeColor="text1"/>
                      <w:szCs w:val="21"/>
                      <w:highlight w:val="none"/>
                      <w:lang w:val="en-US"/>
                      <w14:textFill>
                        <w14:solidFill>
                          <w14:schemeClr w14:val="tx1"/>
                        </w14:solidFill>
                      </w14:textFill>
                    </w:rPr>
                    <w:t>2.</w:t>
                  </w:r>
                  <w:r>
                    <w:rPr>
                      <w:rFonts w:hint="eastAsia"/>
                      <w:color w:val="000000" w:themeColor="text1"/>
                      <w:szCs w:val="21"/>
                      <w:highlight w:val="none"/>
                      <w14:textFill>
                        <w14:solidFill>
                          <w14:schemeClr w14:val="tx1"/>
                        </w14:solidFill>
                      </w14:textFill>
                    </w:rPr>
                    <w:t>色泽正常，干爽无异味；</w:t>
                  </w:r>
                </w:p>
                <w:p w14:paraId="4FBD9F70">
                  <w:pPr>
                    <w:pStyle w:val="23"/>
                    <w:keepNext w:val="0"/>
                    <w:keepLines w:val="0"/>
                    <w:pageBreakBefore w:val="0"/>
                    <w:kinsoku/>
                    <w:wordWrap/>
                    <w:overflowPunct/>
                    <w:topLinePunct w:val="0"/>
                    <w:autoSpaceDE/>
                    <w:autoSpaceDN/>
                    <w:bidi w:val="0"/>
                    <w:spacing w:before="3"/>
                    <w:textAlignment w:val="auto"/>
                    <w:outlineLvl w:val="9"/>
                    <w:rPr>
                      <w:rFonts w:hint="eastAsia"/>
                      <w:color w:val="000000" w:themeColor="text1"/>
                      <w:szCs w:val="21"/>
                      <w:highlight w:val="none"/>
                      <w14:textFill>
                        <w14:solidFill>
                          <w14:schemeClr w14:val="tx1"/>
                        </w14:solidFill>
                      </w14:textFill>
                    </w:rPr>
                  </w:pPr>
                  <w:r>
                    <w:rPr>
                      <w:rFonts w:hint="eastAsia"/>
                      <w:color w:val="000000" w:themeColor="text1"/>
                      <w:szCs w:val="21"/>
                      <w:highlight w:val="none"/>
                      <w:lang w:val="en-US"/>
                      <w14:textFill>
                        <w14:solidFill>
                          <w14:schemeClr w14:val="tx1"/>
                        </w14:solidFill>
                      </w14:textFill>
                    </w:rPr>
                    <w:t>3.</w:t>
                  </w:r>
                  <w:r>
                    <w:rPr>
                      <w:rFonts w:hint="eastAsia"/>
                      <w:color w:val="000000" w:themeColor="text1"/>
                      <w:szCs w:val="21"/>
                      <w:highlight w:val="none"/>
                      <w14:textFill>
                        <w14:solidFill>
                          <w14:schemeClr w14:val="tx1"/>
                        </w14:solidFill>
                      </w14:textFill>
                    </w:rPr>
                    <w:t>按进货量抽查20％，数量按抽查验收实数为准；</w:t>
                  </w:r>
                </w:p>
                <w:p w14:paraId="18F1D39F">
                  <w:pPr>
                    <w:pStyle w:val="23"/>
                    <w:keepNext w:val="0"/>
                    <w:keepLines w:val="0"/>
                    <w:pageBreakBefore w:val="0"/>
                    <w:kinsoku/>
                    <w:wordWrap/>
                    <w:overflowPunct/>
                    <w:topLinePunct w:val="0"/>
                    <w:autoSpaceDE/>
                    <w:autoSpaceDN/>
                    <w:bidi w:val="0"/>
                    <w:spacing w:before="3"/>
                    <w:textAlignment w:val="auto"/>
                    <w:outlineLvl w:val="9"/>
                    <w:rPr>
                      <w:rFonts w:hint="eastAsia"/>
                      <w:color w:val="000000" w:themeColor="text1"/>
                      <w:szCs w:val="21"/>
                      <w:highlight w:val="none"/>
                      <w14:textFill>
                        <w14:solidFill>
                          <w14:schemeClr w14:val="tx1"/>
                        </w14:solidFill>
                      </w14:textFill>
                    </w:rPr>
                  </w:pPr>
                  <w:r>
                    <w:rPr>
                      <w:rFonts w:hint="eastAsia"/>
                      <w:color w:val="000000" w:themeColor="text1"/>
                      <w:szCs w:val="21"/>
                      <w:highlight w:val="none"/>
                      <w:lang w:val="en-US"/>
                      <w14:textFill>
                        <w14:solidFill>
                          <w14:schemeClr w14:val="tx1"/>
                        </w14:solidFill>
                      </w14:textFill>
                    </w:rPr>
                    <w:t>4.</w:t>
                  </w:r>
                  <w:r>
                    <w:rPr>
                      <w:rFonts w:hint="eastAsia"/>
                      <w:color w:val="000000" w:themeColor="text1"/>
                      <w:szCs w:val="21"/>
                      <w:highlight w:val="none"/>
                      <w14:textFill>
                        <w14:solidFill>
                          <w14:schemeClr w14:val="tx1"/>
                        </w14:solidFill>
                      </w14:textFill>
                    </w:rPr>
                    <w:t>包装袋上有注册商标及QS标注，有检验合格证、生产日期和保质期。</w:t>
                  </w:r>
                </w:p>
              </w:tc>
            </w:tr>
          </w:tbl>
          <w:p w14:paraId="4A275073">
            <w:pPr>
              <w:pStyle w:val="21"/>
              <w:keepNext w:val="0"/>
              <w:keepLines w:val="0"/>
              <w:pageBreakBefore w:val="0"/>
              <w:tabs>
                <w:tab w:val="left" w:pos="545"/>
              </w:tabs>
              <w:kinsoku/>
              <w:wordWrap/>
              <w:overflowPunct/>
              <w:topLinePunct w:val="0"/>
              <w:autoSpaceDE/>
              <w:autoSpaceDN/>
              <w:bidi w:val="0"/>
              <w:spacing w:before="86"/>
              <w:ind w:left="420" w:leftChars="200" w:firstLine="0" w:firstLineChars="0"/>
              <w:jc w:val="left"/>
              <w:textAlignment w:val="auto"/>
              <w:outlineLvl w:val="9"/>
              <w:rPr>
                <w:color w:val="000000" w:themeColor="text1"/>
                <w:szCs w:val="21"/>
                <w:highlight w:val="none"/>
                <w14:textFill>
                  <w14:solidFill>
                    <w14:schemeClr w14:val="tx1"/>
                  </w14:solidFill>
                </w14:textFill>
              </w:rPr>
            </w:pPr>
          </w:p>
          <w:p w14:paraId="73143F18">
            <w:pPr>
              <w:pStyle w:val="21"/>
              <w:keepNext w:val="0"/>
              <w:keepLines w:val="0"/>
              <w:pageBreakBefore w:val="0"/>
              <w:tabs>
                <w:tab w:val="left" w:pos="545"/>
              </w:tabs>
              <w:kinsoku/>
              <w:wordWrap/>
              <w:overflowPunct/>
              <w:topLinePunct w:val="0"/>
              <w:autoSpaceDE/>
              <w:autoSpaceDN/>
              <w:bidi w:val="0"/>
              <w:spacing w:before="86"/>
              <w:ind w:left="420" w:leftChars="200" w:firstLine="0" w:firstLineChars="0"/>
              <w:jc w:val="left"/>
              <w:textAlignment w:val="auto"/>
              <w:outlineLvl w:val="9"/>
              <w:rPr>
                <w:color w:val="000000" w:themeColor="text1"/>
                <w:sz w:val="15"/>
                <w:highlight w:val="none"/>
                <w14:textFill>
                  <w14:solidFill>
                    <w14:schemeClr w14:val="tx1"/>
                  </w14:solidFill>
                </w14:textFill>
              </w:rPr>
            </w:pPr>
            <w:r>
              <w:rPr>
                <w:color w:val="000000" w:themeColor="text1"/>
                <w:szCs w:val="21"/>
                <w:highlight w:val="none"/>
                <w14:textFill>
                  <w14:solidFill>
                    <w14:schemeClr w14:val="tx1"/>
                  </w14:solidFill>
                </w14:textFill>
              </w:rPr>
              <w:t>大米检测标准要求</w:t>
            </w:r>
          </w:p>
          <w:tbl>
            <w:tblPr>
              <w:tblStyle w:val="15"/>
              <w:tblW w:w="708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930"/>
              <w:gridCol w:w="1392"/>
              <w:gridCol w:w="1100"/>
              <w:gridCol w:w="3661"/>
            </w:tblGrid>
            <w:tr w14:paraId="69CD2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083C97E5">
                  <w:pPr>
                    <w:keepNext w:val="0"/>
                    <w:keepLines w:val="0"/>
                    <w:pageBreakBefore w:val="0"/>
                    <w:kinsoku/>
                    <w:wordWrap/>
                    <w:overflowPunct/>
                    <w:topLinePunct w:val="0"/>
                    <w:autoSpaceDE/>
                    <w:autoSpaceDN/>
                    <w:bidi w:val="0"/>
                    <w:jc w:val="center"/>
                    <w:textAlignment w:val="auto"/>
                    <w:outlineLvl w:val="9"/>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序号</w:t>
                  </w:r>
                </w:p>
              </w:tc>
              <w:tc>
                <w:tcPr>
                  <w:tcW w:w="2492" w:type="dxa"/>
                  <w:gridSpan w:val="2"/>
                  <w:noWrap w:val="0"/>
                  <w:vAlign w:val="center"/>
                </w:tcPr>
                <w:p w14:paraId="48AE266A">
                  <w:pPr>
                    <w:keepNext w:val="0"/>
                    <w:keepLines w:val="0"/>
                    <w:pageBreakBefore w:val="0"/>
                    <w:kinsoku/>
                    <w:wordWrap/>
                    <w:overflowPunct/>
                    <w:topLinePunct w:val="0"/>
                    <w:autoSpaceDE/>
                    <w:autoSpaceDN/>
                    <w:bidi w:val="0"/>
                    <w:jc w:val="center"/>
                    <w:textAlignment w:val="auto"/>
                    <w:outlineLvl w:val="9"/>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内容</w:t>
                  </w:r>
                </w:p>
              </w:tc>
              <w:tc>
                <w:tcPr>
                  <w:tcW w:w="3661" w:type="dxa"/>
                  <w:noWrap w:val="0"/>
                  <w:vAlign w:val="center"/>
                </w:tcPr>
                <w:p w14:paraId="3461CB27">
                  <w:pPr>
                    <w:keepNext w:val="0"/>
                    <w:keepLines w:val="0"/>
                    <w:pageBreakBefore w:val="0"/>
                    <w:kinsoku/>
                    <w:wordWrap/>
                    <w:overflowPunct/>
                    <w:topLinePunct w:val="0"/>
                    <w:autoSpaceDE/>
                    <w:autoSpaceDN/>
                    <w:bidi w:val="0"/>
                    <w:jc w:val="center"/>
                    <w:textAlignment w:val="auto"/>
                    <w:outlineLvl w:val="9"/>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质量标准</w:t>
                  </w:r>
                </w:p>
              </w:tc>
            </w:tr>
            <w:tr w14:paraId="13AF9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7A8F24D3">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2492" w:type="dxa"/>
                  <w:gridSpan w:val="2"/>
                  <w:noWrap w:val="0"/>
                  <w:vAlign w:val="center"/>
                </w:tcPr>
                <w:p w14:paraId="6412760D">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加工精度</w:t>
                  </w:r>
                </w:p>
              </w:tc>
              <w:tc>
                <w:tcPr>
                  <w:tcW w:w="3661" w:type="dxa"/>
                  <w:noWrap w:val="0"/>
                  <w:vAlign w:val="center"/>
                </w:tcPr>
                <w:p w14:paraId="60274E11">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符合二等品或以上要求</w:t>
                  </w:r>
                </w:p>
              </w:tc>
            </w:tr>
            <w:tr w14:paraId="133B6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523221EA">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2492" w:type="dxa"/>
                  <w:gridSpan w:val="2"/>
                  <w:noWrap w:val="0"/>
                  <w:vAlign w:val="center"/>
                </w:tcPr>
                <w:p w14:paraId="7E62AAD0">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不完善粒</w:t>
                  </w:r>
                </w:p>
              </w:tc>
              <w:tc>
                <w:tcPr>
                  <w:tcW w:w="3661" w:type="dxa"/>
                  <w:noWrap w:val="0"/>
                  <w:vAlign w:val="center"/>
                </w:tcPr>
                <w:p w14:paraId="0B7DE57B">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≤6.0%</w:t>
                  </w:r>
                </w:p>
              </w:tc>
            </w:tr>
            <w:tr w14:paraId="0EBC9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08622482">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1392" w:type="dxa"/>
                  <w:vMerge w:val="restart"/>
                  <w:noWrap w:val="0"/>
                  <w:vAlign w:val="center"/>
                </w:tcPr>
                <w:p w14:paraId="75A94E73">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最大限度杂质</w:t>
                  </w:r>
                </w:p>
              </w:tc>
              <w:tc>
                <w:tcPr>
                  <w:tcW w:w="1100" w:type="dxa"/>
                  <w:noWrap w:val="0"/>
                  <w:vAlign w:val="center"/>
                </w:tcPr>
                <w:p w14:paraId="3EEB577D">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总量</w:t>
                  </w:r>
                </w:p>
              </w:tc>
              <w:tc>
                <w:tcPr>
                  <w:tcW w:w="3661" w:type="dxa"/>
                  <w:noWrap w:val="0"/>
                  <w:vAlign w:val="center"/>
                </w:tcPr>
                <w:p w14:paraId="0E5D4050">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≤0.40%</w:t>
                  </w:r>
                </w:p>
              </w:tc>
            </w:tr>
            <w:tr w14:paraId="4F822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8" w:hRule="atLeast"/>
                <w:jc w:val="center"/>
              </w:trPr>
              <w:tc>
                <w:tcPr>
                  <w:tcW w:w="930" w:type="dxa"/>
                  <w:noWrap w:val="0"/>
                  <w:vAlign w:val="center"/>
                </w:tcPr>
                <w:p w14:paraId="5D25A466">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p>
              </w:tc>
              <w:tc>
                <w:tcPr>
                  <w:tcW w:w="1392" w:type="dxa"/>
                  <w:vMerge w:val="continue"/>
                  <w:tcBorders>
                    <w:top w:val="nil"/>
                  </w:tcBorders>
                  <w:noWrap w:val="0"/>
                  <w:vAlign w:val="center"/>
                </w:tcPr>
                <w:p w14:paraId="19412517">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highlight w:val="none"/>
                      <w14:textFill>
                        <w14:solidFill>
                          <w14:schemeClr w14:val="tx1"/>
                        </w14:solidFill>
                      </w14:textFill>
                    </w:rPr>
                  </w:pPr>
                </w:p>
              </w:tc>
              <w:tc>
                <w:tcPr>
                  <w:tcW w:w="1100" w:type="dxa"/>
                  <w:noWrap w:val="0"/>
                  <w:vAlign w:val="center"/>
                </w:tcPr>
                <w:p w14:paraId="79613303">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糠粉</w:t>
                  </w:r>
                </w:p>
              </w:tc>
              <w:tc>
                <w:tcPr>
                  <w:tcW w:w="3661" w:type="dxa"/>
                  <w:noWrap w:val="0"/>
                  <w:vAlign w:val="center"/>
                </w:tcPr>
                <w:p w14:paraId="6F22E9BA">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≤0.20%</w:t>
                  </w:r>
                </w:p>
              </w:tc>
            </w:tr>
            <w:tr w14:paraId="15441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4D1E5D35">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p>
              </w:tc>
              <w:tc>
                <w:tcPr>
                  <w:tcW w:w="1392" w:type="dxa"/>
                  <w:vMerge w:val="continue"/>
                  <w:tcBorders>
                    <w:top w:val="nil"/>
                  </w:tcBorders>
                  <w:noWrap w:val="0"/>
                  <w:vAlign w:val="center"/>
                </w:tcPr>
                <w:p w14:paraId="7007771B">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highlight w:val="none"/>
                      <w14:textFill>
                        <w14:solidFill>
                          <w14:schemeClr w14:val="tx1"/>
                        </w14:solidFill>
                      </w14:textFill>
                    </w:rPr>
                  </w:pPr>
                </w:p>
              </w:tc>
              <w:tc>
                <w:tcPr>
                  <w:tcW w:w="1100" w:type="dxa"/>
                  <w:noWrap w:val="0"/>
                  <w:vAlign w:val="center"/>
                </w:tcPr>
                <w:p w14:paraId="439BBF5D">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矿物质</w:t>
                  </w:r>
                </w:p>
              </w:tc>
              <w:tc>
                <w:tcPr>
                  <w:tcW w:w="3661" w:type="dxa"/>
                  <w:noWrap w:val="0"/>
                  <w:vAlign w:val="center"/>
                </w:tcPr>
                <w:p w14:paraId="2BCA6B28">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≤0.02%</w:t>
                  </w:r>
                </w:p>
              </w:tc>
            </w:tr>
            <w:tr w14:paraId="31C1F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930" w:type="dxa"/>
                  <w:noWrap w:val="0"/>
                  <w:vAlign w:val="center"/>
                </w:tcPr>
                <w:p w14:paraId="0CF8A7C2">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w:t>
                  </w:r>
                </w:p>
              </w:tc>
              <w:tc>
                <w:tcPr>
                  <w:tcW w:w="1392" w:type="dxa"/>
                  <w:vMerge w:val="continue"/>
                  <w:tcBorders>
                    <w:top w:val="nil"/>
                  </w:tcBorders>
                  <w:noWrap w:val="0"/>
                  <w:vAlign w:val="center"/>
                </w:tcPr>
                <w:p w14:paraId="06A49E17">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highlight w:val="none"/>
                      <w14:textFill>
                        <w14:solidFill>
                          <w14:schemeClr w14:val="tx1"/>
                        </w14:solidFill>
                      </w14:textFill>
                    </w:rPr>
                  </w:pPr>
                </w:p>
              </w:tc>
              <w:tc>
                <w:tcPr>
                  <w:tcW w:w="1100" w:type="dxa"/>
                  <w:noWrap w:val="0"/>
                  <w:vAlign w:val="center"/>
                </w:tcPr>
                <w:p w14:paraId="3B09A4FD">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带壳稞 </w:t>
                  </w:r>
                </w:p>
              </w:tc>
              <w:tc>
                <w:tcPr>
                  <w:tcW w:w="3661" w:type="dxa"/>
                  <w:noWrap w:val="0"/>
                  <w:vAlign w:val="center"/>
                </w:tcPr>
                <w:p w14:paraId="7C3A420E">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≤70粒/kg</w:t>
                  </w:r>
                </w:p>
              </w:tc>
            </w:tr>
            <w:tr w14:paraId="2D0C8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6E525FD3">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w:t>
                  </w:r>
                </w:p>
              </w:tc>
              <w:tc>
                <w:tcPr>
                  <w:tcW w:w="1392" w:type="dxa"/>
                  <w:vMerge w:val="continue"/>
                  <w:tcBorders>
                    <w:top w:val="nil"/>
                  </w:tcBorders>
                  <w:noWrap w:val="0"/>
                  <w:vAlign w:val="center"/>
                </w:tcPr>
                <w:p w14:paraId="1836D127">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highlight w:val="none"/>
                      <w14:textFill>
                        <w14:solidFill>
                          <w14:schemeClr w14:val="tx1"/>
                        </w14:solidFill>
                      </w14:textFill>
                    </w:rPr>
                  </w:pPr>
                </w:p>
              </w:tc>
              <w:tc>
                <w:tcPr>
                  <w:tcW w:w="1100" w:type="dxa"/>
                  <w:noWrap w:val="0"/>
                  <w:vAlign w:val="center"/>
                </w:tcPr>
                <w:p w14:paraId="5E6CC102">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稻谷粒 </w:t>
                  </w:r>
                </w:p>
              </w:tc>
              <w:tc>
                <w:tcPr>
                  <w:tcW w:w="3661" w:type="dxa"/>
                  <w:noWrap w:val="0"/>
                  <w:vAlign w:val="center"/>
                </w:tcPr>
                <w:p w14:paraId="22238AC0">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≤16粒/kg</w:t>
                  </w:r>
                </w:p>
              </w:tc>
            </w:tr>
            <w:tr w14:paraId="5E33F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4338538F">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w:t>
                  </w:r>
                </w:p>
              </w:tc>
              <w:tc>
                <w:tcPr>
                  <w:tcW w:w="2492" w:type="dxa"/>
                  <w:gridSpan w:val="2"/>
                  <w:noWrap w:val="0"/>
                  <w:vAlign w:val="center"/>
                </w:tcPr>
                <w:p w14:paraId="07B00661">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碎米总量</w:t>
                  </w:r>
                </w:p>
              </w:tc>
              <w:tc>
                <w:tcPr>
                  <w:tcW w:w="3661" w:type="dxa"/>
                  <w:noWrap w:val="0"/>
                  <w:vAlign w:val="center"/>
                </w:tcPr>
                <w:p w14:paraId="22E6D857">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≤35.0%</w:t>
                  </w:r>
                </w:p>
              </w:tc>
            </w:tr>
            <w:tr w14:paraId="579F2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0B09409A">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w:t>
                  </w:r>
                </w:p>
              </w:tc>
              <w:tc>
                <w:tcPr>
                  <w:tcW w:w="2492" w:type="dxa"/>
                  <w:gridSpan w:val="2"/>
                  <w:noWrap w:val="0"/>
                  <w:vAlign w:val="center"/>
                </w:tcPr>
                <w:p w14:paraId="70D5C021">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小碎米</w:t>
                  </w:r>
                </w:p>
              </w:tc>
              <w:tc>
                <w:tcPr>
                  <w:tcW w:w="3661" w:type="dxa"/>
                  <w:noWrap w:val="0"/>
                  <w:vAlign w:val="center"/>
                </w:tcPr>
                <w:p w14:paraId="39345E91">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≤2.5%</w:t>
                  </w:r>
                </w:p>
              </w:tc>
            </w:tr>
            <w:tr w14:paraId="7D4FA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2A8521EC">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w:t>
                  </w:r>
                </w:p>
              </w:tc>
              <w:tc>
                <w:tcPr>
                  <w:tcW w:w="2492" w:type="dxa"/>
                  <w:gridSpan w:val="2"/>
                  <w:noWrap w:val="0"/>
                  <w:vAlign w:val="center"/>
                </w:tcPr>
                <w:p w14:paraId="5AA788C6">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黄粒米</w:t>
                  </w:r>
                </w:p>
              </w:tc>
              <w:tc>
                <w:tcPr>
                  <w:tcW w:w="3661" w:type="dxa"/>
                  <w:noWrap w:val="0"/>
                  <w:vAlign w:val="center"/>
                </w:tcPr>
                <w:p w14:paraId="7F2D5CDB">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≤2.0%</w:t>
                  </w:r>
                </w:p>
              </w:tc>
            </w:tr>
            <w:tr w14:paraId="4A9FF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4D3BFC32">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w:t>
                  </w:r>
                </w:p>
              </w:tc>
              <w:tc>
                <w:tcPr>
                  <w:tcW w:w="2492" w:type="dxa"/>
                  <w:gridSpan w:val="2"/>
                  <w:noWrap w:val="0"/>
                  <w:vAlign w:val="center"/>
                </w:tcPr>
                <w:p w14:paraId="0E886357">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水份</w:t>
                  </w:r>
                </w:p>
              </w:tc>
              <w:tc>
                <w:tcPr>
                  <w:tcW w:w="3661" w:type="dxa"/>
                  <w:noWrap w:val="0"/>
                  <w:vAlign w:val="center"/>
                </w:tcPr>
                <w:p w14:paraId="6CB5D75E">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≤14.0%</w:t>
                  </w:r>
                </w:p>
              </w:tc>
            </w:tr>
            <w:tr w14:paraId="4AAEC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48BE827F">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12</w:t>
                  </w:r>
                </w:p>
              </w:tc>
              <w:tc>
                <w:tcPr>
                  <w:tcW w:w="2492" w:type="dxa"/>
                  <w:gridSpan w:val="2"/>
                  <w:noWrap w:val="0"/>
                  <w:vAlign w:val="center"/>
                </w:tcPr>
                <w:p w14:paraId="16EFAFDA">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六六六 </w:t>
                  </w:r>
                </w:p>
              </w:tc>
              <w:tc>
                <w:tcPr>
                  <w:tcW w:w="3661" w:type="dxa"/>
                  <w:noWrap w:val="0"/>
                  <w:vAlign w:val="center"/>
                </w:tcPr>
                <w:p w14:paraId="6D601A97">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≤0.05mg/kg</w:t>
                  </w:r>
                </w:p>
              </w:tc>
            </w:tr>
            <w:tr w14:paraId="26003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693368B4">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13</w:t>
                  </w:r>
                </w:p>
              </w:tc>
              <w:tc>
                <w:tcPr>
                  <w:tcW w:w="2492" w:type="dxa"/>
                  <w:gridSpan w:val="2"/>
                  <w:noWrap w:val="0"/>
                  <w:vAlign w:val="center"/>
                </w:tcPr>
                <w:p w14:paraId="3D6BFFCA">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滴滴涕 </w:t>
                  </w:r>
                </w:p>
              </w:tc>
              <w:tc>
                <w:tcPr>
                  <w:tcW w:w="3661" w:type="dxa"/>
                  <w:noWrap w:val="0"/>
                  <w:vAlign w:val="center"/>
                </w:tcPr>
                <w:p w14:paraId="5BF02B49">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≤0.05mg/kg</w:t>
                  </w:r>
                </w:p>
              </w:tc>
            </w:tr>
            <w:tr w14:paraId="2D01B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jc w:val="center"/>
              </w:trPr>
              <w:tc>
                <w:tcPr>
                  <w:tcW w:w="930" w:type="dxa"/>
                  <w:noWrap w:val="0"/>
                  <w:vAlign w:val="center"/>
                </w:tcPr>
                <w:p w14:paraId="680155F2">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14</w:t>
                  </w:r>
                </w:p>
              </w:tc>
              <w:tc>
                <w:tcPr>
                  <w:tcW w:w="2492" w:type="dxa"/>
                  <w:gridSpan w:val="2"/>
                  <w:noWrap w:val="0"/>
                  <w:vAlign w:val="center"/>
                </w:tcPr>
                <w:p w14:paraId="68A38206">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色泽、气味、口味</w:t>
                  </w:r>
                </w:p>
              </w:tc>
              <w:tc>
                <w:tcPr>
                  <w:tcW w:w="3661" w:type="dxa"/>
                  <w:noWrap w:val="0"/>
                  <w:vAlign w:val="center"/>
                </w:tcPr>
                <w:p w14:paraId="04B16136">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正常</w:t>
                  </w:r>
                </w:p>
              </w:tc>
            </w:tr>
            <w:tr w14:paraId="36310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5FCD1D16">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15</w:t>
                  </w:r>
                </w:p>
              </w:tc>
              <w:tc>
                <w:tcPr>
                  <w:tcW w:w="2492" w:type="dxa"/>
                  <w:gridSpan w:val="2"/>
                  <w:noWrap w:val="0"/>
                  <w:vAlign w:val="center"/>
                </w:tcPr>
                <w:p w14:paraId="53F1F7EB">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标签检验</w:t>
                  </w:r>
                </w:p>
              </w:tc>
              <w:tc>
                <w:tcPr>
                  <w:tcW w:w="3661" w:type="dxa"/>
                  <w:noWrap w:val="0"/>
                  <w:vAlign w:val="center"/>
                </w:tcPr>
                <w:p w14:paraId="2DD8E851">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 GB2715-2016 标准第九款要求</w:t>
                  </w:r>
                </w:p>
              </w:tc>
            </w:tr>
            <w:tr w14:paraId="6DC64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0B82D67F">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16</w:t>
                  </w:r>
                </w:p>
              </w:tc>
              <w:tc>
                <w:tcPr>
                  <w:tcW w:w="2492" w:type="dxa"/>
                  <w:gridSpan w:val="2"/>
                  <w:noWrap w:val="0"/>
                  <w:vAlign w:val="center"/>
                </w:tcPr>
                <w:p w14:paraId="0D39FF25">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镉</w:t>
                  </w:r>
                </w:p>
              </w:tc>
              <w:tc>
                <w:tcPr>
                  <w:tcW w:w="3661" w:type="dxa"/>
                  <w:noWrap w:val="0"/>
                  <w:vAlign w:val="center"/>
                </w:tcPr>
                <w:p w14:paraId="45B94D63">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≤0.2mg/kg</w:t>
                  </w:r>
                </w:p>
              </w:tc>
            </w:tr>
          </w:tbl>
          <w:p w14:paraId="36831B37">
            <w:pPr>
              <w:pStyle w:val="21"/>
              <w:keepNext w:val="0"/>
              <w:keepLines w:val="0"/>
              <w:pageBreakBefore w:val="0"/>
              <w:tabs>
                <w:tab w:val="left" w:pos="545"/>
              </w:tabs>
              <w:kinsoku/>
              <w:wordWrap/>
              <w:overflowPunct/>
              <w:topLinePunct w:val="0"/>
              <w:autoSpaceDE/>
              <w:autoSpaceDN/>
              <w:bidi w:val="0"/>
              <w:spacing w:before="86"/>
              <w:ind w:firstLine="0" w:firstLineChars="0"/>
              <w:jc w:val="left"/>
              <w:textAlignment w:val="auto"/>
              <w:outlineLvl w:val="9"/>
              <w:rPr>
                <w:rFonts w:hint="eastAsia" w:ascii="宋体" w:hAnsi="宋体" w:cs="宋体"/>
                <w:color w:val="000000" w:themeColor="text1"/>
                <w:szCs w:val="21"/>
                <w:highlight w:val="none"/>
                <w14:textFill>
                  <w14:solidFill>
                    <w14:schemeClr w14:val="tx1"/>
                  </w14:solidFill>
                </w14:textFill>
              </w:rPr>
            </w:pPr>
          </w:p>
          <w:p w14:paraId="3CFAE716">
            <w:pPr>
              <w:pStyle w:val="21"/>
              <w:keepNext w:val="0"/>
              <w:keepLines w:val="0"/>
              <w:pageBreakBefore w:val="0"/>
              <w:tabs>
                <w:tab w:val="left" w:pos="545"/>
              </w:tabs>
              <w:kinsoku/>
              <w:wordWrap/>
              <w:overflowPunct/>
              <w:topLinePunct w:val="0"/>
              <w:autoSpaceDE/>
              <w:autoSpaceDN/>
              <w:bidi w:val="0"/>
              <w:spacing w:before="86"/>
              <w:ind w:firstLine="0" w:firstLineChars="0"/>
              <w:jc w:val="left"/>
              <w:textAlignment w:val="auto"/>
              <w:outlineLvl w:val="9"/>
              <w:rPr>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2）特</w:t>
            </w:r>
            <w:r>
              <w:rPr>
                <w:color w:val="000000" w:themeColor="text1"/>
                <w:szCs w:val="21"/>
                <w:highlight w:val="none"/>
                <w14:textFill>
                  <w14:solidFill>
                    <w14:schemeClr w14:val="tx1"/>
                  </w14:solidFill>
                </w14:textFill>
              </w:rPr>
              <w:t>一级面粉理化指标</w:t>
            </w:r>
          </w:p>
          <w:tbl>
            <w:tblPr>
              <w:tblStyle w:val="15"/>
              <w:tblW w:w="7578"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3630"/>
              <w:gridCol w:w="3948"/>
            </w:tblGrid>
            <w:tr w14:paraId="06FA074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3630" w:type="dxa"/>
                  <w:tcBorders>
                    <w:bottom w:val="single" w:color="000000" w:sz="6" w:space="0"/>
                    <w:right w:val="single" w:color="000000" w:sz="6" w:space="0"/>
                  </w:tcBorders>
                  <w:noWrap w:val="0"/>
                  <w:vAlign w:val="top"/>
                </w:tcPr>
                <w:p w14:paraId="5C9F559C">
                  <w:pPr>
                    <w:pStyle w:val="23"/>
                    <w:keepNext w:val="0"/>
                    <w:keepLines w:val="0"/>
                    <w:pageBreakBefore w:val="0"/>
                    <w:kinsoku/>
                    <w:wordWrap/>
                    <w:overflowPunct/>
                    <w:topLinePunct w:val="0"/>
                    <w:autoSpaceDE/>
                    <w:autoSpaceDN/>
                    <w:bidi w:val="0"/>
                    <w:spacing w:before="79"/>
                    <w:ind w:left="948" w:right="949"/>
                    <w:jc w:val="center"/>
                    <w:textAlignment w:val="auto"/>
                    <w:outlineLvl w:val="9"/>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项目</w:t>
                  </w:r>
                </w:p>
              </w:tc>
              <w:tc>
                <w:tcPr>
                  <w:tcW w:w="3948" w:type="dxa"/>
                  <w:tcBorders>
                    <w:left w:val="single" w:color="000000" w:sz="6" w:space="0"/>
                    <w:bottom w:val="single" w:color="000000" w:sz="6" w:space="0"/>
                  </w:tcBorders>
                  <w:noWrap w:val="0"/>
                  <w:vAlign w:val="top"/>
                </w:tcPr>
                <w:p w14:paraId="68E84B79">
                  <w:pPr>
                    <w:pStyle w:val="23"/>
                    <w:keepNext w:val="0"/>
                    <w:keepLines w:val="0"/>
                    <w:pageBreakBefore w:val="0"/>
                    <w:kinsoku/>
                    <w:wordWrap/>
                    <w:overflowPunct/>
                    <w:topLinePunct w:val="0"/>
                    <w:autoSpaceDE/>
                    <w:autoSpaceDN/>
                    <w:bidi w:val="0"/>
                    <w:spacing w:before="79"/>
                    <w:ind w:left="1015" w:right="1013"/>
                    <w:jc w:val="center"/>
                    <w:textAlignment w:val="auto"/>
                    <w:outlineLvl w:val="9"/>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指标</w:t>
                  </w:r>
                </w:p>
              </w:tc>
            </w:tr>
            <w:tr w14:paraId="049DA06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630" w:type="dxa"/>
                  <w:tcBorders>
                    <w:top w:val="single" w:color="000000" w:sz="6" w:space="0"/>
                    <w:bottom w:val="single" w:color="000000" w:sz="6" w:space="0"/>
                    <w:right w:val="single" w:color="000000" w:sz="6" w:space="0"/>
                  </w:tcBorders>
                  <w:noWrap w:val="0"/>
                  <w:vAlign w:val="top"/>
                </w:tcPr>
                <w:p w14:paraId="7EB4BCBA">
                  <w:pPr>
                    <w:pStyle w:val="23"/>
                    <w:keepNext w:val="0"/>
                    <w:keepLines w:val="0"/>
                    <w:pageBreakBefore w:val="0"/>
                    <w:kinsoku/>
                    <w:wordWrap/>
                    <w:overflowPunct/>
                    <w:topLinePunct w:val="0"/>
                    <w:autoSpaceDE/>
                    <w:autoSpaceDN/>
                    <w:bidi w:val="0"/>
                    <w:spacing w:before="80"/>
                    <w:ind w:left="968" w:right="949"/>
                    <w:jc w:val="center"/>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加工精度</w:t>
                  </w:r>
                </w:p>
              </w:tc>
              <w:tc>
                <w:tcPr>
                  <w:tcW w:w="3948" w:type="dxa"/>
                  <w:tcBorders>
                    <w:top w:val="single" w:color="000000" w:sz="6" w:space="0"/>
                    <w:left w:val="single" w:color="000000" w:sz="6" w:space="0"/>
                    <w:bottom w:val="single" w:color="000000" w:sz="6" w:space="0"/>
                  </w:tcBorders>
                  <w:noWrap w:val="0"/>
                  <w:vAlign w:val="top"/>
                </w:tcPr>
                <w:p w14:paraId="0C0E31C3">
                  <w:pPr>
                    <w:pStyle w:val="23"/>
                    <w:keepNext w:val="0"/>
                    <w:keepLines w:val="0"/>
                    <w:pageBreakBefore w:val="0"/>
                    <w:kinsoku/>
                    <w:wordWrap/>
                    <w:overflowPunct/>
                    <w:topLinePunct w:val="0"/>
                    <w:autoSpaceDE/>
                    <w:autoSpaceDN/>
                    <w:bidi w:val="0"/>
                    <w:spacing w:before="80"/>
                    <w:ind w:left="968" w:right="187" w:rightChars="0"/>
                    <w:jc w:val="center"/>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粉色合格，麸星合格</w:t>
                  </w:r>
                </w:p>
              </w:tc>
            </w:tr>
            <w:tr w14:paraId="40E0D58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2" w:hRule="atLeast"/>
                <w:jc w:val="center"/>
              </w:trPr>
              <w:tc>
                <w:tcPr>
                  <w:tcW w:w="3630" w:type="dxa"/>
                  <w:tcBorders>
                    <w:top w:val="single" w:color="000000" w:sz="6" w:space="0"/>
                    <w:bottom w:val="single" w:color="000000" w:sz="6" w:space="0"/>
                    <w:right w:val="single" w:color="000000" w:sz="6" w:space="0"/>
                  </w:tcBorders>
                  <w:noWrap w:val="0"/>
                  <w:vAlign w:val="top"/>
                </w:tcPr>
                <w:p w14:paraId="1D5D0D79">
                  <w:pPr>
                    <w:pStyle w:val="23"/>
                    <w:keepNext w:val="0"/>
                    <w:keepLines w:val="0"/>
                    <w:pageBreakBefore w:val="0"/>
                    <w:kinsoku/>
                    <w:wordWrap/>
                    <w:overflowPunct/>
                    <w:topLinePunct w:val="0"/>
                    <w:autoSpaceDE/>
                    <w:autoSpaceDN/>
                    <w:bidi w:val="0"/>
                    <w:spacing w:before="80"/>
                    <w:ind w:left="968" w:right="949"/>
                    <w:jc w:val="center"/>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粗细度</w:t>
                  </w:r>
                </w:p>
              </w:tc>
              <w:tc>
                <w:tcPr>
                  <w:tcW w:w="3948" w:type="dxa"/>
                  <w:tcBorders>
                    <w:top w:val="single" w:color="000000" w:sz="6" w:space="0"/>
                    <w:left w:val="single" w:color="000000" w:sz="6" w:space="0"/>
                    <w:bottom w:val="single" w:color="000000" w:sz="6" w:space="0"/>
                  </w:tcBorders>
                  <w:noWrap w:val="0"/>
                  <w:vAlign w:val="top"/>
                </w:tcPr>
                <w:p w14:paraId="2228DD72">
                  <w:pPr>
                    <w:pStyle w:val="23"/>
                    <w:keepNext w:val="0"/>
                    <w:keepLines w:val="0"/>
                    <w:pageBreakBefore w:val="0"/>
                    <w:kinsoku/>
                    <w:wordWrap/>
                    <w:overflowPunct/>
                    <w:topLinePunct w:val="0"/>
                    <w:autoSpaceDE/>
                    <w:autoSpaceDN/>
                    <w:bidi w:val="0"/>
                    <w:spacing w:before="80"/>
                    <w:ind w:right="146" w:rightChars="0"/>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GB36号全部通过；GB42晒留存量不超</w:t>
                  </w:r>
                  <w:r>
                    <w:rPr>
                      <w:rFonts w:hint="eastAsia"/>
                      <w:color w:val="000000" w:themeColor="text1"/>
                      <w:szCs w:val="21"/>
                      <w:highlight w:val="none"/>
                      <w14:textFill>
                        <w14:solidFill>
                          <w14:schemeClr w14:val="tx1"/>
                        </w14:solidFill>
                      </w14:textFill>
                    </w:rPr>
                    <w:t>过</w:t>
                  </w:r>
                  <w:r>
                    <w:rPr>
                      <w:color w:val="000000" w:themeColor="text1"/>
                      <w:szCs w:val="21"/>
                      <w:highlight w:val="none"/>
                      <w14:textFill>
                        <w14:solidFill>
                          <w14:schemeClr w14:val="tx1"/>
                        </w14:solidFill>
                      </w14:textFill>
                    </w:rPr>
                    <w:t>10.0%</w:t>
                  </w:r>
                </w:p>
              </w:tc>
            </w:tr>
            <w:tr w14:paraId="74615A5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2" w:hRule="atLeast"/>
                <w:jc w:val="center"/>
              </w:trPr>
              <w:tc>
                <w:tcPr>
                  <w:tcW w:w="3630" w:type="dxa"/>
                  <w:tcBorders>
                    <w:top w:val="single" w:color="000000" w:sz="6" w:space="0"/>
                    <w:bottom w:val="single" w:color="000000" w:sz="6" w:space="0"/>
                    <w:right w:val="single" w:color="000000" w:sz="6" w:space="0"/>
                  </w:tcBorders>
                  <w:noWrap w:val="0"/>
                  <w:vAlign w:val="top"/>
                </w:tcPr>
                <w:p w14:paraId="2CBA37DB">
                  <w:pPr>
                    <w:pStyle w:val="23"/>
                    <w:keepNext w:val="0"/>
                    <w:keepLines w:val="0"/>
                    <w:pageBreakBefore w:val="0"/>
                    <w:kinsoku/>
                    <w:wordWrap/>
                    <w:overflowPunct/>
                    <w:topLinePunct w:val="0"/>
                    <w:autoSpaceDE/>
                    <w:autoSpaceDN/>
                    <w:bidi w:val="0"/>
                    <w:spacing w:before="80"/>
                    <w:ind w:left="968" w:right="949"/>
                    <w:jc w:val="center"/>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面筋质（以湿重计）</w:t>
                  </w:r>
                </w:p>
              </w:tc>
              <w:tc>
                <w:tcPr>
                  <w:tcW w:w="3948" w:type="dxa"/>
                  <w:tcBorders>
                    <w:top w:val="single" w:color="000000" w:sz="6" w:space="0"/>
                    <w:left w:val="single" w:color="000000" w:sz="6" w:space="0"/>
                    <w:bottom w:val="single" w:color="000000" w:sz="6" w:space="0"/>
                  </w:tcBorders>
                  <w:noWrap w:val="0"/>
                  <w:vAlign w:val="top"/>
                </w:tcPr>
                <w:p w14:paraId="1BA20851">
                  <w:pPr>
                    <w:pStyle w:val="23"/>
                    <w:keepNext w:val="0"/>
                    <w:keepLines w:val="0"/>
                    <w:pageBreakBefore w:val="0"/>
                    <w:kinsoku/>
                    <w:wordWrap/>
                    <w:overflowPunct/>
                    <w:topLinePunct w:val="0"/>
                    <w:autoSpaceDE/>
                    <w:autoSpaceDN/>
                    <w:bidi w:val="0"/>
                    <w:spacing w:before="80"/>
                    <w:ind w:left="968" w:right="949"/>
                    <w:jc w:val="center"/>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≥26.0%</w:t>
                  </w:r>
                </w:p>
              </w:tc>
            </w:tr>
            <w:tr w14:paraId="32F8B51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2" w:hRule="atLeast"/>
                <w:jc w:val="center"/>
              </w:trPr>
              <w:tc>
                <w:tcPr>
                  <w:tcW w:w="3630" w:type="dxa"/>
                  <w:tcBorders>
                    <w:top w:val="single" w:color="000000" w:sz="6" w:space="0"/>
                    <w:bottom w:val="single" w:color="000000" w:sz="6" w:space="0"/>
                    <w:right w:val="single" w:color="000000" w:sz="6" w:space="0"/>
                  </w:tcBorders>
                  <w:noWrap w:val="0"/>
                  <w:vAlign w:val="top"/>
                </w:tcPr>
                <w:p w14:paraId="10B997F9">
                  <w:pPr>
                    <w:pStyle w:val="23"/>
                    <w:keepNext w:val="0"/>
                    <w:keepLines w:val="0"/>
                    <w:pageBreakBefore w:val="0"/>
                    <w:kinsoku/>
                    <w:wordWrap/>
                    <w:overflowPunct/>
                    <w:topLinePunct w:val="0"/>
                    <w:autoSpaceDE/>
                    <w:autoSpaceDN/>
                    <w:bidi w:val="0"/>
                    <w:spacing w:before="80"/>
                    <w:ind w:left="968" w:right="949"/>
                    <w:jc w:val="center"/>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含砂量</w:t>
                  </w:r>
                </w:p>
              </w:tc>
              <w:tc>
                <w:tcPr>
                  <w:tcW w:w="3948" w:type="dxa"/>
                  <w:tcBorders>
                    <w:top w:val="single" w:color="000000" w:sz="6" w:space="0"/>
                    <w:left w:val="single" w:color="000000" w:sz="6" w:space="0"/>
                    <w:bottom w:val="single" w:color="000000" w:sz="6" w:space="0"/>
                  </w:tcBorders>
                  <w:noWrap w:val="0"/>
                  <w:vAlign w:val="top"/>
                </w:tcPr>
                <w:p w14:paraId="30D983FC">
                  <w:pPr>
                    <w:pStyle w:val="23"/>
                    <w:keepNext w:val="0"/>
                    <w:keepLines w:val="0"/>
                    <w:pageBreakBefore w:val="0"/>
                    <w:kinsoku/>
                    <w:wordWrap/>
                    <w:overflowPunct/>
                    <w:topLinePunct w:val="0"/>
                    <w:autoSpaceDE/>
                    <w:autoSpaceDN/>
                    <w:bidi w:val="0"/>
                    <w:spacing w:before="80"/>
                    <w:ind w:left="968" w:right="949"/>
                    <w:jc w:val="center"/>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≤0.02%</w:t>
                  </w:r>
                </w:p>
              </w:tc>
            </w:tr>
            <w:tr w14:paraId="353CCAA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630" w:type="dxa"/>
                  <w:tcBorders>
                    <w:top w:val="single" w:color="000000" w:sz="6" w:space="0"/>
                    <w:bottom w:val="single" w:color="000000" w:sz="6" w:space="0"/>
                    <w:right w:val="single" w:color="000000" w:sz="6" w:space="0"/>
                  </w:tcBorders>
                  <w:noWrap w:val="0"/>
                  <w:vAlign w:val="top"/>
                </w:tcPr>
                <w:p w14:paraId="0C703046">
                  <w:pPr>
                    <w:pStyle w:val="23"/>
                    <w:keepNext w:val="0"/>
                    <w:keepLines w:val="0"/>
                    <w:pageBreakBefore w:val="0"/>
                    <w:kinsoku/>
                    <w:wordWrap/>
                    <w:overflowPunct/>
                    <w:topLinePunct w:val="0"/>
                    <w:autoSpaceDE/>
                    <w:autoSpaceDN/>
                    <w:bidi w:val="0"/>
                    <w:spacing w:before="80"/>
                    <w:ind w:left="968" w:right="949"/>
                    <w:jc w:val="center"/>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灰分（以干物质计）</w:t>
                  </w:r>
                </w:p>
              </w:tc>
              <w:tc>
                <w:tcPr>
                  <w:tcW w:w="3948" w:type="dxa"/>
                  <w:tcBorders>
                    <w:top w:val="single" w:color="000000" w:sz="6" w:space="0"/>
                    <w:left w:val="single" w:color="000000" w:sz="6" w:space="0"/>
                    <w:bottom w:val="single" w:color="000000" w:sz="6" w:space="0"/>
                  </w:tcBorders>
                  <w:noWrap w:val="0"/>
                  <w:vAlign w:val="top"/>
                </w:tcPr>
                <w:p w14:paraId="631BBDC7">
                  <w:pPr>
                    <w:pStyle w:val="23"/>
                    <w:keepNext w:val="0"/>
                    <w:keepLines w:val="0"/>
                    <w:pageBreakBefore w:val="0"/>
                    <w:kinsoku/>
                    <w:wordWrap/>
                    <w:overflowPunct/>
                    <w:topLinePunct w:val="0"/>
                    <w:autoSpaceDE/>
                    <w:autoSpaceDN/>
                    <w:bidi w:val="0"/>
                    <w:spacing w:before="80"/>
                    <w:ind w:left="968" w:right="949"/>
                    <w:jc w:val="center"/>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≤0.70%</w:t>
                  </w:r>
                </w:p>
              </w:tc>
            </w:tr>
            <w:tr w14:paraId="23F8BDA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630" w:type="dxa"/>
                  <w:tcBorders>
                    <w:top w:val="single" w:color="000000" w:sz="6" w:space="0"/>
                    <w:bottom w:val="single" w:color="000000" w:sz="6" w:space="0"/>
                    <w:right w:val="single" w:color="000000" w:sz="6" w:space="0"/>
                  </w:tcBorders>
                  <w:noWrap w:val="0"/>
                  <w:vAlign w:val="top"/>
                </w:tcPr>
                <w:p w14:paraId="2162D555">
                  <w:pPr>
                    <w:pStyle w:val="23"/>
                    <w:keepNext w:val="0"/>
                    <w:keepLines w:val="0"/>
                    <w:pageBreakBefore w:val="0"/>
                    <w:kinsoku/>
                    <w:wordWrap/>
                    <w:overflowPunct/>
                    <w:topLinePunct w:val="0"/>
                    <w:autoSpaceDE/>
                    <w:autoSpaceDN/>
                    <w:bidi w:val="0"/>
                    <w:spacing w:before="80"/>
                    <w:ind w:left="968" w:right="949"/>
                    <w:jc w:val="center"/>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水分</w:t>
                  </w:r>
                </w:p>
              </w:tc>
              <w:tc>
                <w:tcPr>
                  <w:tcW w:w="3948" w:type="dxa"/>
                  <w:tcBorders>
                    <w:top w:val="single" w:color="000000" w:sz="6" w:space="0"/>
                    <w:left w:val="single" w:color="000000" w:sz="6" w:space="0"/>
                    <w:bottom w:val="single" w:color="000000" w:sz="6" w:space="0"/>
                  </w:tcBorders>
                  <w:noWrap w:val="0"/>
                  <w:vAlign w:val="top"/>
                </w:tcPr>
                <w:p w14:paraId="6EBEA23F">
                  <w:pPr>
                    <w:pStyle w:val="23"/>
                    <w:keepNext w:val="0"/>
                    <w:keepLines w:val="0"/>
                    <w:pageBreakBefore w:val="0"/>
                    <w:kinsoku/>
                    <w:wordWrap/>
                    <w:overflowPunct/>
                    <w:topLinePunct w:val="0"/>
                    <w:autoSpaceDE/>
                    <w:autoSpaceDN/>
                    <w:bidi w:val="0"/>
                    <w:spacing w:before="80"/>
                    <w:ind w:left="968" w:right="949"/>
                    <w:jc w:val="center"/>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≤14.0%</w:t>
                  </w:r>
                </w:p>
              </w:tc>
            </w:tr>
            <w:tr w14:paraId="277BE41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630" w:type="dxa"/>
                  <w:tcBorders>
                    <w:top w:val="single" w:color="000000" w:sz="6" w:space="0"/>
                    <w:bottom w:val="single" w:color="000000" w:sz="6" w:space="0"/>
                    <w:right w:val="single" w:color="000000" w:sz="6" w:space="0"/>
                  </w:tcBorders>
                  <w:noWrap w:val="0"/>
                  <w:vAlign w:val="top"/>
                </w:tcPr>
                <w:p w14:paraId="30DBA2DF">
                  <w:pPr>
                    <w:pStyle w:val="23"/>
                    <w:keepNext w:val="0"/>
                    <w:keepLines w:val="0"/>
                    <w:pageBreakBefore w:val="0"/>
                    <w:kinsoku/>
                    <w:wordWrap/>
                    <w:overflowPunct/>
                    <w:topLinePunct w:val="0"/>
                    <w:autoSpaceDE/>
                    <w:autoSpaceDN/>
                    <w:bidi w:val="0"/>
                    <w:spacing w:before="80"/>
                    <w:ind w:left="968" w:right="949"/>
                    <w:jc w:val="center"/>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磁性金属物质</w:t>
                  </w:r>
                </w:p>
              </w:tc>
              <w:tc>
                <w:tcPr>
                  <w:tcW w:w="3948" w:type="dxa"/>
                  <w:tcBorders>
                    <w:top w:val="single" w:color="000000" w:sz="6" w:space="0"/>
                    <w:left w:val="single" w:color="000000" w:sz="6" w:space="0"/>
                    <w:bottom w:val="single" w:color="000000" w:sz="6" w:space="0"/>
                  </w:tcBorders>
                  <w:noWrap w:val="0"/>
                  <w:vAlign w:val="top"/>
                </w:tcPr>
                <w:p w14:paraId="3E62C80D">
                  <w:pPr>
                    <w:pStyle w:val="23"/>
                    <w:keepNext w:val="0"/>
                    <w:keepLines w:val="0"/>
                    <w:pageBreakBefore w:val="0"/>
                    <w:kinsoku/>
                    <w:wordWrap/>
                    <w:overflowPunct/>
                    <w:topLinePunct w:val="0"/>
                    <w:autoSpaceDE/>
                    <w:autoSpaceDN/>
                    <w:bidi w:val="0"/>
                    <w:spacing w:before="80"/>
                    <w:ind w:left="968" w:right="949"/>
                    <w:jc w:val="center"/>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≤0.003g/kg</w:t>
                  </w:r>
                </w:p>
              </w:tc>
            </w:tr>
            <w:tr w14:paraId="6BC2817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630" w:type="dxa"/>
                  <w:tcBorders>
                    <w:top w:val="single" w:color="000000" w:sz="6" w:space="0"/>
                    <w:bottom w:val="single" w:color="000000" w:sz="6" w:space="0"/>
                    <w:right w:val="single" w:color="000000" w:sz="6" w:space="0"/>
                  </w:tcBorders>
                  <w:noWrap w:val="0"/>
                  <w:vAlign w:val="top"/>
                </w:tcPr>
                <w:p w14:paraId="10034D73">
                  <w:pPr>
                    <w:pStyle w:val="23"/>
                    <w:keepNext w:val="0"/>
                    <w:keepLines w:val="0"/>
                    <w:pageBreakBefore w:val="0"/>
                    <w:kinsoku/>
                    <w:wordWrap/>
                    <w:overflowPunct/>
                    <w:topLinePunct w:val="0"/>
                    <w:autoSpaceDE/>
                    <w:autoSpaceDN/>
                    <w:bidi w:val="0"/>
                    <w:spacing w:before="80"/>
                    <w:ind w:left="968" w:right="949"/>
                    <w:jc w:val="center"/>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脂肪酸值（湿基计）</w:t>
                  </w:r>
                </w:p>
              </w:tc>
              <w:tc>
                <w:tcPr>
                  <w:tcW w:w="3948" w:type="dxa"/>
                  <w:tcBorders>
                    <w:top w:val="single" w:color="000000" w:sz="6" w:space="0"/>
                    <w:left w:val="single" w:color="000000" w:sz="6" w:space="0"/>
                    <w:bottom w:val="single" w:color="000000" w:sz="6" w:space="0"/>
                  </w:tcBorders>
                  <w:noWrap w:val="0"/>
                  <w:vAlign w:val="top"/>
                </w:tcPr>
                <w:p w14:paraId="7BC35FBF">
                  <w:pPr>
                    <w:pStyle w:val="23"/>
                    <w:keepNext w:val="0"/>
                    <w:keepLines w:val="0"/>
                    <w:pageBreakBefore w:val="0"/>
                    <w:kinsoku/>
                    <w:wordWrap/>
                    <w:overflowPunct/>
                    <w:topLinePunct w:val="0"/>
                    <w:autoSpaceDE/>
                    <w:autoSpaceDN/>
                    <w:bidi w:val="0"/>
                    <w:spacing w:before="80"/>
                    <w:ind w:left="968" w:right="949"/>
                    <w:jc w:val="center"/>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≤80</w:t>
                  </w:r>
                </w:p>
              </w:tc>
            </w:tr>
            <w:tr w14:paraId="4AA0B49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630" w:type="dxa"/>
                  <w:tcBorders>
                    <w:top w:val="single" w:color="000000" w:sz="6" w:space="0"/>
                    <w:bottom w:val="single" w:color="000000" w:sz="6" w:space="0"/>
                    <w:right w:val="single" w:color="000000" w:sz="6" w:space="0"/>
                  </w:tcBorders>
                  <w:noWrap w:val="0"/>
                  <w:vAlign w:val="top"/>
                </w:tcPr>
                <w:p w14:paraId="3CD425E6">
                  <w:pPr>
                    <w:pStyle w:val="23"/>
                    <w:keepNext w:val="0"/>
                    <w:keepLines w:val="0"/>
                    <w:pageBreakBefore w:val="0"/>
                    <w:kinsoku/>
                    <w:wordWrap/>
                    <w:overflowPunct/>
                    <w:topLinePunct w:val="0"/>
                    <w:autoSpaceDE/>
                    <w:autoSpaceDN/>
                    <w:bidi w:val="0"/>
                    <w:spacing w:before="80"/>
                    <w:ind w:right="949"/>
                    <w:jc w:val="center"/>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六六六（以成品粮计）</w:t>
                  </w:r>
                </w:p>
              </w:tc>
              <w:tc>
                <w:tcPr>
                  <w:tcW w:w="3948" w:type="dxa"/>
                  <w:tcBorders>
                    <w:top w:val="single" w:color="000000" w:sz="6" w:space="0"/>
                    <w:left w:val="single" w:color="000000" w:sz="6" w:space="0"/>
                    <w:bottom w:val="single" w:color="000000" w:sz="6" w:space="0"/>
                  </w:tcBorders>
                  <w:noWrap w:val="0"/>
                  <w:vAlign w:val="top"/>
                </w:tcPr>
                <w:p w14:paraId="4812B512">
                  <w:pPr>
                    <w:pStyle w:val="23"/>
                    <w:keepNext w:val="0"/>
                    <w:keepLines w:val="0"/>
                    <w:pageBreakBefore w:val="0"/>
                    <w:kinsoku/>
                    <w:wordWrap/>
                    <w:overflowPunct/>
                    <w:topLinePunct w:val="0"/>
                    <w:autoSpaceDE/>
                    <w:autoSpaceDN/>
                    <w:bidi w:val="0"/>
                    <w:spacing w:before="80"/>
                    <w:ind w:left="968" w:right="949"/>
                    <w:jc w:val="center"/>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≤0.3mg/kg</w:t>
                  </w:r>
                </w:p>
              </w:tc>
            </w:tr>
            <w:tr w14:paraId="197C6B9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630" w:type="dxa"/>
                  <w:tcBorders>
                    <w:top w:val="single" w:color="000000" w:sz="6" w:space="0"/>
                    <w:bottom w:val="single" w:color="000000" w:sz="6" w:space="0"/>
                    <w:right w:val="single" w:color="000000" w:sz="6" w:space="0"/>
                  </w:tcBorders>
                  <w:noWrap w:val="0"/>
                  <w:vAlign w:val="top"/>
                </w:tcPr>
                <w:p w14:paraId="1E975BF9">
                  <w:pPr>
                    <w:pStyle w:val="23"/>
                    <w:keepNext w:val="0"/>
                    <w:keepLines w:val="0"/>
                    <w:pageBreakBefore w:val="0"/>
                    <w:kinsoku/>
                    <w:wordWrap/>
                    <w:overflowPunct/>
                    <w:topLinePunct w:val="0"/>
                    <w:autoSpaceDE/>
                    <w:autoSpaceDN/>
                    <w:bidi w:val="0"/>
                    <w:spacing w:before="80"/>
                    <w:ind w:right="949"/>
                    <w:jc w:val="center"/>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滴滴涕（成品粮计）</w:t>
                  </w:r>
                </w:p>
              </w:tc>
              <w:tc>
                <w:tcPr>
                  <w:tcW w:w="3948" w:type="dxa"/>
                  <w:tcBorders>
                    <w:top w:val="single" w:color="000000" w:sz="6" w:space="0"/>
                    <w:left w:val="single" w:color="000000" w:sz="6" w:space="0"/>
                    <w:bottom w:val="single" w:color="000000" w:sz="6" w:space="0"/>
                  </w:tcBorders>
                  <w:noWrap w:val="0"/>
                  <w:vAlign w:val="top"/>
                </w:tcPr>
                <w:p w14:paraId="529D1245">
                  <w:pPr>
                    <w:pStyle w:val="23"/>
                    <w:keepNext w:val="0"/>
                    <w:keepLines w:val="0"/>
                    <w:pageBreakBefore w:val="0"/>
                    <w:kinsoku/>
                    <w:wordWrap/>
                    <w:overflowPunct/>
                    <w:topLinePunct w:val="0"/>
                    <w:autoSpaceDE/>
                    <w:autoSpaceDN/>
                    <w:bidi w:val="0"/>
                    <w:spacing w:before="80"/>
                    <w:ind w:left="968" w:right="949"/>
                    <w:jc w:val="center"/>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≤0.2mg/kg</w:t>
                  </w:r>
                </w:p>
              </w:tc>
            </w:tr>
            <w:tr w14:paraId="22FAA6E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630" w:type="dxa"/>
                  <w:tcBorders>
                    <w:top w:val="single" w:color="000000" w:sz="6" w:space="0"/>
                    <w:bottom w:val="single" w:color="000000" w:sz="6" w:space="0"/>
                    <w:right w:val="single" w:color="000000" w:sz="6" w:space="0"/>
                  </w:tcBorders>
                  <w:noWrap w:val="0"/>
                  <w:vAlign w:val="top"/>
                </w:tcPr>
                <w:p w14:paraId="42B61508">
                  <w:pPr>
                    <w:pStyle w:val="23"/>
                    <w:keepNext w:val="0"/>
                    <w:keepLines w:val="0"/>
                    <w:pageBreakBefore w:val="0"/>
                    <w:kinsoku/>
                    <w:wordWrap/>
                    <w:overflowPunct/>
                    <w:topLinePunct w:val="0"/>
                    <w:autoSpaceDE/>
                    <w:autoSpaceDN/>
                    <w:bidi w:val="0"/>
                    <w:spacing w:before="80"/>
                    <w:ind w:left="968" w:right="949"/>
                    <w:jc w:val="center"/>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汞（成品粮计）</w:t>
                  </w:r>
                </w:p>
              </w:tc>
              <w:tc>
                <w:tcPr>
                  <w:tcW w:w="3948" w:type="dxa"/>
                  <w:tcBorders>
                    <w:top w:val="single" w:color="000000" w:sz="6" w:space="0"/>
                    <w:left w:val="single" w:color="000000" w:sz="6" w:space="0"/>
                    <w:bottom w:val="single" w:color="000000" w:sz="6" w:space="0"/>
                  </w:tcBorders>
                  <w:noWrap w:val="0"/>
                  <w:vAlign w:val="top"/>
                </w:tcPr>
                <w:p w14:paraId="672F4E0E">
                  <w:pPr>
                    <w:pStyle w:val="23"/>
                    <w:keepNext w:val="0"/>
                    <w:keepLines w:val="0"/>
                    <w:pageBreakBefore w:val="0"/>
                    <w:kinsoku/>
                    <w:wordWrap/>
                    <w:overflowPunct/>
                    <w:topLinePunct w:val="0"/>
                    <w:autoSpaceDE/>
                    <w:autoSpaceDN/>
                    <w:bidi w:val="0"/>
                    <w:spacing w:before="80"/>
                    <w:ind w:left="968" w:right="949"/>
                    <w:jc w:val="center"/>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≤0.02mg/kg</w:t>
                  </w:r>
                </w:p>
              </w:tc>
            </w:tr>
            <w:tr w14:paraId="6D266F6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8" w:hRule="atLeast"/>
                <w:jc w:val="center"/>
              </w:trPr>
              <w:tc>
                <w:tcPr>
                  <w:tcW w:w="3630" w:type="dxa"/>
                  <w:tcBorders>
                    <w:top w:val="single" w:color="000000" w:sz="6" w:space="0"/>
                    <w:right w:val="single" w:color="000000" w:sz="6" w:space="0"/>
                  </w:tcBorders>
                  <w:noWrap w:val="0"/>
                  <w:vAlign w:val="top"/>
                </w:tcPr>
                <w:p w14:paraId="3A7B9120">
                  <w:pPr>
                    <w:pStyle w:val="23"/>
                    <w:keepNext w:val="0"/>
                    <w:keepLines w:val="0"/>
                    <w:pageBreakBefore w:val="0"/>
                    <w:kinsoku/>
                    <w:wordWrap/>
                    <w:overflowPunct/>
                    <w:topLinePunct w:val="0"/>
                    <w:autoSpaceDE/>
                    <w:autoSpaceDN/>
                    <w:bidi w:val="0"/>
                    <w:spacing w:before="80"/>
                    <w:ind w:left="968" w:right="949"/>
                    <w:jc w:val="center"/>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黄霉素毒素B1</w:t>
                  </w:r>
                </w:p>
              </w:tc>
              <w:tc>
                <w:tcPr>
                  <w:tcW w:w="3948" w:type="dxa"/>
                  <w:tcBorders>
                    <w:top w:val="single" w:color="000000" w:sz="6" w:space="0"/>
                    <w:left w:val="single" w:color="000000" w:sz="6" w:space="0"/>
                  </w:tcBorders>
                  <w:noWrap w:val="0"/>
                  <w:vAlign w:val="top"/>
                </w:tcPr>
                <w:p w14:paraId="7FA7BF95">
                  <w:pPr>
                    <w:pStyle w:val="23"/>
                    <w:keepNext w:val="0"/>
                    <w:keepLines w:val="0"/>
                    <w:pageBreakBefore w:val="0"/>
                    <w:kinsoku/>
                    <w:wordWrap/>
                    <w:overflowPunct/>
                    <w:topLinePunct w:val="0"/>
                    <w:autoSpaceDE/>
                    <w:autoSpaceDN/>
                    <w:bidi w:val="0"/>
                    <w:spacing w:before="80"/>
                    <w:ind w:left="968" w:right="949"/>
                    <w:jc w:val="center"/>
                    <w:textAlignment w:val="auto"/>
                    <w:outlineLvl w:val="9"/>
                    <w:rPr>
                      <w:rFonts w:hint="eastAsia" w:eastAsia="宋体"/>
                      <w:color w:val="000000" w:themeColor="text1"/>
                      <w:szCs w:val="21"/>
                      <w:highlight w:val="none"/>
                      <w:lang w:val="en-US" w:eastAsia="zh-CN"/>
                      <w14:textFill>
                        <w14:solidFill>
                          <w14:schemeClr w14:val="tx1"/>
                        </w14:solidFill>
                      </w14:textFill>
                    </w:rPr>
                  </w:pPr>
                  <w:r>
                    <w:rPr>
                      <w:color w:val="000000" w:themeColor="text1"/>
                      <w:szCs w:val="21"/>
                      <w:highlight w:val="none"/>
                      <w14:textFill>
                        <w14:solidFill>
                          <w14:schemeClr w14:val="tx1"/>
                        </w14:solidFill>
                      </w14:textFill>
                    </w:rPr>
                    <w:t>≤5μg/kg</w:t>
                  </w:r>
                  <w:r>
                    <w:rPr>
                      <w:rFonts w:hint="eastAsia"/>
                      <w:color w:val="000000" w:themeColor="text1"/>
                      <w:szCs w:val="21"/>
                      <w:highlight w:val="none"/>
                      <w:lang w:val="en-US" w:eastAsia="zh-CN"/>
                      <w14:textFill>
                        <w14:solidFill>
                          <w14:schemeClr w14:val="tx1"/>
                        </w14:solidFill>
                      </w14:textFill>
                    </w:rPr>
                    <w:t xml:space="preserve"> </w:t>
                  </w:r>
                </w:p>
              </w:tc>
            </w:tr>
          </w:tbl>
          <w:p w14:paraId="636A4349">
            <w:pPr>
              <w:pStyle w:val="21"/>
              <w:keepNext w:val="0"/>
              <w:keepLines w:val="0"/>
              <w:pageBreakBefore w:val="0"/>
              <w:tabs>
                <w:tab w:val="left" w:pos="545"/>
              </w:tabs>
              <w:kinsoku/>
              <w:wordWrap/>
              <w:overflowPunct/>
              <w:topLinePunct w:val="0"/>
              <w:autoSpaceDE/>
              <w:autoSpaceDN/>
              <w:bidi w:val="0"/>
              <w:spacing w:before="141"/>
              <w:ind w:firstLine="0" w:firstLineChars="0"/>
              <w:jc w:val="left"/>
              <w:textAlignment w:val="auto"/>
              <w:outlineLvl w:val="9"/>
              <w:rPr>
                <w:color w:val="000000" w:themeColor="text1"/>
                <w:szCs w:val="21"/>
                <w:highlight w:val="none"/>
                <w14:textFill>
                  <w14:solidFill>
                    <w14:schemeClr w14:val="tx1"/>
                  </w14:solidFill>
                </w14:textFill>
              </w:rPr>
            </w:pPr>
          </w:p>
          <w:p w14:paraId="02C03731">
            <w:pPr>
              <w:pStyle w:val="21"/>
              <w:keepNext w:val="0"/>
              <w:keepLines w:val="0"/>
              <w:pageBreakBefore w:val="0"/>
              <w:tabs>
                <w:tab w:val="left" w:pos="545"/>
              </w:tabs>
              <w:kinsoku/>
              <w:wordWrap/>
              <w:overflowPunct/>
              <w:topLinePunct w:val="0"/>
              <w:autoSpaceDE/>
              <w:autoSpaceDN/>
              <w:bidi w:val="0"/>
              <w:spacing w:before="141"/>
              <w:ind w:firstLine="0" w:firstLineChars="0"/>
              <w:jc w:val="left"/>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标准面粉理化指标</w:t>
            </w:r>
          </w:p>
          <w:tbl>
            <w:tblPr>
              <w:tblStyle w:val="15"/>
              <w:tblW w:w="7650"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3317"/>
              <w:gridCol w:w="4333"/>
            </w:tblGrid>
            <w:tr w14:paraId="413D61A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jc w:val="center"/>
              </w:trPr>
              <w:tc>
                <w:tcPr>
                  <w:tcW w:w="3317" w:type="dxa"/>
                  <w:tcBorders>
                    <w:bottom w:val="single" w:color="000000" w:sz="6" w:space="0"/>
                    <w:right w:val="single" w:color="000000" w:sz="6" w:space="0"/>
                  </w:tcBorders>
                  <w:noWrap w:val="0"/>
                  <w:vAlign w:val="center"/>
                </w:tcPr>
                <w:p w14:paraId="78EA1367">
                  <w:pPr>
                    <w:keepNext w:val="0"/>
                    <w:keepLines w:val="0"/>
                    <w:pageBreakBefore w:val="0"/>
                    <w:kinsoku/>
                    <w:wordWrap/>
                    <w:overflowPunct/>
                    <w:topLinePunct w:val="0"/>
                    <w:autoSpaceDE/>
                    <w:autoSpaceDN/>
                    <w:bidi w:val="0"/>
                    <w:jc w:val="center"/>
                    <w:textAlignment w:val="auto"/>
                    <w:outlineLvl w:val="9"/>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项目</w:t>
                  </w:r>
                </w:p>
              </w:tc>
              <w:tc>
                <w:tcPr>
                  <w:tcW w:w="4333" w:type="dxa"/>
                  <w:tcBorders>
                    <w:left w:val="single" w:color="000000" w:sz="6" w:space="0"/>
                    <w:bottom w:val="single" w:color="000000" w:sz="6" w:space="0"/>
                  </w:tcBorders>
                  <w:noWrap w:val="0"/>
                  <w:vAlign w:val="center"/>
                </w:tcPr>
                <w:p w14:paraId="30CA68AA">
                  <w:pPr>
                    <w:keepNext w:val="0"/>
                    <w:keepLines w:val="0"/>
                    <w:pageBreakBefore w:val="0"/>
                    <w:kinsoku/>
                    <w:wordWrap/>
                    <w:overflowPunct/>
                    <w:topLinePunct w:val="0"/>
                    <w:autoSpaceDE/>
                    <w:autoSpaceDN/>
                    <w:bidi w:val="0"/>
                    <w:jc w:val="center"/>
                    <w:textAlignment w:val="auto"/>
                    <w:outlineLvl w:val="9"/>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指标</w:t>
                  </w:r>
                </w:p>
              </w:tc>
            </w:tr>
            <w:tr w14:paraId="0D1431B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317" w:type="dxa"/>
                  <w:tcBorders>
                    <w:top w:val="single" w:color="000000" w:sz="6" w:space="0"/>
                    <w:bottom w:val="single" w:color="000000" w:sz="6" w:space="0"/>
                    <w:right w:val="single" w:color="000000" w:sz="6" w:space="0"/>
                  </w:tcBorders>
                  <w:noWrap w:val="0"/>
                  <w:vAlign w:val="center"/>
                </w:tcPr>
                <w:p w14:paraId="1DE1EE3D">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加工精度</w:t>
                  </w:r>
                </w:p>
              </w:tc>
              <w:tc>
                <w:tcPr>
                  <w:tcW w:w="4333" w:type="dxa"/>
                  <w:tcBorders>
                    <w:top w:val="single" w:color="000000" w:sz="6" w:space="0"/>
                    <w:left w:val="single" w:color="000000" w:sz="6" w:space="0"/>
                    <w:bottom w:val="single" w:color="000000" w:sz="6" w:space="0"/>
                  </w:tcBorders>
                  <w:noWrap w:val="0"/>
                  <w:vAlign w:val="center"/>
                </w:tcPr>
                <w:p w14:paraId="21F4B6AA">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对照实物标准样品对照检验粉色、麸星</w:t>
                  </w:r>
                </w:p>
              </w:tc>
            </w:tr>
            <w:tr w14:paraId="49D6265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317" w:type="dxa"/>
                  <w:tcBorders>
                    <w:top w:val="single" w:color="000000" w:sz="6" w:space="0"/>
                    <w:bottom w:val="single" w:color="000000" w:sz="6" w:space="0"/>
                    <w:right w:val="single" w:color="000000" w:sz="6" w:space="0"/>
                  </w:tcBorders>
                  <w:noWrap w:val="0"/>
                  <w:vAlign w:val="center"/>
                </w:tcPr>
                <w:p w14:paraId="69CF807E">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灰分（以干物质计）</w:t>
                  </w:r>
                </w:p>
              </w:tc>
              <w:tc>
                <w:tcPr>
                  <w:tcW w:w="4333" w:type="dxa"/>
                  <w:tcBorders>
                    <w:top w:val="single" w:color="000000" w:sz="6" w:space="0"/>
                    <w:left w:val="single" w:color="000000" w:sz="6" w:space="0"/>
                    <w:bottom w:val="single" w:color="000000" w:sz="6" w:space="0"/>
                  </w:tcBorders>
                  <w:noWrap w:val="0"/>
                  <w:vAlign w:val="center"/>
                </w:tcPr>
                <w:p w14:paraId="7E05D957">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≤1.10%</w:t>
                  </w:r>
                </w:p>
              </w:tc>
            </w:tr>
            <w:tr w14:paraId="2FBFECB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317" w:type="dxa"/>
                  <w:tcBorders>
                    <w:top w:val="single" w:color="000000" w:sz="6" w:space="0"/>
                    <w:bottom w:val="single" w:color="000000" w:sz="6" w:space="0"/>
                    <w:right w:val="single" w:color="000000" w:sz="6" w:space="0"/>
                  </w:tcBorders>
                  <w:noWrap w:val="0"/>
                  <w:vAlign w:val="center"/>
                </w:tcPr>
                <w:p w14:paraId="7D60A39F">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水分</w:t>
                  </w:r>
                </w:p>
              </w:tc>
              <w:tc>
                <w:tcPr>
                  <w:tcW w:w="4333" w:type="dxa"/>
                  <w:tcBorders>
                    <w:top w:val="single" w:color="000000" w:sz="6" w:space="0"/>
                    <w:left w:val="single" w:color="000000" w:sz="6" w:space="0"/>
                    <w:bottom w:val="single" w:color="000000" w:sz="6" w:space="0"/>
                  </w:tcBorders>
                  <w:noWrap w:val="0"/>
                  <w:vAlign w:val="center"/>
                </w:tcPr>
                <w:p w14:paraId="2DD3B557">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≤14.0%</w:t>
                  </w:r>
                </w:p>
              </w:tc>
            </w:tr>
            <w:tr w14:paraId="327C57A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317" w:type="dxa"/>
                  <w:tcBorders>
                    <w:top w:val="single" w:color="000000" w:sz="6" w:space="0"/>
                    <w:bottom w:val="single" w:color="000000" w:sz="6" w:space="0"/>
                    <w:right w:val="single" w:color="000000" w:sz="6" w:space="0"/>
                  </w:tcBorders>
                  <w:noWrap w:val="0"/>
                  <w:vAlign w:val="center"/>
                </w:tcPr>
                <w:p w14:paraId="634E2DA6">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粗细度</w:t>
                  </w:r>
                </w:p>
              </w:tc>
              <w:tc>
                <w:tcPr>
                  <w:tcW w:w="4333" w:type="dxa"/>
                  <w:tcBorders>
                    <w:top w:val="single" w:color="000000" w:sz="6" w:space="0"/>
                    <w:left w:val="single" w:color="000000" w:sz="6" w:space="0"/>
                    <w:bottom w:val="single" w:color="000000" w:sz="6" w:space="0"/>
                  </w:tcBorders>
                  <w:noWrap w:val="0"/>
                  <w:vAlign w:val="center"/>
                </w:tcPr>
                <w:p w14:paraId="48144064">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全部通过CQ20号筛，留存在CB30号筛的不超过20.0%</w:t>
                  </w:r>
                </w:p>
              </w:tc>
            </w:tr>
            <w:tr w14:paraId="13B5C3F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317" w:type="dxa"/>
                  <w:tcBorders>
                    <w:top w:val="single" w:color="000000" w:sz="6" w:space="0"/>
                    <w:bottom w:val="single" w:color="000000" w:sz="6" w:space="0"/>
                    <w:right w:val="single" w:color="000000" w:sz="6" w:space="0"/>
                  </w:tcBorders>
                  <w:noWrap w:val="0"/>
                  <w:vAlign w:val="center"/>
                </w:tcPr>
                <w:p w14:paraId="444CC409">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面筋质</w:t>
                  </w:r>
                </w:p>
              </w:tc>
              <w:tc>
                <w:tcPr>
                  <w:tcW w:w="4333" w:type="dxa"/>
                  <w:tcBorders>
                    <w:top w:val="single" w:color="000000" w:sz="6" w:space="0"/>
                    <w:left w:val="single" w:color="000000" w:sz="6" w:space="0"/>
                    <w:bottom w:val="single" w:color="000000" w:sz="6" w:space="0"/>
                  </w:tcBorders>
                  <w:noWrap w:val="0"/>
                  <w:vAlign w:val="center"/>
                </w:tcPr>
                <w:p w14:paraId="217DC99C">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≤24.0%</w:t>
                  </w:r>
                </w:p>
              </w:tc>
            </w:tr>
            <w:tr w14:paraId="2B64AD3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317" w:type="dxa"/>
                  <w:tcBorders>
                    <w:top w:val="single" w:color="000000" w:sz="6" w:space="0"/>
                    <w:bottom w:val="single" w:color="000000" w:sz="6" w:space="0"/>
                    <w:right w:val="single" w:color="000000" w:sz="6" w:space="0"/>
                  </w:tcBorders>
                  <w:noWrap w:val="0"/>
                  <w:vAlign w:val="center"/>
                </w:tcPr>
                <w:p w14:paraId="6FFBD75D">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含砂量</w:t>
                  </w:r>
                </w:p>
              </w:tc>
              <w:tc>
                <w:tcPr>
                  <w:tcW w:w="4333" w:type="dxa"/>
                  <w:tcBorders>
                    <w:top w:val="single" w:color="000000" w:sz="6" w:space="0"/>
                    <w:left w:val="single" w:color="000000" w:sz="6" w:space="0"/>
                    <w:bottom w:val="single" w:color="000000" w:sz="6" w:space="0"/>
                  </w:tcBorders>
                  <w:noWrap w:val="0"/>
                  <w:vAlign w:val="center"/>
                </w:tcPr>
                <w:p w14:paraId="2DD0E9A6">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≤0.02%</w:t>
                  </w:r>
                </w:p>
              </w:tc>
            </w:tr>
            <w:tr w14:paraId="28697D0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317" w:type="dxa"/>
                  <w:tcBorders>
                    <w:top w:val="single" w:color="000000" w:sz="6" w:space="0"/>
                    <w:bottom w:val="single" w:color="000000" w:sz="6" w:space="0"/>
                    <w:right w:val="single" w:color="000000" w:sz="6" w:space="0"/>
                  </w:tcBorders>
                  <w:noWrap w:val="0"/>
                  <w:vAlign w:val="center"/>
                </w:tcPr>
                <w:p w14:paraId="51293162">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磁性金属物质</w:t>
                  </w:r>
                </w:p>
              </w:tc>
              <w:tc>
                <w:tcPr>
                  <w:tcW w:w="4333" w:type="dxa"/>
                  <w:tcBorders>
                    <w:top w:val="single" w:color="000000" w:sz="6" w:space="0"/>
                    <w:left w:val="single" w:color="000000" w:sz="6" w:space="0"/>
                    <w:bottom w:val="single" w:color="000000" w:sz="6" w:space="0"/>
                  </w:tcBorders>
                  <w:noWrap w:val="0"/>
                  <w:vAlign w:val="center"/>
                </w:tcPr>
                <w:p w14:paraId="0BE91B2B">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≤0.003g/kg</w:t>
                  </w:r>
                </w:p>
              </w:tc>
            </w:tr>
            <w:tr w14:paraId="4B527B0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317" w:type="dxa"/>
                  <w:tcBorders>
                    <w:top w:val="single" w:color="000000" w:sz="6" w:space="0"/>
                    <w:bottom w:val="single" w:color="000000" w:sz="6" w:space="0"/>
                    <w:right w:val="single" w:color="000000" w:sz="6" w:space="0"/>
                  </w:tcBorders>
                  <w:noWrap w:val="0"/>
                  <w:vAlign w:val="center"/>
                </w:tcPr>
                <w:p w14:paraId="2BBB53D3">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脂肪酸值（湿基计）</w:t>
                  </w:r>
                </w:p>
              </w:tc>
              <w:tc>
                <w:tcPr>
                  <w:tcW w:w="4333" w:type="dxa"/>
                  <w:tcBorders>
                    <w:top w:val="single" w:color="000000" w:sz="6" w:space="0"/>
                    <w:left w:val="single" w:color="000000" w:sz="6" w:space="0"/>
                    <w:bottom w:val="single" w:color="000000" w:sz="6" w:space="0"/>
                  </w:tcBorders>
                  <w:noWrap w:val="0"/>
                  <w:vAlign w:val="center"/>
                </w:tcPr>
                <w:p w14:paraId="2FBBED6F">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≤80</w:t>
                  </w:r>
                </w:p>
              </w:tc>
            </w:tr>
            <w:tr w14:paraId="5410A17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317" w:type="dxa"/>
                  <w:tcBorders>
                    <w:top w:val="single" w:color="000000" w:sz="6" w:space="0"/>
                    <w:bottom w:val="single" w:color="000000" w:sz="6" w:space="0"/>
                    <w:right w:val="single" w:color="000000" w:sz="6" w:space="0"/>
                  </w:tcBorders>
                  <w:noWrap w:val="0"/>
                  <w:vAlign w:val="center"/>
                </w:tcPr>
                <w:p w14:paraId="34AD6B22">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六六六（以成品粮计）</w:t>
                  </w:r>
                </w:p>
              </w:tc>
              <w:tc>
                <w:tcPr>
                  <w:tcW w:w="4333" w:type="dxa"/>
                  <w:tcBorders>
                    <w:top w:val="single" w:color="000000" w:sz="6" w:space="0"/>
                    <w:left w:val="single" w:color="000000" w:sz="6" w:space="0"/>
                    <w:bottom w:val="single" w:color="000000" w:sz="6" w:space="0"/>
                  </w:tcBorders>
                  <w:noWrap w:val="0"/>
                  <w:vAlign w:val="center"/>
                </w:tcPr>
                <w:p w14:paraId="7444CD77">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≤0.3mg/kg</w:t>
                  </w:r>
                </w:p>
              </w:tc>
            </w:tr>
            <w:tr w14:paraId="2DBD1AD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317" w:type="dxa"/>
                  <w:tcBorders>
                    <w:top w:val="single" w:color="000000" w:sz="6" w:space="0"/>
                    <w:bottom w:val="single" w:color="000000" w:sz="6" w:space="0"/>
                    <w:right w:val="single" w:color="000000" w:sz="6" w:space="0"/>
                  </w:tcBorders>
                  <w:noWrap w:val="0"/>
                  <w:vAlign w:val="center"/>
                </w:tcPr>
                <w:p w14:paraId="06DBBB38">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滴滴涕（成品粮计）</w:t>
                  </w:r>
                </w:p>
              </w:tc>
              <w:tc>
                <w:tcPr>
                  <w:tcW w:w="4333" w:type="dxa"/>
                  <w:tcBorders>
                    <w:top w:val="single" w:color="000000" w:sz="6" w:space="0"/>
                    <w:left w:val="single" w:color="000000" w:sz="6" w:space="0"/>
                    <w:bottom w:val="single" w:color="000000" w:sz="6" w:space="0"/>
                  </w:tcBorders>
                  <w:noWrap w:val="0"/>
                  <w:vAlign w:val="center"/>
                </w:tcPr>
                <w:p w14:paraId="27BE42DB">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≤0.2mg/kg</w:t>
                  </w:r>
                </w:p>
              </w:tc>
            </w:tr>
            <w:tr w14:paraId="3F9BDCB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317" w:type="dxa"/>
                  <w:tcBorders>
                    <w:top w:val="single" w:color="000000" w:sz="6" w:space="0"/>
                    <w:bottom w:val="single" w:color="000000" w:sz="6" w:space="0"/>
                    <w:right w:val="single" w:color="000000" w:sz="6" w:space="0"/>
                  </w:tcBorders>
                  <w:noWrap w:val="0"/>
                  <w:vAlign w:val="center"/>
                </w:tcPr>
                <w:p w14:paraId="7D3C1EBF">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汞（成品粮计）</w:t>
                  </w:r>
                </w:p>
              </w:tc>
              <w:tc>
                <w:tcPr>
                  <w:tcW w:w="4333" w:type="dxa"/>
                  <w:tcBorders>
                    <w:top w:val="single" w:color="000000" w:sz="6" w:space="0"/>
                    <w:left w:val="single" w:color="000000" w:sz="6" w:space="0"/>
                    <w:bottom w:val="single" w:color="000000" w:sz="6" w:space="0"/>
                  </w:tcBorders>
                  <w:noWrap w:val="0"/>
                  <w:vAlign w:val="center"/>
                </w:tcPr>
                <w:p w14:paraId="488E73A9">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≤0.02mg/kg</w:t>
                  </w:r>
                </w:p>
              </w:tc>
            </w:tr>
            <w:tr w14:paraId="73AC912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3317" w:type="dxa"/>
                  <w:tcBorders>
                    <w:top w:val="single" w:color="000000" w:sz="6" w:space="0"/>
                    <w:right w:val="single" w:color="000000" w:sz="6" w:space="0"/>
                  </w:tcBorders>
                  <w:noWrap w:val="0"/>
                  <w:vAlign w:val="center"/>
                </w:tcPr>
                <w:p w14:paraId="6264A3EA">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黄霉素毒素 B1</w:t>
                  </w:r>
                </w:p>
              </w:tc>
              <w:tc>
                <w:tcPr>
                  <w:tcW w:w="4333" w:type="dxa"/>
                  <w:tcBorders>
                    <w:top w:val="single" w:color="000000" w:sz="6" w:space="0"/>
                    <w:left w:val="single" w:color="000000" w:sz="6" w:space="0"/>
                  </w:tcBorders>
                  <w:noWrap w:val="0"/>
                  <w:vAlign w:val="center"/>
                </w:tcPr>
                <w:p w14:paraId="52A6D97E">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≤5μg/kg</w:t>
                  </w:r>
                </w:p>
              </w:tc>
            </w:tr>
          </w:tbl>
          <w:p w14:paraId="13264896">
            <w:pPr>
              <w:pStyle w:val="21"/>
              <w:keepNext w:val="0"/>
              <w:keepLines w:val="0"/>
              <w:pageBreakBefore w:val="0"/>
              <w:tabs>
                <w:tab w:val="left" w:pos="545"/>
              </w:tabs>
              <w:kinsoku/>
              <w:wordWrap/>
              <w:overflowPunct/>
              <w:topLinePunct w:val="0"/>
              <w:autoSpaceDE/>
              <w:autoSpaceDN/>
              <w:bidi w:val="0"/>
              <w:spacing w:before="141"/>
              <w:ind w:firstLine="0" w:firstLineChars="0"/>
              <w:jc w:val="left"/>
              <w:textAlignment w:val="auto"/>
              <w:outlineLvl w:val="9"/>
              <w:rPr>
                <w:rFonts w:hint="eastAsia" w:ascii="宋体" w:hAnsi="宋体" w:cs="宋体"/>
                <w:color w:val="000000" w:themeColor="text1"/>
                <w:szCs w:val="21"/>
                <w:highlight w:val="none"/>
                <w14:textFill>
                  <w14:solidFill>
                    <w14:schemeClr w14:val="tx1"/>
                  </w14:solidFill>
                </w14:textFill>
              </w:rPr>
            </w:pPr>
          </w:p>
          <w:p w14:paraId="7012D6B3">
            <w:pPr>
              <w:pStyle w:val="21"/>
              <w:keepNext w:val="0"/>
              <w:keepLines w:val="0"/>
              <w:pageBreakBefore w:val="0"/>
              <w:tabs>
                <w:tab w:val="left" w:pos="545"/>
              </w:tabs>
              <w:kinsoku/>
              <w:wordWrap/>
              <w:overflowPunct/>
              <w:topLinePunct w:val="0"/>
              <w:autoSpaceDE/>
              <w:autoSpaceDN/>
              <w:bidi w:val="0"/>
              <w:spacing w:before="141"/>
              <w:ind w:firstLine="0" w:firstLineChars="0"/>
              <w:jc w:val="left"/>
              <w:textAlignment w:val="auto"/>
              <w:outlineLvl w:val="9"/>
              <w:rPr>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3）油</w:t>
            </w:r>
            <w:r>
              <w:rPr>
                <w:color w:val="000000" w:themeColor="text1"/>
                <w:szCs w:val="21"/>
                <w:highlight w:val="none"/>
                <w14:textFill>
                  <w14:solidFill>
                    <w14:schemeClr w14:val="tx1"/>
                  </w14:solidFill>
                </w14:textFill>
              </w:rPr>
              <w:t>类执行标准</w:t>
            </w:r>
          </w:p>
          <w:tbl>
            <w:tblPr>
              <w:tblStyle w:val="15"/>
              <w:tblW w:w="675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283"/>
              <w:gridCol w:w="1900"/>
              <w:gridCol w:w="1300"/>
              <w:gridCol w:w="2276"/>
            </w:tblGrid>
            <w:tr w14:paraId="4D88D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283" w:type="dxa"/>
                  <w:noWrap w:val="0"/>
                  <w:vAlign w:val="center"/>
                </w:tcPr>
                <w:p w14:paraId="3531028B">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油类</w:t>
                  </w:r>
                </w:p>
              </w:tc>
              <w:tc>
                <w:tcPr>
                  <w:tcW w:w="1900" w:type="dxa"/>
                  <w:noWrap w:val="0"/>
                  <w:vAlign w:val="center"/>
                </w:tcPr>
                <w:p w14:paraId="0AEC0794">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标准</w:t>
                  </w:r>
                </w:p>
              </w:tc>
              <w:tc>
                <w:tcPr>
                  <w:tcW w:w="1300" w:type="dxa"/>
                  <w:noWrap w:val="0"/>
                  <w:vAlign w:val="center"/>
                </w:tcPr>
                <w:p w14:paraId="797EFDA6">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油类</w:t>
                  </w:r>
                </w:p>
              </w:tc>
              <w:tc>
                <w:tcPr>
                  <w:tcW w:w="2276" w:type="dxa"/>
                  <w:noWrap w:val="0"/>
                  <w:vAlign w:val="center"/>
                </w:tcPr>
                <w:p w14:paraId="5546FE51">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标准</w:t>
                  </w:r>
                </w:p>
              </w:tc>
            </w:tr>
            <w:tr w14:paraId="33481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283" w:type="dxa"/>
                  <w:noWrap w:val="0"/>
                  <w:vAlign w:val="center"/>
                </w:tcPr>
                <w:p w14:paraId="2051A936">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食用植物油</w:t>
                  </w:r>
                </w:p>
              </w:tc>
              <w:tc>
                <w:tcPr>
                  <w:tcW w:w="1900" w:type="dxa"/>
                  <w:noWrap w:val="0"/>
                  <w:vAlign w:val="center"/>
                </w:tcPr>
                <w:p w14:paraId="40C88258">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GB 2716-2005</w:t>
                  </w:r>
                </w:p>
              </w:tc>
              <w:tc>
                <w:tcPr>
                  <w:tcW w:w="1300" w:type="dxa"/>
                  <w:noWrap w:val="0"/>
                  <w:vAlign w:val="center"/>
                </w:tcPr>
                <w:p w14:paraId="2C3C32E0">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棉籽油</w:t>
                  </w:r>
                </w:p>
              </w:tc>
              <w:tc>
                <w:tcPr>
                  <w:tcW w:w="2276" w:type="dxa"/>
                  <w:noWrap w:val="0"/>
                  <w:vAlign w:val="center"/>
                </w:tcPr>
                <w:p w14:paraId="6C1FC019">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GB/T 1537-2019</w:t>
                  </w:r>
                </w:p>
              </w:tc>
            </w:tr>
            <w:tr w14:paraId="2E3B4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283" w:type="dxa"/>
                  <w:noWrap w:val="0"/>
                  <w:vAlign w:val="center"/>
                </w:tcPr>
                <w:p w14:paraId="6C21FDA7">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花生油</w:t>
                  </w:r>
                </w:p>
              </w:tc>
              <w:tc>
                <w:tcPr>
                  <w:tcW w:w="1900" w:type="dxa"/>
                  <w:noWrap w:val="0"/>
                  <w:vAlign w:val="center"/>
                </w:tcPr>
                <w:p w14:paraId="15F3CA8E">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GB/T 1534-2017</w:t>
                  </w:r>
                </w:p>
              </w:tc>
              <w:tc>
                <w:tcPr>
                  <w:tcW w:w="1300" w:type="dxa"/>
                  <w:noWrap w:val="0"/>
                  <w:vAlign w:val="center"/>
                </w:tcPr>
                <w:p w14:paraId="3F820EB6">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油茶籽油</w:t>
                  </w:r>
                </w:p>
              </w:tc>
              <w:tc>
                <w:tcPr>
                  <w:tcW w:w="2276" w:type="dxa"/>
                  <w:noWrap w:val="0"/>
                  <w:vAlign w:val="center"/>
                </w:tcPr>
                <w:p w14:paraId="1DFCAAF1">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GB/T 11765-2018</w:t>
                  </w:r>
                </w:p>
              </w:tc>
            </w:tr>
            <w:tr w14:paraId="76C4B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283" w:type="dxa"/>
                  <w:noWrap w:val="0"/>
                  <w:vAlign w:val="center"/>
                </w:tcPr>
                <w:p w14:paraId="51E07C9E">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大豆油</w:t>
                  </w:r>
                </w:p>
              </w:tc>
              <w:tc>
                <w:tcPr>
                  <w:tcW w:w="1900" w:type="dxa"/>
                  <w:noWrap w:val="0"/>
                  <w:vAlign w:val="center"/>
                </w:tcPr>
                <w:p w14:paraId="52DA4476">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GB/T 1535-2017</w:t>
                  </w:r>
                </w:p>
              </w:tc>
              <w:tc>
                <w:tcPr>
                  <w:tcW w:w="1300" w:type="dxa"/>
                  <w:noWrap w:val="0"/>
                  <w:vAlign w:val="center"/>
                </w:tcPr>
                <w:p w14:paraId="71C1D07D">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玉米油</w:t>
                  </w:r>
                </w:p>
              </w:tc>
              <w:tc>
                <w:tcPr>
                  <w:tcW w:w="2276" w:type="dxa"/>
                  <w:noWrap w:val="0"/>
                  <w:vAlign w:val="center"/>
                </w:tcPr>
                <w:p w14:paraId="74A75220">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GB/T 19111-2017</w:t>
                  </w:r>
                </w:p>
              </w:tc>
            </w:tr>
            <w:tr w14:paraId="7261D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9" w:hRule="atLeast"/>
                <w:jc w:val="center"/>
              </w:trPr>
              <w:tc>
                <w:tcPr>
                  <w:tcW w:w="1283" w:type="dxa"/>
                  <w:noWrap w:val="0"/>
                  <w:vAlign w:val="center"/>
                </w:tcPr>
                <w:p w14:paraId="1D4C7EC2">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葵花籽油</w:t>
                  </w:r>
                </w:p>
              </w:tc>
              <w:tc>
                <w:tcPr>
                  <w:tcW w:w="1900" w:type="dxa"/>
                  <w:noWrap w:val="0"/>
                  <w:vAlign w:val="center"/>
                </w:tcPr>
                <w:p w14:paraId="3A949847">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GB/T 10464-2017</w:t>
                  </w:r>
                </w:p>
              </w:tc>
              <w:tc>
                <w:tcPr>
                  <w:tcW w:w="1300" w:type="dxa"/>
                  <w:noWrap w:val="0"/>
                  <w:vAlign w:val="center"/>
                </w:tcPr>
                <w:p w14:paraId="47B7A23E">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米糠油</w:t>
                  </w:r>
                </w:p>
              </w:tc>
              <w:tc>
                <w:tcPr>
                  <w:tcW w:w="2276" w:type="dxa"/>
                  <w:noWrap w:val="0"/>
                  <w:vAlign w:val="center"/>
                </w:tcPr>
                <w:p w14:paraId="53CDEC66">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GB/T 19112-2003</w:t>
                  </w:r>
                </w:p>
              </w:tc>
            </w:tr>
          </w:tbl>
          <w:p w14:paraId="256E1148">
            <w:pPr>
              <w:pStyle w:val="21"/>
              <w:keepNext w:val="0"/>
              <w:keepLines w:val="0"/>
              <w:pageBreakBefore w:val="0"/>
              <w:tabs>
                <w:tab w:val="left" w:pos="545"/>
              </w:tabs>
              <w:kinsoku/>
              <w:wordWrap/>
              <w:overflowPunct/>
              <w:topLinePunct w:val="0"/>
              <w:autoSpaceDE/>
              <w:autoSpaceDN/>
              <w:bidi w:val="0"/>
              <w:spacing w:before="86"/>
              <w:ind w:firstLine="0" w:firstLineChars="0"/>
              <w:jc w:val="left"/>
              <w:textAlignment w:val="auto"/>
              <w:outlineLvl w:val="9"/>
              <w:rPr>
                <w:color w:val="000000" w:themeColor="text1"/>
                <w:szCs w:val="21"/>
                <w:highlight w:val="none"/>
                <w14:textFill>
                  <w14:solidFill>
                    <w14:schemeClr w14:val="tx1"/>
                  </w14:solidFill>
                </w14:textFill>
              </w:rPr>
            </w:pPr>
          </w:p>
          <w:p w14:paraId="07C982F4">
            <w:pPr>
              <w:pStyle w:val="21"/>
              <w:keepNext w:val="0"/>
              <w:keepLines w:val="0"/>
              <w:pageBreakBefore w:val="0"/>
              <w:tabs>
                <w:tab w:val="left" w:pos="545"/>
              </w:tabs>
              <w:kinsoku/>
              <w:wordWrap/>
              <w:overflowPunct/>
              <w:topLinePunct w:val="0"/>
              <w:autoSpaceDE/>
              <w:autoSpaceDN/>
              <w:bidi w:val="0"/>
              <w:spacing w:before="86"/>
              <w:ind w:firstLine="0" w:firstLineChars="0"/>
              <w:jc w:val="left"/>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花生原油质量指标</w:t>
            </w:r>
          </w:p>
          <w:tbl>
            <w:tblPr>
              <w:tblStyle w:val="15"/>
              <w:tblW w:w="6405"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2405"/>
              <w:gridCol w:w="4000"/>
            </w:tblGrid>
            <w:tr w14:paraId="071333D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2405" w:type="dxa"/>
                  <w:tcBorders>
                    <w:bottom w:val="single" w:color="000000" w:sz="6" w:space="0"/>
                    <w:right w:val="single" w:color="000000" w:sz="6" w:space="0"/>
                  </w:tcBorders>
                  <w:noWrap w:val="0"/>
                  <w:vAlign w:val="center"/>
                </w:tcPr>
                <w:p w14:paraId="6B25439D">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w:t>
                  </w:r>
                </w:p>
              </w:tc>
              <w:tc>
                <w:tcPr>
                  <w:tcW w:w="4000" w:type="dxa"/>
                  <w:tcBorders>
                    <w:left w:val="single" w:color="000000" w:sz="6" w:space="0"/>
                    <w:bottom w:val="single" w:color="000000" w:sz="6" w:space="0"/>
                  </w:tcBorders>
                  <w:noWrap w:val="0"/>
                  <w:vAlign w:val="center"/>
                </w:tcPr>
                <w:p w14:paraId="13EED77C">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质量指标</w:t>
                  </w:r>
                </w:p>
              </w:tc>
            </w:tr>
            <w:tr w14:paraId="25B9C0A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405" w:type="dxa"/>
                  <w:tcBorders>
                    <w:top w:val="single" w:color="000000" w:sz="6" w:space="0"/>
                    <w:bottom w:val="single" w:color="000000" w:sz="6" w:space="0"/>
                    <w:right w:val="single" w:color="000000" w:sz="6" w:space="0"/>
                  </w:tcBorders>
                  <w:noWrap w:val="0"/>
                  <w:vAlign w:val="center"/>
                </w:tcPr>
                <w:p w14:paraId="3147E6EB">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气味、滋味</w:t>
                  </w:r>
                </w:p>
              </w:tc>
              <w:tc>
                <w:tcPr>
                  <w:tcW w:w="4000" w:type="dxa"/>
                  <w:tcBorders>
                    <w:top w:val="single" w:color="000000" w:sz="6" w:space="0"/>
                    <w:left w:val="single" w:color="000000" w:sz="6" w:space="0"/>
                    <w:bottom w:val="single" w:color="000000" w:sz="6" w:space="0"/>
                  </w:tcBorders>
                  <w:noWrap w:val="0"/>
                  <w:vAlign w:val="center"/>
                </w:tcPr>
                <w:p w14:paraId="7968B4AB">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具有花生原油固有的气味和滋味，无异味</w:t>
                  </w:r>
                </w:p>
              </w:tc>
            </w:tr>
            <w:tr w14:paraId="43E8132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405" w:type="dxa"/>
                  <w:tcBorders>
                    <w:top w:val="single" w:color="000000" w:sz="6" w:space="0"/>
                    <w:bottom w:val="single" w:color="000000" w:sz="6" w:space="0"/>
                    <w:right w:val="single" w:color="000000" w:sz="6" w:space="0"/>
                  </w:tcBorders>
                  <w:noWrap w:val="0"/>
                  <w:vAlign w:val="center"/>
                </w:tcPr>
                <w:p w14:paraId="3DCF8842">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水分及挥发物</w:t>
                  </w:r>
                </w:p>
              </w:tc>
              <w:tc>
                <w:tcPr>
                  <w:tcW w:w="4000" w:type="dxa"/>
                  <w:tcBorders>
                    <w:top w:val="single" w:color="000000" w:sz="6" w:space="0"/>
                    <w:left w:val="single" w:color="000000" w:sz="6" w:space="0"/>
                    <w:bottom w:val="single" w:color="000000" w:sz="6" w:space="0"/>
                  </w:tcBorders>
                  <w:noWrap w:val="0"/>
                  <w:vAlign w:val="center"/>
                </w:tcPr>
                <w:p w14:paraId="49AE8953">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≤0.20%</w:t>
                  </w:r>
                </w:p>
              </w:tc>
            </w:tr>
            <w:tr w14:paraId="59D5799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405" w:type="dxa"/>
                  <w:tcBorders>
                    <w:top w:val="single" w:color="000000" w:sz="6" w:space="0"/>
                    <w:bottom w:val="single" w:color="000000" w:sz="6" w:space="0"/>
                    <w:right w:val="single" w:color="000000" w:sz="6" w:space="0"/>
                  </w:tcBorders>
                  <w:noWrap w:val="0"/>
                  <w:vAlign w:val="center"/>
                </w:tcPr>
                <w:p w14:paraId="304AAFE2">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不溶性杂质</w:t>
                  </w:r>
                </w:p>
              </w:tc>
              <w:tc>
                <w:tcPr>
                  <w:tcW w:w="4000" w:type="dxa"/>
                  <w:tcBorders>
                    <w:top w:val="single" w:color="000000" w:sz="6" w:space="0"/>
                    <w:left w:val="single" w:color="000000" w:sz="6" w:space="0"/>
                    <w:bottom w:val="single" w:color="000000" w:sz="6" w:space="0"/>
                  </w:tcBorders>
                  <w:noWrap w:val="0"/>
                  <w:vAlign w:val="center"/>
                </w:tcPr>
                <w:p w14:paraId="4794CB52">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≤0.20%</w:t>
                  </w:r>
                </w:p>
              </w:tc>
            </w:tr>
            <w:tr w14:paraId="17D0BFE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405" w:type="dxa"/>
                  <w:tcBorders>
                    <w:top w:val="single" w:color="000000" w:sz="6" w:space="0"/>
                    <w:bottom w:val="single" w:color="000000" w:sz="6" w:space="0"/>
                    <w:right w:val="single" w:color="000000" w:sz="6" w:space="0"/>
                  </w:tcBorders>
                  <w:noWrap w:val="0"/>
                  <w:vAlign w:val="center"/>
                </w:tcPr>
                <w:p w14:paraId="1A3E6861">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酸值(KOH)</w:t>
                  </w:r>
                </w:p>
              </w:tc>
              <w:tc>
                <w:tcPr>
                  <w:tcW w:w="4000" w:type="dxa"/>
                  <w:tcBorders>
                    <w:top w:val="single" w:color="000000" w:sz="6" w:space="0"/>
                    <w:left w:val="single" w:color="000000" w:sz="6" w:space="0"/>
                    <w:bottom w:val="single" w:color="000000" w:sz="6" w:space="0"/>
                  </w:tcBorders>
                  <w:noWrap w:val="0"/>
                  <w:vAlign w:val="center"/>
                </w:tcPr>
                <w:p w14:paraId="2E5E44ED">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≤4.0mg/g</w:t>
                  </w:r>
                </w:p>
              </w:tc>
            </w:tr>
            <w:tr w14:paraId="6A03AA2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405" w:type="dxa"/>
                  <w:tcBorders>
                    <w:top w:val="single" w:color="000000" w:sz="6" w:space="0"/>
                    <w:bottom w:val="single" w:color="000000" w:sz="6" w:space="0"/>
                    <w:right w:val="single" w:color="000000" w:sz="6" w:space="0"/>
                  </w:tcBorders>
                  <w:noWrap w:val="0"/>
                  <w:vAlign w:val="center"/>
                </w:tcPr>
                <w:p w14:paraId="2D67602E">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过氧化值</w:t>
                  </w:r>
                </w:p>
              </w:tc>
              <w:tc>
                <w:tcPr>
                  <w:tcW w:w="4000" w:type="dxa"/>
                  <w:tcBorders>
                    <w:top w:val="single" w:color="000000" w:sz="6" w:space="0"/>
                    <w:left w:val="single" w:color="000000" w:sz="6" w:space="0"/>
                    <w:bottom w:val="single" w:color="000000" w:sz="6" w:space="0"/>
                  </w:tcBorders>
                  <w:noWrap w:val="0"/>
                  <w:vAlign w:val="center"/>
                </w:tcPr>
                <w:p w14:paraId="4B240CE0">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≤7.5mmol/kg</w:t>
                  </w:r>
                </w:p>
              </w:tc>
            </w:tr>
            <w:tr w14:paraId="56F9DD8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2405" w:type="dxa"/>
                  <w:tcBorders>
                    <w:top w:val="single" w:color="000000" w:sz="6" w:space="0"/>
                    <w:right w:val="single" w:color="000000" w:sz="6" w:space="0"/>
                  </w:tcBorders>
                  <w:noWrap w:val="0"/>
                  <w:vAlign w:val="center"/>
                </w:tcPr>
                <w:p w14:paraId="5CABCE78">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溶剂残留量</w:t>
                  </w:r>
                </w:p>
              </w:tc>
              <w:tc>
                <w:tcPr>
                  <w:tcW w:w="4000" w:type="dxa"/>
                  <w:tcBorders>
                    <w:top w:val="single" w:color="000000" w:sz="6" w:space="0"/>
                    <w:left w:val="single" w:color="000000" w:sz="6" w:space="0"/>
                  </w:tcBorders>
                  <w:noWrap w:val="0"/>
                  <w:vAlign w:val="center"/>
                </w:tcPr>
                <w:p w14:paraId="2054D537">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≤100mg/kg</w:t>
                  </w:r>
                </w:p>
              </w:tc>
            </w:tr>
          </w:tbl>
          <w:p w14:paraId="5C9589CE">
            <w:pPr>
              <w:keepNext w:val="0"/>
              <w:keepLines w:val="0"/>
              <w:pageBreakBefore w:val="0"/>
              <w:kinsoku/>
              <w:wordWrap/>
              <w:overflowPunct/>
              <w:topLinePunct w:val="0"/>
              <w:autoSpaceDE/>
              <w:autoSpaceDN/>
              <w:bidi w:val="0"/>
              <w:textAlignment w:val="auto"/>
              <w:outlineLvl w:val="9"/>
              <w:rPr>
                <w:color w:val="000000" w:themeColor="text1"/>
                <w:highlight w:val="none"/>
                <w14:textFill>
                  <w14:solidFill>
                    <w14:schemeClr w14:val="tx1"/>
                  </w14:solidFill>
                </w14:textFill>
              </w:rPr>
            </w:pPr>
          </w:p>
          <w:p w14:paraId="25515F88">
            <w:pPr>
              <w:keepNext w:val="0"/>
              <w:keepLines w:val="0"/>
              <w:pageBreakBefore w:val="0"/>
              <w:kinsoku/>
              <w:wordWrap/>
              <w:overflowPunct/>
              <w:topLinePunct w:val="0"/>
              <w:autoSpaceDE/>
              <w:autoSpaceDN/>
              <w:bidi w:val="0"/>
              <w:textAlignment w:val="auto"/>
              <w:outlineLvl w:val="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压榨成品花生油质量指标</w:t>
            </w:r>
          </w:p>
          <w:tbl>
            <w:tblPr>
              <w:tblStyle w:val="15"/>
              <w:tblW w:w="784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2949"/>
              <w:gridCol w:w="2476"/>
              <w:gridCol w:w="2421"/>
            </w:tblGrid>
            <w:tr w14:paraId="7F666C5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1" w:hRule="atLeast"/>
                <w:jc w:val="center"/>
              </w:trPr>
              <w:tc>
                <w:tcPr>
                  <w:tcW w:w="2949" w:type="dxa"/>
                  <w:vMerge w:val="restart"/>
                  <w:tcBorders>
                    <w:bottom w:val="single" w:color="000000" w:sz="6" w:space="0"/>
                    <w:right w:val="single" w:color="000000" w:sz="6" w:space="0"/>
                  </w:tcBorders>
                  <w:noWrap w:val="0"/>
                  <w:vAlign w:val="center"/>
                </w:tcPr>
                <w:p w14:paraId="1A3B9297">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p>
                <w:p w14:paraId="2F8EA89E">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w:t>
                  </w:r>
                </w:p>
              </w:tc>
              <w:tc>
                <w:tcPr>
                  <w:tcW w:w="4897" w:type="dxa"/>
                  <w:gridSpan w:val="2"/>
                  <w:tcBorders>
                    <w:left w:val="single" w:color="000000" w:sz="6" w:space="0"/>
                    <w:bottom w:val="single" w:color="000000" w:sz="6" w:space="0"/>
                  </w:tcBorders>
                  <w:noWrap w:val="0"/>
                  <w:vAlign w:val="center"/>
                </w:tcPr>
                <w:p w14:paraId="440911C6">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质量指标</w:t>
                  </w:r>
                </w:p>
              </w:tc>
            </w:tr>
            <w:tr w14:paraId="6CB5C70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949" w:type="dxa"/>
                  <w:vMerge w:val="continue"/>
                  <w:tcBorders>
                    <w:top w:val="nil"/>
                    <w:bottom w:val="single" w:color="000000" w:sz="6" w:space="0"/>
                    <w:right w:val="single" w:color="000000" w:sz="6" w:space="0"/>
                  </w:tcBorders>
                  <w:noWrap w:val="0"/>
                  <w:vAlign w:val="center"/>
                </w:tcPr>
                <w:p w14:paraId="3B1DE6D2">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p>
              </w:tc>
              <w:tc>
                <w:tcPr>
                  <w:tcW w:w="2476" w:type="dxa"/>
                  <w:tcBorders>
                    <w:top w:val="single" w:color="000000" w:sz="6" w:space="0"/>
                    <w:left w:val="single" w:color="000000" w:sz="6" w:space="0"/>
                    <w:bottom w:val="single" w:color="000000" w:sz="6" w:space="0"/>
                    <w:right w:val="single" w:color="000000" w:sz="6" w:space="0"/>
                  </w:tcBorders>
                  <w:noWrap w:val="0"/>
                  <w:vAlign w:val="center"/>
                </w:tcPr>
                <w:p w14:paraId="54A2B4BA">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一级</w:t>
                  </w:r>
                </w:p>
              </w:tc>
              <w:tc>
                <w:tcPr>
                  <w:tcW w:w="2421" w:type="dxa"/>
                  <w:tcBorders>
                    <w:top w:val="single" w:color="000000" w:sz="6" w:space="0"/>
                    <w:left w:val="single" w:color="000000" w:sz="6" w:space="0"/>
                    <w:bottom w:val="single" w:color="000000" w:sz="6" w:space="0"/>
                  </w:tcBorders>
                  <w:noWrap w:val="0"/>
                  <w:vAlign w:val="center"/>
                </w:tcPr>
                <w:p w14:paraId="18B99672">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二级</w:t>
                  </w:r>
                </w:p>
              </w:tc>
            </w:tr>
            <w:tr w14:paraId="7ABF4A8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949" w:type="dxa"/>
                  <w:tcBorders>
                    <w:top w:val="single" w:color="000000" w:sz="6" w:space="0"/>
                    <w:bottom w:val="single" w:color="000000" w:sz="6" w:space="0"/>
                    <w:right w:val="single" w:color="000000" w:sz="6" w:space="0"/>
                  </w:tcBorders>
                  <w:noWrap w:val="0"/>
                  <w:vAlign w:val="center"/>
                </w:tcPr>
                <w:p w14:paraId="3A1A2C0B">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色泽(罗维朋比色槽 25.4mm)≤</w:t>
                  </w:r>
                </w:p>
              </w:tc>
              <w:tc>
                <w:tcPr>
                  <w:tcW w:w="2476" w:type="dxa"/>
                  <w:tcBorders>
                    <w:top w:val="single" w:color="000000" w:sz="6" w:space="0"/>
                    <w:left w:val="single" w:color="000000" w:sz="6" w:space="0"/>
                    <w:bottom w:val="single" w:color="000000" w:sz="6" w:space="0"/>
                    <w:right w:val="single" w:color="000000" w:sz="6" w:space="0"/>
                  </w:tcBorders>
                  <w:noWrap w:val="0"/>
                  <w:vAlign w:val="center"/>
                </w:tcPr>
                <w:p w14:paraId="44B96842">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黄15  红1.5</w:t>
                  </w:r>
                </w:p>
              </w:tc>
              <w:tc>
                <w:tcPr>
                  <w:tcW w:w="2421" w:type="dxa"/>
                  <w:tcBorders>
                    <w:top w:val="single" w:color="000000" w:sz="6" w:space="0"/>
                    <w:left w:val="single" w:color="000000" w:sz="6" w:space="0"/>
                    <w:bottom w:val="single" w:color="000000" w:sz="6" w:space="0"/>
                  </w:tcBorders>
                  <w:noWrap w:val="0"/>
                  <w:vAlign w:val="center"/>
                </w:tcPr>
                <w:p w14:paraId="43420756">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黄25  红4.0</w:t>
                  </w:r>
                </w:p>
              </w:tc>
            </w:tr>
            <w:tr w14:paraId="40A9D6E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7" w:hRule="atLeast"/>
                <w:jc w:val="center"/>
              </w:trPr>
              <w:tc>
                <w:tcPr>
                  <w:tcW w:w="2949" w:type="dxa"/>
                  <w:tcBorders>
                    <w:top w:val="single" w:color="000000" w:sz="6" w:space="0"/>
                    <w:bottom w:val="single" w:color="000000" w:sz="6" w:space="0"/>
                    <w:right w:val="single" w:color="000000" w:sz="6" w:space="0"/>
                  </w:tcBorders>
                  <w:noWrap w:val="0"/>
                  <w:vAlign w:val="center"/>
                </w:tcPr>
                <w:p w14:paraId="48E9E331">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气味、滋味</w:t>
                  </w:r>
                </w:p>
              </w:tc>
              <w:tc>
                <w:tcPr>
                  <w:tcW w:w="2476" w:type="dxa"/>
                  <w:tcBorders>
                    <w:top w:val="single" w:color="000000" w:sz="6" w:space="0"/>
                    <w:left w:val="single" w:color="000000" w:sz="6" w:space="0"/>
                    <w:bottom w:val="single" w:color="000000" w:sz="6" w:space="0"/>
                    <w:right w:val="single" w:color="000000" w:sz="6" w:space="0"/>
                  </w:tcBorders>
                  <w:noWrap w:val="0"/>
                  <w:vAlign w:val="center"/>
                </w:tcPr>
                <w:p w14:paraId="5B28FE6B">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具有花生油固有的香味和滋味，无异味。</w:t>
                  </w:r>
                </w:p>
              </w:tc>
              <w:tc>
                <w:tcPr>
                  <w:tcW w:w="2421" w:type="dxa"/>
                  <w:tcBorders>
                    <w:top w:val="single" w:color="000000" w:sz="6" w:space="0"/>
                    <w:left w:val="single" w:color="000000" w:sz="6" w:space="0"/>
                    <w:bottom w:val="single" w:color="000000" w:sz="6" w:space="0"/>
                  </w:tcBorders>
                  <w:noWrap w:val="0"/>
                  <w:vAlign w:val="center"/>
                </w:tcPr>
                <w:p w14:paraId="22F59BEB">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具有花生油固有的香味和滋味，无异味。</w:t>
                  </w:r>
                </w:p>
              </w:tc>
            </w:tr>
            <w:tr w14:paraId="2AC58A8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949" w:type="dxa"/>
                  <w:tcBorders>
                    <w:top w:val="single" w:color="000000" w:sz="6" w:space="0"/>
                    <w:bottom w:val="single" w:color="000000" w:sz="6" w:space="0"/>
                    <w:right w:val="single" w:color="000000" w:sz="6" w:space="0"/>
                  </w:tcBorders>
                  <w:noWrap w:val="0"/>
                  <w:vAlign w:val="center"/>
                </w:tcPr>
                <w:p w14:paraId="26A76137">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透明度</w:t>
                  </w:r>
                </w:p>
              </w:tc>
              <w:tc>
                <w:tcPr>
                  <w:tcW w:w="2476" w:type="dxa"/>
                  <w:tcBorders>
                    <w:top w:val="single" w:color="000000" w:sz="6" w:space="0"/>
                    <w:left w:val="single" w:color="000000" w:sz="6" w:space="0"/>
                    <w:bottom w:val="single" w:color="000000" w:sz="6" w:space="0"/>
                    <w:right w:val="single" w:color="000000" w:sz="6" w:space="0"/>
                  </w:tcBorders>
                  <w:noWrap w:val="0"/>
                  <w:vAlign w:val="center"/>
                </w:tcPr>
                <w:p w14:paraId="034EBB8A">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澄清、透明</w:t>
                  </w:r>
                </w:p>
              </w:tc>
              <w:tc>
                <w:tcPr>
                  <w:tcW w:w="2421" w:type="dxa"/>
                  <w:tcBorders>
                    <w:top w:val="single" w:color="000000" w:sz="6" w:space="0"/>
                    <w:left w:val="single" w:color="000000" w:sz="6" w:space="0"/>
                    <w:bottom w:val="single" w:color="000000" w:sz="6" w:space="0"/>
                  </w:tcBorders>
                  <w:noWrap w:val="0"/>
                  <w:vAlign w:val="center"/>
                </w:tcPr>
                <w:p w14:paraId="56771DE1">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澄清、透明</w:t>
                  </w:r>
                </w:p>
              </w:tc>
            </w:tr>
            <w:tr w14:paraId="6591A2C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6" w:hRule="atLeast"/>
                <w:jc w:val="center"/>
              </w:trPr>
              <w:tc>
                <w:tcPr>
                  <w:tcW w:w="2949" w:type="dxa"/>
                  <w:tcBorders>
                    <w:top w:val="single" w:color="000000" w:sz="6" w:space="0"/>
                    <w:bottom w:val="single" w:color="000000" w:sz="6" w:space="0"/>
                    <w:right w:val="single" w:color="000000" w:sz="6" w:space="0"/>
                  </w:tcBorders>
                  <w:noWrap w:val="0"/>
                  <w:vAlign w:val="center"/>
                </w:tcPr>
                <w:p w14:paraId="172E515B">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水分及挥发物(%)≤</w:t>
                  </w:r>
                </w:p>
              </w:tc>
              <w:tc>
                <w:tcPr>
                  <w:tcW w:w="2476" w:type="dxa"/>
                  <w:tcBorders>
                    <w:top w:val="single" w:color="000000" w:sz="6" w:space="0"/>
                    <w:left w:val="single" w:color="000000" w:sz="6" w:space="0"/>
                    <w:bottom w:val="single" w:color="000000" w:sz="6" w:space="0"/>
                    <w:right w:val="single" w:color="000000" w:sz="6" w:space="0"/>
                  </w:tcBorders>
                  <w:noWrap w:val="0"/>
                  <w:vAlign w:val="center"/>
                </w:tcPr>
                <w:p w14:paraId="1B05A73A">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0.10</w:t>
                  </w:r>
                </w:p>
              </w:tc>
              <w:tc>
                <w:tcPr>
                  <w:tcW w:w="2421" w:type="dxa"/>
                  <w:tcBorders>
                    <w:top w:val="single" w:color="000000" w:sz="6" w:space="0"/>
                    <w:left w:val="single" w:color="000000" w:sz="6" w:space="0"/>
                    <w:bottom w:val="single" w:color="000000" w:sz="6" w:space="0"/>
                  </w:tcBorders>
                  <w:noWrap w:val="0"/>
                  <w:vAlign w:val="center"/>
                </w:tcPr>
                <w:p w14:paraId="6E5290CE">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0.15</w:t>
                  </w:r>
                </w:p>
              </w:tc>
            </w:tr>
            <w:tr w14:paraId="523484E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949" w:type="dxa"/>
                  <w:tcBorders>
                    <w:top w:val="single" w:color="000000" w:sz="6" w:space="0"/>
                    <w:bottom w:val="single" w:color="000000" w:sz="6" w:space="0"/>
                    <w:right w:val="single" w:color="000000" w:sz="6" w:space="0"/>
                  </w:tcBorders>
                  <w:noWrap w:val="0"/>
                  <w:vAlign w:val="center"/>
                </w:tcPr>
                <w:p w14:paraId="7C7B5D80">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不溶性杂质(%)≤</w:t>
                  </w:r>
                </w:p>
              </w:tc>
              <w:tc>
                <w:tcPr>
                  <w:tcW w:w="2476" w:type="dxa"/>
                  <w:tcBorders>
                    <w:top w:val="single" w:color="000000" w:sz="6" w:space="0"/>
                    <w:left w:val="single" w:color="000000" w:sz="6" w:space="0"/>
                    <w:bottom w:val="single" w:color="000000" w:sz="6" w:space="0"/>
                    <w:right w:val="single" w:color="000000" w:sz="6" w:space="0"/>
                  </w:tcBorders>
                  <w:noWrap w:val="0"/>
                  <w:vAlign w:val="center"/>
                </w:tcPr>
                <w:p w14:paraId="0F9AE495">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0.05</w:t>
                  </w:r>
                </w:p>
              </w:tc>
              <w:tc>
                <w:tcPr>
                  <w:tcW w:w="2421" w:type="dxa"/>
                  <w:tcBorders>
                    <w:top w:val="single" w:color="000000" w:sz="6" w:space="0"/>
                    <w:left w:val="single" w:color="000000" w:sz="6" w:space="0"/>
                    <w:bottom w:val="single" w:color="000000" w:sz="6" w:space="0"/>
                  </w:tcBorders>
                  <w:noWrap w:val="0"/>
                  <w:vAlign w:val="center"/>
                </w:tcPr>
                <w:p w14:paraId="70829E8F">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0.05</w:t>
                  </w:r>
                </w:p>
              </w:tc>
            </w:tr>
            <w:tr w14:paraId="63CCADF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949" w:type="dxa"/>
                  <w:tcBorders>
                    <w:top w:val="single" w:color="000000" w:sz="6" w:space="0"/>
                    <w:bottom w:val="single" w:color="000000" w:sz="6" w:space="0"/>
                    <w:right w:val="single" w:color="000000" w:sz="6" w:space="0"/>
                  </w:tcBorders>
                  <w:noWrap w:val="0"/>
                  <w:vAlign w:val="center"/>
                </w:tcPr>
                <w:p w14:paraId="5E5EDA5D">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酸值(KOH)/(mg/g)≤</w:t>
                  </w:r>
                </w:p>
              </w:tc>
              <w:tc>
                <w:tcPr>
                  <w:tcW w:w="2476" w:type="dxa"/>
                  <w:tcBorders>
                    <w:top w:val="single" w:color="000000" w:sz="6" w:space="0"/>
                    <w:left w:val="single" w:color="000000" w:sz="6" w:space="0"/>
                    <w:bottom w:val="single" w:color="000000" w:sz="6" w:space="0"/>
                    <w:right w:val="single" w:color="000000" w:sz="6" w:space="0"/>
                  </w:tcBorders>
                  <w:noWrap w:val="0"/>
                  <w:vAlign w:val="center"/>
                </w:tcPr>
                <w:p w14:paraId="681C31F1">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w:t>
                  </w:r>
                </w:p>
              </w:tc>
              <w:tc>
                <w:tcPr>
                  <w:tcW w:w="2421" w:type="dxa"/>
                  <w:tcBorders>
                    <w:top w:val="single" w:color="000000" w:sz="6" w:space="0"/>
                    <w:left w:val="single" w:color="000000" w:sz="6" w:space="0"/>
                    <w:bottom w:val="single" w:color="000000" w:sz="6" w:space="0"/>
                  </w:tcBorders>
                  <w:noWrap w:val="0"/>
                  <w:vAlign w:val="center"/>
                </w:tcPr>
                <w:p w14:paraId="756EAB60">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w:t>
                  </w:r>
                </w:p>
              </w:tc>
            </w:tr>
            <w:tr w14:paraId="35499E5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9" w:hRule="atLeast"/>
                <w:jc w:val="center"/>
              </w:trPr>
              <w:tc>
                <w:tcPr>
                  <w:tcW w:w="2949" w:type="dxa"/>
                  <w:tcBorders>
                    <w:top w:val="single" w:color="000000" w:sz="6" w:space="0"/>
                    <w:bottom w:val="single" w:color="000000" w:sz="6" w:space="0"/>
                    <w:right w:val="single" w:color="000000" w:sz="6" w:space="0"/>
                  </w:tcBorders>
                  <w:noWrap w:val="0"/>
                  <w:vAlign w:val="center"/>
                </w:tcPr>
                <w:p w14:paraId="3AB63314">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过氧化值/(mmol/g)≤</w:t>
                  </w:r>
                </w:p>
              </w:tc>
              <w:tc>
                <w:tcPr>
                  <w:tcW w:w="2476" w:type="dxa"/>
                  <w:tcBorders>
                    <w:top w:val="single" w:color="000000" w:sz="6" w:space="0"/>
                    <w:left w:val="single" w:color="000000" w:sz="6" w:space="0"/>
                    <w:bottom w:val="single" w:color="000000" w:sz="6" w:space="0"/>
                    <w:right w:val="single" w:color="000000" w:sz="6" w:space="0"/>
                  </w:tcBorders>
                  <w:noWrap w:val="0"/>
                  <w:vAlign w:val="center"/>
                </w:tcPr>
                <w:p w14:paraId="59F899C5">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6.0</w:t>
                  </w:r>
                </w:p>
              </w:tc>
              <w:tc>
                <w:tcPr>
                  <w:tcW w:w="2421" w:type="dxa"/>
                  <w:tcBorders>
                    <w:top w:val="single" w:color="000000" w:sz="6" w:space="0"/>
                    <w:left w:val="single" w:color="000000" w:sz="6" w:space="0"/>
                    <w:bottom w:val="single" w:color="000000" w:sz="6" w:space="0"/>
                  </w:tcBorders>
                  <w:noWrap w:val="0"/>
                  <w:vAlign w:val="center"/>
                </w:tcPr>
                <w:p w14:paraId="155C277E">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7.5</w:t>
                  </w:r>
                </w:p>
              </w:tc>
            </w:tr>
            <w:tr w14:paraId="60CE327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949" w:type="dxa"/>
                  <w:tcBorders>
                    <w:top w:val="single" w:color="000000" w:sz="6" w:space="0"/>
                    <w:bottom w:val="single" w:color="000000" w:sz="6" w:space="0"/>
                    <w:right w:val="single" w:color="000000" w:sz="6" w:space="0"/>
                  </w:tcBorders>
                  <w:noWrap w:val="0"/>
                  <w:vAlign w:val="center"/>
                </w:tcPr>
                <w:p w14:paraId="642E39D9">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溶剂残留量/(mg/kg)</w:t>
                  </w:r>
                </w:p>
              </w:tc>
              <w:tc>
                <w:tcPr>
                  <w:tcW w:w="2476" w:type="dxa"/>
                  <w:tcBorders>
                    <w:top w:val="single" w:color="000000" w:sz="6" w:space="0"/>
                    <w:left w:val="single" w:color="000000" w:sz="6" w:space="0"/>
                    <w:bottom w:val="single" w:color="000000" w:sz="6" w:space="0"/>
                    <w:right w:val="single" w:color="000000" w:sz="6" w:space="0"/>
                  </w:tcBorders>
                  <w:noWrap w:val="0"/>
                  <w:vAlign w:val="center"/>
                </w:tcPr>
                <w:p w14:paraId="351D678D">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不得检出</w:t>
                  </w:r>
                </w:p>
              </w:tc>
              <w:tc>
                <w:tcPr>
                  <w:tcW w:w="2421" w:type="dxa"/>
                  <w:tcBorders>
                    <w:top w:val="single" w:color="000000" w:sz="6" w:space="0"/>
                    <w:left w:val="single" w:color="000000" w:sz="6" w:space="0"/>
                    <w:bottom w:val="single" w:color="000000" w:sz="6" w:space="0"/>
                  </w:tcBorders>
                  <w:noWrap w:val="0"/>
                  <w:vAlign w:val="center"/>
                </w:tcPr>
                <w:p w14:paraId="14A3CA36">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不得检出</w:t>
                  </w:r>
                </w:p>
              </w:tc>
            </w:tr>
            <w:tr w14:paraId="7C08FFC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31" w:hRule="atLeast"/>
                <w:jc w:val="center"/>
              </w:trPr>
              <w:tc>
                <w:tcPr>
                  <w:tcW w:w="2949" w:type="dxa"/>
                  <w:tcBorders>
                    <w:top w:val="single" w:color="000000" w:sz="6" w:space="0"/>
                    <w:right w:val="single" w:color="000000" w:sz="6" w:space="0"/>
                  </w:tcBorders>
                  <w:noWrap w:val="0"/>
                  <w:vAlign w:val="center"/>
                </w:tcPr>
                <w:p w14:paraId="7A12FF88">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p>
                <w:p w14:paraId="3C57A60E">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加热试验(280℃)</w:t>
                  </w:r>
                </w:p>
              </w:tc>
              <w:tc>
                <w:tcPr>
                  <w:tcW w:w="2476" w:type="dxa"/>
                  <w:tcBorders>
                    <w:top w:val="single" w:color="000000" w:sz="6" w:space="0"/>
                    <w:left w:val="single" w:color="000000" w:sz="6" w:space="0"/>
                    <w:right w:val="single" w:color="000000" w:sz="6" w:space="0"/>
                  </w:tcBorders>
                  <w:noWrap w:val="0"/>
                  <w:vAlign w:val="center"/>
                </w:tcPr>
                <w:p w14:paraId="784CE784">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无析出物，罗维朋比色：黄色值不变，红色值增加小于0.4。</w:t>
                  </w:r>
                </w:p>
              </w:tc>
              <w:tc>
                <w:tcPr>
                  <w:tcW w:w="2421" w:type="dxa"/>
                  <w:tcBorders>
                    <w:top w:val="single" w:color="000000" w:sz="6" w:space="0"/>
                    <w:left w:val="single" w:color="000000" w:sz="6" w:space="0"/>
                  </w:tcBorders>
                  <w:noWrap w:val="0"/>
                  <w:vAlign w:val="center"/>
                </w:tcPr>
                <w:p w14:paraId="7D8084B7">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微量析出物，罗维朋比色：黄色值不变，红色值增加小于4.0，蓝色值增加小于0.5。</w:t>
                  </w:r>
                </w:p>
              </w:tc>
            </w:tr>
          </w:tbl>
          <w:p w14:paraId="47004420">
            <w:pPr>
              <w:keepNext w:val="0"/>
              <w:keepLines w:val="0"/>
              <w:pageBreakBefore w:val="0"/>
              <w:kinsoku/>
              <w:wordWrap/>
              <w:overflowPunct/>
              <w:topLinePunct w:val="0"/>
              <w:autoSpaceDE/>
              <w:autoSpaceDN/>
              <w:bidi w:val="0"/>
              <w:textAlignment w:val="auto"/>
              <w:outlineLvl w:val="9"/>
              <w:rPr>
                <w:rFonts w:hint="eastAsia"/>
                <w:color w:val="000000" w:themeColor="text1"/>
                <w:highlight w:val="none"/>
                <w14:textFill>
                  <w14:solidFill>
                    <w14:schemeClr w14:val="tx1"/>
                  </w14:solidFill>
                </w14:textFill>
              </w:rPr>
            </w:pPr>
          </w:p>
          <w:p w14:paraId="1F5912F7">
            <w:pPr>
              <w:keepNext w:val="0"/>
              <w:keepLines w:val="0"/>
              <w:pageBreakBefore w:val="0"/>
              <w:kinsoku/>
              <w:wordWrap/>
              <w:overflowPunct/>
              <w:topLinePunct w:val="0"/>
              <w:autoSpaceDE/>
              <w:autoSpaceDN/>
              <w:bidi w:val="0"/>
              <w:textAlignment w:val="auto"/>
              <w:outlineLvl w:val="9"/>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浸出成品花生油质量指标</w:t>
            </w:r>
          </w:p>
          <w:tbl>
            <w:tblPr>
              <w:tblStyle w:val="15"/>
              <w:tblW w:w="7768"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2651"/>
              <w:gridCol w:w="1250"/>
              <w:gridCol w:w="1284"/>
              <w:gridCol w:w="1283"/>
              <w:gridCol w:w="1300"/>
            </w:tblGrid>
            <w:tr w14:paraId="0DEAF6D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2651" w:type="dxa"/>
                  <w:vMerge w:val="restart"/>
                  <w:tcBorders>
                    <w:bottom w:val="single" w:color="000000" w:sz="6" w:space="0"/>
                    <w:right w:val="single" w:color="000000" w:sz="6" w:space="0"/>
                  </w:tcBorders>
                  <w:noWrap w:val="0"/>
                  <w:vAlign w:val="top"/>
                </w:tcPr>
                <w:p w14:paraId="4F850D15">
                  <w:pPr>
                    <w:pStyle w:val="23"/>
                    <w:keepNext w:val="0"/>
                    <w:keepLines w:val="0"/>
                    <w:pageBreakBefore w:val="0"/>
                    <w:kinsoku/>
                    <w:wordWrap/>
                    <w:overflowPunct/>
                    <w:topLinePunct w:val="0"/>
                    <w:autoSpaceDE/>
                    <w:autoSpaceDN/>
                    <w:bidi w:val="0"/>
                    <w:spacing w:before="1"/>
                    <w:textAlignment w:val="auto"/>
                    <w:outlineLvl w:val="9"/>
                    <w:rPr>
                      <w:color w:val="000000" w:themeColor="text1"/>
                      <w:szCs w:val="21"/>
                      <w:highlight w:val="none"/>
                      <w14:textFill>
                        <w14:solidFill>
                          <w14:schemeClr w14:val="tx1"/>
                        </w14:solidFill>
                      </w14:textFill>
                    </w:rPr>
                  </w:pPr>
                </w:p>
                <w:p w14:paraId="4CC033DB">
                  <w:pPr>
                    <w:pStyle w:val="23"/>
                    <w:keepNext w:val="0"/>
                    <w:keepLines w:val="0"/>
                    <w:pageBreakBefore w:val="0"/>
                    <w:kinsoku/>
                    <w:wordWrap/>
                    <w:overflowPunct/>
                    <w:topLinePunct w:val="0"/>
                    <w:autoSpaceDE/>
                    <w:autoSpaceDN/>
                    <w:bidi w:val="0"/>
                    <w:spacing w:before="0"/>
                    <w:ind w:left="1001" w:right="1002"/>
                    <w:jc w:val="center"/>
                    <w:textAlignment w:val="auto"/>
                    <w:outlineLvl w:val="9"/>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项目</w:t>
                  </w:r>
                </w:p>
              </w:tc>
              <w:tc>
                <w:tcPr>
                  <w:tcW w:w="5117" w:type="dxa"/>
                  <w:gridSpan w:val="4"/>
                  <w:tcBorders>
                    <w:left w:val="single" w:color="000000" w:sz="6" w:space="0"/>
                    <w:bottom w:val="single" w:color="000000" w:sz="6" w:space="0"/>
                  </w:tcBorders>
                  <w:noWrap w:val="0"/>
                  <w:vAlign w:val="top"/>
                </w:tcPr>
                <w:p w14:paraId="08BB94DF">
                  <w:pPr>
                    <w:pStyle w:val="23"/>
                    <w:keepNext w:val="0"/>
                    <w:keepLines w:val="0"/>
                    <w:pageBreakBefore w:val="0"/>
                    <w:kinsoku/>
                    <w:wordWrap/>
                    <w:overflowPunct/>
                    <w:topLinePunct w:val="0"/>
                    <w:autoSpaceDE/>
                    <w:autoSpaceDN/>
                    <w:bidi w:val="0"/>
                    <w:spacing w:before="79"/>
                    <w:ind w:left="1484" w:right="1473"/>
                    <w:jc w:val="center"/>
                    <w:textAlignment w:val="auto"/>
                    <w:outlineLvl w:val="9"/>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质量指标</w:t>
                  </w:r>
                </w:p>
              </w:tc>
            </w:tr>
            <w:tr w14:paraId="0C7D3BD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651" w:type="dxa"/>
                  <w:vMerge w:val="continue"/>
                  <w:tcBorders>
                    <w:top w:val="nil"/>
                    <w:bottom w:val="single" w:color="000000" w:sz="6" w:space="0"/>
                    <w:right w:val="single" w:color="000000" w:sz="6" w:space="0"/>
                  </w:tcBorders>
                  <w:noWrap w:val="0"/>
                  <w:vAlign w:val="top"/>
                </w:tcPr>
                <w:p w14:paraId="781AC97E">
                  <w:pPr>
                    <w:keepNext w:val="0"/>
                    <w:keepLines w:val="0"/>
                    <w:pageBreakBefore w:val="0"/>
                    <w:kinsoku/>
                    <w:wordWrap/>
                    <w:overflowPunct/>
                    <w:topLinePunct w:val="0"/>
                    <w:autoSpaceDE/>
                    <w:autoSpaceDN/>
                    <w:bidi w:val="0"/>
                    <w:textAlignment w:val="auto"/>
                    <w:outlineLvl w:val="9"/>
                    <w:rPr>
                      <w:color w:val="000000" w:themeColor="text1"/>
                      <w:szCs w:val="21"/>
                      <w:highlight w:val="none"/>
                      <w14:textFill>
                        <w14:solidFill>
                          <w14:schemeClr w14:val="tx1"/>
                        </w14:solidFill>
                      </w14:textFill>
                    </w:rPr>
                  </w:pPr>
                </w:p>
              </w:tc>
              <w:tc>
                <w:tcPr>
                  <w:tcW w:w="1250" w:type="dxa"/>
                  <w:tcBorders>
                    <w:top w:val="single" w:color="000000" w:sz="6" w:space="0"/>
                    <w:left w:val="single" w:color="000000" w:sz="6" w:space="0"/>
                    <w:bottom w:val="single" w:color="000000" w:sz="6" w:space="0"/>
                    <w:right w:val="single" w:color="000000" w:sz="6" w:space="0"/>
                  </w:tcBorders>
                  <w:noWrap w:val="0"/>
                  <w:vAlign w:val="top"/>
                </w:tcPr>
                <w:p w14:paraId="01E04262">
                  <w:pPr>
                    <w:pStyle w:val="23"/>
                    <w:keepNext w:val="0"/>
                    <w:keepLines w:val="0"/>
                    <w:pageBreakBefore w:val="0"/>
                    <w:kinsoku/>
                    <w:wordWrap/>
                    <w:overflowPunct/>
                    <w:topLinePunct w:val="0"/>
                    <w:autoSpaceDE/>
                    <w:autoSpaceDN/>
                    <w:bidi w:val="0"/>
                    <w:spacing w:before="92"/>
                    <w:ind w:left="417" w:right="382"/>
                    <w:jc w:val="center"/>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一级</w:t>
                  </w:r>
                </w:p>
              </w:tc>
              <w:tc>
                <w:tcPr>
                  <w:tcW w:w="1284" w:type="dxa"/>
                  <w:tcBorders>
                    <w:top w:val="single" w:color="000000" w:sz="6" w:space="0"/>
                    <w:left w:val="single" w:color="000000" w:sz="6" w:space="0"/>
                    <w:bottom w:val="single" w:color="000000" w:sz="6" w:space="0"/>
                    <w:right w:val="single" w:color="000000" w:sz="6" w:space="0"/>
                  </w:tcBorders>
                  <w:noWrap w:val="0"/>
                  <w:vAlign w:val="top"/>
                </w:tcPr>
                <w:p w14:paraId="18BB876C">
                  <w:pPr>
                    <w:pStyle w:val="23"/>
                    <w:keepNext w:val="0"/>
                    <w:keepLines w:val="0"/>
                    <w:pageBreakBefore w:val="0"/>
                    <w:kinsoku/>
                    <w:wordWrap/>
                    <w:overflowPunct/>
                    <w:topLinePunct w:val="0"/>
                    <w:autoSpaceDE/>
                    <w:autoSpaceDN/>
                    <w:bidi w:val="0"/>
                    <w:spacing w:before="92"/>
                    <w:ind w:left="417" w:right="383"/>
                    <w:jc w:val="center"/>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二级</w:t>
                  </w:r>
                </w:p>
              </w:tc>
              <w:tc>
                <w:tcPr>
                  <w:tcW w:w="1283" w:type="dxa"/>
                  <w:tcBorders>
                    <w:top w:val="single" w:color="000000" w:sz="6" w:space="0"/>
                    <w:left w:val="single" w:color="000000" w:sz="6" w:space="0"/>
                    <w:bottom w:val="single" w:color="000000" w:sz="6" w:space="0"/>
                    <w:right w:val="single" w:color="000000" w:sz="6" w:space="0"/>
                  </w:tcBorders>
                  <w:noWrap w:val="0"/>
                  <w:vAlign w:val="top"/>
                </w:tcPr>
                <w:p w14:paraId="04F78EFA">
                  <w:pPr>
                    <w:pStyle w:val="23"/>
                    <w:keepNext w:val="0"/>
                    <w:keepLines w:val="0"/>
                    <w:pageBreakBefore w:val="0"/>
                    <w:kinsoku/>
                    <w:wordWrap/>
                    <w:overflowPunct/>
                    <w:topLinePunct w:val="0"/>
                    <w:autoSpaceDE/>
                    <w:autoSpaceDN/>
                    <w:bidi w:val="0"/>
                    <w:spacing w:before="92"/>
                    <w:ind w:left="357"/>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三级</w:t>
                  </w:r>
                </w:p>
              </w:tc>
              <w:tc>
                <w:tcPr>
                  <w:tcW w:w="1300" w:type="dxa"/>
                  <w:tcBorders>
                    <w:top w:val="single" w:color="000000" w:sz="6" w:space="0"/>
                    <w:left w:val="single" w:color="000000" w:sz="6" w:space="0"/>
                    <w:bottom w:val="single" w:color="000000" w:sz="6" w:space="0"/>
                  </w:tcBorders>
                  <w:noWrap w:val="0"/>
                  <w:vAlign w:val="top"/>
                </w:tcPr>
                <w:p w14:paraId="46AB54F9">
                  <w:pPr>
                    <w:pStyle w:val="23"/>
                    <w:keepNext w:val="0"/>
                    <w:keepLines w:val="0"/>
                    <w:pageBreakBefore w:val="0"/>
                    <w:kinsoku/>
                    <w:wordWrap/>
                    <w:overflowPunct/>
                    <w:topLinePunct w:val="0"/>
                    <w:autoSpaceDE/>
                    <w:autoSpaceDN/>
                    <w:bidi w:val="0"/>
                    <w:spacing w:before="92"/>
                    <w:ind w:right="796"/>
                    <w:jc w:val="center"/>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四极</w:t>
                  </w:r>
                </w:p>
              </w:tc>
            </w:tr>
            <w:tr w14:paraId="2EEEFF5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5" w:hRule="atLeast"/>
                <w:jc w:val="center"/>
              </w:trPr>
              <w:tc>
                <w:tcPr>
                  <w:tcW w:w="2651" w:type="dxa"/>
                  <w:tcBorders>
                    <w:top w:val="single" w:color="000000" w:sz="6" w:space="0"/>
                    <w:bottom w:val="single" w:color="000000" w:sz="6" w:space="0"/>
                    <w:right w:val="single" w:color="000000" w:sz="6" w:space="0"/>
                  </w:tcBorders>
                  <w:noWrap w:val="0"/>
                  <w:vAlign w:val="top"/>
                </w:tcPr>
                <w:p w14:paraId="52CB4333">
                  <w:pPr>
                    <w:pStyle w:val="23"/>
                    <w:keepNext w:val="0"/>
                    <w:keepLines w:val="0"/>
                    <w:pageBreakBefore w:val="0"/>
                    <w:kinsoku/>
                    <w:wordWrap/>
                    <w:overflowPunct/>
                    <w:topLinePunct w:val="0"/>
                    <w:autoSpaceDE/>
                    <w:autoSpaceDN/>
                    <w:bidi w:val="0"/>
                    <w:spacing w:before="3"/>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(罗维朋比色槽 25.4mm)≤</w:t>
                  </w:r>
                </w:p>
              </w:tc>
              <w:tc>
                <w:tcPr>
                  <w:tcW w:w="1250" w:type="dxa"/>
                  <w:tcBorders>
                    <w:top w:val="single" w:color="000000" w:sz="6" w:space="0"/>
                    <w:left w:val="single" w:color="000000" w:sz="6" w:space="0"/>
                    <w:bottom w:val="single" w:color="000000" w:sz="6" w:space="0"/>
                    <w:right w:val="single" w:color="000000" w:sz="6" w:space="0"/>
                  </w:tcBorders>
                  <w:noWrap w:val="0"/>
                  <w:vAlign w:val="top"/>
                </w:tcPr>
                <w:p w14:paraId="7E2948AE">
                  <w:pPr>
                    <w:pStyle w:val="23"/>
                    <w:keepNext w:val="0"/>
                    <w:keepLines w:val="0"/>
                    <w:pageBreakBefore w:val="0"/>
                    <w:kinsoku/>
                    <w:wordWrap/>
                    <w:overflowPunct/>
                    <w:topLinePunct w:val="0"/>
                    <w:autoSpaceDE/>
                    <w:autoSpaceDN/>
                    <w:bidi w:val="0"/>
                    <w:spacing w:before="3"/>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c>
                <w:tcPr>
                  <w:tcW w:w="1284" w:type="dxa"/>
                  <w:tcBorders>
                    <w:top w:val="single" w:color="000000" w:sz="6" w:space="0"/>
                    <w:left w:val="single" w:color="000000" w:sz="6" w:space="0"/>
                    <w:bottom w:val="single" w:color="000000" w:sz="6" w:space="0"/>
                    <w:right w:val="single" w:color="000000" w:sz="6" w:space="0"/>
                  </w:tcBorders>
                  <w:noWrap w:val="0"/>
                  <w:vAlign w:val="top"/>
                </w:tcPr>
                <w:p w14:paraId="30BD50F4">
                  <w:pPr>
                    <w:pStyle w:val="23"/>
                    <w:keepNext w:val="0"/>
                    <w:keepLines w:val="0"/>
                    <w:pageBreakBefore w:val="0"/>
                    <w:kinsoku/>
                    <w:wordWrap/>
                    <w:overflowPunct/>
                    <w:topLinePunct w:val="0"/>
                    <w:autoSpaceDE/>
                    <w:autoSpaceDN/>
                    <w:bidi w:val="0"/>
                    <w:spacing w:before="3"/>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c>
                <w:tcPr>
                  <w:tcW w:w="1283" w:type="dxa"/>
                  <w:tcBorders>
                    <w:top w:val="single" w:color="000000" w:sz="6" w:space="0"/>
                    <w:left w:val="single" w:color="000000" w:sz="6" w:space="0"/>
                    <w:bottom w:val="single" w:color="000000" w:sz="6" w:space="0"/>
                    <w:right w:val="single" w:color="000000" w:sz="6" w:space="0"/>
                  </w:tcBorders>
                  <w:noWrap w:val="0"/>
                  <w:vAlign w:val="top"/>
                </w:tcPr>
                <w:p w14:paraId="2502A599">
                  <w:pPr>
                    <w:pStyle w:val="23"/>
                    <w:keepNext w:val="0"/>
                    <w:keepLines w:val="0"/>
                    <w:pageBreakBefore w:val="0"/>
                    <w:kinsoku/>
                    <w:wordWrap/>
                    <w:overflowPunct/>
                    <w:topLinePunct w:val="0"/>
                    <w:autoSpaceDE/>
                    <w:autoSpaceDN/>
                    <w:bidi w:val="0"/>
                    <w:spacing w:before="3"/>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黄25红4.0</w:t>
                  </w:r>
                </w:p>
              </w:tc>
              <w:tc>
                <w:tcPr>
                  <w:tcW w:w="1300" w:type="dxa"/>
                  <w:tcBorders>
                    <w:top w:val="single" w:color="000000" w:sz="6" w:space="0"/>
                    <w:left w:val="single" w:color="000000" w:sz="6" w:space="0"/>
                    <w:bottom w:val="single" w:color="000000" w:sz="6" w:space="0"/>
                  </w:tcBorders>
                  <w:noWrap w:val="0"/>
                  <w:vAlign w:val="top"/>
                </w:tcPr>
                <w:p w14:paraId="44D9695B">
                  <w:pPr>
                    <w:pStyle w:val="23"/>
                    <w:keepNext w:val="0"/>
                    <w:keepLines w:val="0"/>
                    <w:pageBreakBefore w:val="0"/>
                    <w:kinsoku/>
                    <w:wordWrap/>
                    <w:overflowPunct/>
                    <w:topLinePunct w:val="0"/>
                    <w:autoSpaceDE/>
                    <w:autoSpaceDN/>
                    <w:bidi w:val="0"/>
                    <w:spacing w:before="3"/>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黄25红4.0</w:t>
                  </w:r>
                </w:p>
              </w:tc>
            </w:tr>
            <w:tr w14:paraId="115C786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5" w:hRule="atLeast"/>
                <w:jc w:val="center"/>
              </w:trPr>
              <w:tc>
                <w:tcPr>
                  <w:tcW w:w="2651" w:type="dxa"/>
                  <w:tcBorders>
                    <w:top w:val="single" w:color="000000" w:sz="6" w:space="0"/>
                    <w:bottom w:val="single" w:color="000000" w:sz="6" w:space="0"/>
                    <w:right w:val="single" w:color="000000" w:sz="6" w:space="0"/>
                  </w:tcBorders>
                  <w:noWrap w:val="0"/>
                  <w:vAlign w:val="top"/>
                </w:tcPr>
                <w:p w14:paraId="6819057E">
                  <w:pPr>
                    <w:pStyle w:val="23"/>
                    <w:keepNext w:val="0"/>
                    <w:keepLines w:val="0"/>
                    <w:pageBreakBefore w:val="0"/>
                    <w:kinsoku/>
                    <w:wordWrap/>
                    <w:overflowPunct/>
                    <w:topLinePunct w:val="0"/>
                    <w:autoSpaceDE/>
                    <w:autoSpaceDN/>
                    <w:bidi w:val="0"/>
                    <w:spacing w:before="3"/>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(罗维朋比色槽 133.4mm)≤</w:t>
                  </w:r>
                </w:p>
              </w:tc>
              <w:tc>
                <w:tcPr>
                  <w:tcW w:w="1250" w:type="dxa"/>
                  <w:tcBorders>
                    <w:top w:val="single" w:color="000000" w:sz="6" w:space="0"/>
                    <w:left w:val="single" w:color="000000" w:sz="6" w:space="0"/>
                    <w:bottom w:val="single" w:color="000000" w:sz="6" w:space="0"/>
                    <w:right w:val="single" w:color="000000" w:sz="6" w:space="0"/>
                  </w:tcBorders>
                  <w:noWrap w:val="0"/>
                  <w:vAlign w:val="top"/>
                </w:tcPr>
                <w:p w14:paraId="093388E9">
                  <w:pPr>
                    <w:pStyle w:val="23"/>
                    <w:keepNext w:val="0"/>
                    <w:keepLines w:val="0"/>
                    <w:pageBreakBefore w:val="0"/>
                    <w:kinsoku/>
                    <w:wordWrap/>
                    <w:overflowPunct/>
                    <w:topLinePunct w:val="0"/>
                    <w:autoSpaceDE/>
                    <w:autoSpaceDN/>
                    <w:bidi w:val="0"/>
                    <w:spacing w:before="3"/>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黄25红1.5</w:t>
                  </w:r>
                </w:p>
              </w:tc>
              <w:tc>
                <w:tcPr>
                  <w:tcW w:w="1284" w:type="dxa"/>
                  <w:tcBorders>
                    <w:top w:val="single" w:color="000000" w:sz="6" w:space="0"/>
                    <w:left w:val="single" w:color="000000" w:sz="6" w:space="0"/>
                    <w:bottom w:val="single" w:color="000000" w:sz="6" w:space="0"/>
                    <w:right w:val="single" w:color="000000" w:sz="6" w:space="0"/>
                  </w:tcBorders>
                  <w:noWrap w:val="0"/>
                  <w:vAlign w:val="top"/>
                </w:tcPr>
                <w:p w14:paraId="1DD52881">
                  <w:pPr>
                    <w:pStyle w:val="23"/>
                    <w:keepNext w:val="0"/>
                    <w:keepLines w:val="0"/>
                    <w:pageBreakBefore w:val="0"/>
                    <w:kinsoku/>
                    <w:wordWrap/>
                    <w:overflowPunct/>
                    <w:topLinePunct w:val="0"/>
                    <w:autoSpaceDE/>
                    <w:autoSpaceDN/>
                    <w:bidi w:val="0"/>
                    <w:spacing w:before="3"/>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黄25红2.0</w:t>
                  </w:r>
                </w:p>
              </w:tc>
              <w:tc>
                <w:tcPr>
                  <w:tcW w:w="1283" w:type="dxa"/>
                  <w:tcBorders>
                    <w:top w:val="single" w:color="000000" w:sz="6" w:space="0"/>
                    <w:left w:val="single" w:color="000000" w:sz="6" w:space="0"/>
                    <w:bottom w:val="single" w:color="000000" w:sz="6" w:space="0"/>
                    <w:right w:val="single" w:color="000000" w:sz="6" w:space="0"/>
                  </w:tcBorders>
                  <w:noWrap w:val="0"/>
                  <w:vAlign w:val="top"/>
                </w:tcPr>
                <w:p w14:paraId="4A7AA901">
                  <w:pPr>
                    <w:pStyle w:val="23"/>
                    <w:keepNext w:val="0"/>
                    <w:keepLines w:val="0"/>
                    <w:pageBreakBefore w:val="0"/>
                    <w:kinsoku/>
                    <w:wordWrap/>
                    <w:overflowPunct/>
                    <w:topLinePunct w:val="0"/>
                    <w:autoSpaceDE/>
                    <w:autoSpaceDN/>
                    <w:bidi w:val="0"/>
                    <w:spacing w:before="3"/>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c>
                <w:tcPr>
                  <w:tcW w:w="1300" w:type="dxa"/>
                  <w:tcBorders>
                    <w:top w:val="single" w:color="000000" w:sz="6" w:space="0"/>
                    <w:left w:val="single" w:color="000000" w:sz="6" w:space="0"/>
                    <w:bottom w:val="single" w:color="000000" w:sz="6" w:space="0"/>
                  </w:tcBorders>
                  <w:noWrap w:val="0"/>
                  <w:vAlign w:val="top"/>
                </w:tcPr>
                <w:p w14:paraId="48D5BA58">
                  <w:pPr>
                    <w:pStyle w:val="23"/>
                    <w:keepNext w:val="0"/>
                    <w:keepLines w:val="0"/>
                    <w:pageBreakBefore w:val="0"/>
                    <w:kinsoku/>
                    <w:wordWrap/>
                    <w:overflowPunct/>
                    <w:topLinePunct w:val="0"/>
                    <w:autoSpaceDE/>
                    <w:autoSpaceDN/>
                    <w:bidi w:val="0"/>
                    <w:spacing w:before="3"/>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r>
            <w:tr w14:paraId="7CA4FD2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651" w:type="dxa"/>
                  <w:tcBorders>
                    <w:top w:val="single" w:color="000000" w:sz="6" w:space="0"/>
                    <w:bottom w:val="single" w:color="000000" w:sz="6" w:space="0"/>
                    <w:right w:val="single" w:color="000000" w:sz="6" w:space="0"/>
                  </w:tcBorders>
                  <w:noWrap w:val="0"/>
                  <w:vAlign w:val="top"/>
                </w:tcPr>
                <w:p w14:paraId="2B9F7A66">
                  <w:pPr>
                    <w:pStyle w:val="23"/>
                    <w:keepNext w:val="0"/>
                    <w:keepLines w:val="0"/>
                    <w:pageBreakBefore w:val="0"/>
                    <w:kinsoku/>
                    <w:wordWrap/>
                    <w:overflowPunct/>
                    <w:topLinePunct w:val="0"/>
                    <w:autoSpaceDE/>
                    <w:autoSpaceDN/>
                    <w:bidi w:val="0"/>
                    <w:spacing w:before="3"/>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气味</w:t>
                  </w:r>
                </w:p>
              </w:tc>
              <w:tc>
                <w:tcPr>
                  <w:tcW w:w="5117" w:type="dxa"/>
                  <w:gridSpan w:val="4"/>
                  <w:tcBorders>
                    <w:top w:val="single" w:color="000000" w:sz="6" w:space="0"/>
                    <w:left w:val="single" w:color="000000" w:sz="6" w:space="0"/>
                    <w:bottom w:val="single" w:color="000000" w:sz="6" w:space="0"/>
                  </w:tcBorders>
                  <w:noWrap w:val="0"/>
                  <w:vAlign w:val="top"/>
                </w:tcPr>
                <w:p w14:paraId="223E1675">
                  <w:pPr>
                    <w:pStyle w:val="23"/>
                    <w:keepNext w:val="0"/>
                    <w:keepLines w:val="0"/>
                    <w:pageBreakBefore w:val="0"/>
                    <w:kinsoku/>
                    <w:wordWrap/>
                    <w:overflowPunct/>
                    <w:topLinePunct w:val="0"/>
                    <w:autoSpaceDE/>
                    <w:autoSpaceDN/>
                    <w:bidi w:val="0"/>
                    <w:spacing w:before="3"/>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无气味、口感好，具有花生油固有的气味和滋味，</w:t>
                  </w:r>
                  <w:r>
                    <w:rPr>
                      <w:rFonts w:hint="eastAsia"/>
                      <w:color w:val="000000" w:themeColor="text1"/>
                      <w:szCs w:val="21"/>
                      <w:highlight w:val="none"/>
                      <w14:textFill>
                        <w14:solidFill>
                          <w14:schemeClr w14:val="tx1"/>
                        </w14:solidFill>
                      </w14:textFill>
                    </w:rPr>
                    <w:t>无</w:t>
                  </w:r>
                  <w:r>
                    <w:rPr>
                      <w:color w:val="000000" w:themeColor="text1"/>
                      <w:szCs w:val="21"/>
                      <w:highlight w:val="none"/>
                      <w14:textFill>
                        <w14:solidFill>
                          <w14:schemeClr w14:val="tx1"/>
                        </w14:solidFill>
                      </w14:textFill>
                    </w:rPr>
                    <w:t>异味</w:t>
                  </w:r>
                </w:p>
              </w:tc>
            </w:tr>
            <w:tr w14:paraId="5F5289D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651" w:type="dxa"/>
                  <w:tcBorders>
                    <w:top w:val="single" w:color="000000" w:sz="6" w:space="0"/>
                    <w:bottom w:val="single" w:color="000000" w:sz="6" w:space="0"/>
                    <w:right w:val="single" w:color="000000" w:sz="6" w:space="0"/>
                  </w:tcBorders>
                  <w:noWrap w:val="0"/>
                  <w:vAlign w:val="top"/>
                </w:tcPr>
                <w:p w14:paraId="365D1D50">
                  <w:pPr>
                    <w:pStyle w:val="23"/>
                    <w:keepNext w:val="0"/>
                    <w:keepLines w:val="0"/>
                    <w:pageBreakBefore w:val="0"/>
                    <w:kinsoku/>
                    <w:wordWrap/>
                    <w:overflowPunct/>
                    <w:topLinePunct w:val="0"/>
                    <w:autoSpaceDE/>
                    <w:autoSpaceDN/>
                    <w:bidi w:val="0"/>
                    <w:spacing w:before="3"/>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透明度</w:t>
                  </w:r>
                </w:p>
              </w:tc>
              <w:tc>
                <w:tcPr>
                  <w:tcW w:w="1250" w:type="dxa"/>
                  <w:tcBorders>
                    <w:top w:val="single" w:color="000000" w:sz="6" w:space="0"/>
                    <w:left w:val="single" w:color="000000" w:sz="6" w:space="0"/>
                    <w:bottom w:val="single" w:color="000000" w:sz="6" w:space="0"/>
                    <w:right w:val="single" w:color="000000" w:sz="6" w:space="0"/>
                  </w:tcBorders>
                  <w:noWrap w:val="0"/>
                  <w:vAlign w:val="top"/>
                </w:tcPr>
                <w:p w14:paraId="286978A5">
                  <w:pPr>
                    <w:pStyle w:val="23"/>
                    <w:keepNext w:val="0"/>
                    <w:keepLines w:val="0"/>
                    <w:pageBreakBefore w:val="0"/>
                    <w:kinsoku/>
                    <w:wordWrap/>
                    <w:overflowPunct/>
                    <w:topLinePunct w:val="0"/>
                    <w:autoSpaceDE/>
                    <w:autoSpaceDN/>
                    <w:bidi w:val="0"/>
                    <w:spacing w:before="3"/>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澄清、透明</w:t>
                  </w:r>
                </w:p>
              </w:tc>
              <w:tc>
                <w:tcPr>
                  <w:tcW w:w="1284" w:type="dxa"/>
                  <w:tcBorders>
                    <w:top w:val="single" w:color="000000" w:sz="6" w:space="0"/>
                    <w:left w:val="single" w:color="000000" w:sz="6" w:space="0"/>
                    <w:bottom w:val="single" w:color="000000" w:sz="6" w:space="0"/>
                    <w:right w:val="single" w:color="000000" w:sz="6" w:space="0"/>
                  </w:tcBorders>
                  <w:noWrap w:val="0"/>
                  <w:vAlign w:val="top"/>
                </w:tcPr>
                <w:p w14:paraId="3F3D3ECD">
                  <w:pPr>
                    <w:pStyle w:val="23"/>
                    <w:keepNext w:val="0"/>
                    <w:keepLines w:val="0"/>
                    <w:pageBreakBefore w:val="0"/>
                    <w:kinsoku/>
                    <w:wordWrap/>
                    <w:overflowPunct/>
                    <w:topLinePunct w:val="0"/>
                    <w:autoSpaceDE/>
                    <w:autoSpaceDN/>
                    <w:bidi w:val="0"/>
                    <w:spacing w:before="3"/>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澄清、透明</w:t>
                  </w:r>
                </w:p>
              </w:tc>
              <w:tc>
                <w:tcPr>
                  <w:tcW w:w="1283" w:type="dxa"/>
                  <w:tcBorders>
                    <w:top w:val="single" w:color="000000" w:sz="6" w:space="0"/>
                    <w:left w:val="single" w:color="000000" w:sz="6" w:space="0"/>
                    <w:bottom w:val="single" w:color="000000" w:sz="6" w:space="0"/>
                    <w:right w:val="single" w:color="000000" w:sz="6" w:space="0"/>
                  </w:tcBorders>
                  <w:noWrap w:val="0"/>
                  <w:vAlign w:val="top"/>
                </w:tcPr>
                <w:p w14:paraId="6BA8B91C">
                  <w:pPr>
                    <w:pStyle w:val="23"/>
                    <w:keepNext w:val="0"/>
                    <w:keepLines w:val="0"/>
                    <w:pageBreakBefore w:val="0"/>
                    <w:kinsoku/>
                    <w:wordWrap/>
                    <w:overflowPunct/>
                    <w:topLinePunct w:val="0"/>
                    <w:autoSpaceDE/>
                    <w:autoSpaceDN/>
                    <w:bidi w:val="0"/>
                    <w:spacing w:before="3"/>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c>
                <w:tcPr>
                  <w:tcW w:w="1300" w:type="dxa"/>
                  <w:tcBorders>
                    <w:top w:val="single" w:color="000000" w:sz="6" w:space="0"/>
                    <w:left w:val="single" w:color="000000" w:sz="6" w:space="0"/>
                    <w:bottom w:val="single" w:color="000000" w:sz="6" w:space="0"/>
                  </w:tcBorders>
                  <w:noWrap w:val="0"/>
                  <w:vAlign w:val="top"/>
                </w:tcPr>
                <w:p w14:paraId="67EF08B3">
                  <w:pPr>
                    <w:pStyle w:val="23"/>
                    <w:keepNext w:val="0"/>
                    <w:keepLines w:val="0"/>
                    <w:pageBreakBefore w:val="0"/>
                    <w:kinsoku/>
                    <w:wordWrap/>
                    <w:overflowPunct/>
                    <w:topLinePunct w:val="0"/>
                    <w:autoSpaceDE/>
                    <w:autoSpaceDN/>
                    <w:bidi w:val="0"/>
                    <w:spacing w:before="3"/>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r>
            <w:tr w14:paraId="377E4C0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651" w:type="dxa"/>
                  <w:tcBorders>
                    <w:top w:val="single" w:color="000000" w:sz="6" w:space="0"/>
                    <w:bottom w:val="single" w:color="000000" w:sz="6" w:space="0"/>
                    <w:right w:val="single" w:color="000000" w:sz="6" w:space="0"/>
                  </w:tcBorders>
                  <w:noWrap w:val="0"/>
                  <w:vAlign w:val="top"/>
                </w:tcPr>
                <w:p w14:paraId="0837B1D9">
                  <w:pPr>
                    <w:pStyle w:val="23"/>
                    <w:keepNext w:val="0"/>
                    <w:keepLines w:val="0"/>
                    <w:pageBreakBefore w:val="0"/>
                    <w:kinsoku/>
                    <w:wordWrap/>
                    <w:overflowPunct/>
                    <w:topLinePunct w:val="0"/>
                    <w:autoSpaceDE/>
                    <w:autoSpaceDN/>
                    <w:bidi w:val="0"/>
                    <w:spacing w:before="3"/>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水分及挥发物/(%)≤</w:t>
                  </w:r>
                </w:p>
              </w:tc>
              <w:tc>
                <w:tcPr>
                  <w:tcW w:w="1250" w:type="dxa"/>
                  <w:tcBorders>
                    <w:top w:val="single" w:color="000000" w:sz="6" w:space="0"/>
                    <w:left w:val="single" w:color="000000" w:sz="6" w:space="0"/>
                    <w:bottom w:val="single" w:color="000000" w:sz="6" w:space="0"/>
                    <w:right w:val="single" w:color="000000" w:sz="6" w:space="0"/>
                  </w:tcBorders>
                  <w:noWrap w:val="0"/>
                  <w:vAlign w:val="top"/>
                </w:tcPr>
                <w:p w14:paraId="06EB2D82">
                  <w:pPr>
                    <w:pStyle w:val="23"/>
                    <w:keepNext w:val="0"/>
                    <w:keepLines w:val="0"/>
                    <w:pageBreakBefore w:val="0"/>
                    <w:kinsoku/>
                    <w:wordWrap/>
                    <w:overflowPunct/>
                    <w:topLinePunct w:val="0"/>
                    <w:autoSpaceDE/>
                    <w:autoSpaceDN/>
                    <w:bidi w:val="0"/>
                    <w:spacing w:before="3"/>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0.05</w:t>
                  </w:r>
                </w:p>
              </w:tc>
              <w:tc>
                <w:tcPr>
                  <w:tcW w:w="1284" w:type="dxa"/>
                  <w:tcBorders>
                    <w:top w:val="single" w:color="000000" w:sz="6" w:space="0"/>
                    <w:left w:val="single" w:color="000000" w:sz="6" w:space="0"/>
                    <w:bottom w:val="single" w:color="000000" w:sz="6" w:space="0"/>
                    <w:right w:val="single" w:color="000000" w:sz="6" w:space="0"/>
                  </w:tcBorders>
                  <w:noWrap w:val="0"/>
                  <w:vAlign w:val="top"/>
                </w:tcPr>
                <w:p w14:paraId="3E6C49C1">
                  <w:pPr>
                    <w:pStyle w:val="23"/>
                    <w:keepNext w:val="0"/>
                    <w:keepLines w:val="0"/>
                    <w:pageBreakBefore w:val="0"/>
                    <w:kinsoku/>
                    <w:wordWrap/>
                    <w:overflowPunct/>
                    <w:topLinePunct w:val="0"/>
                    <w:autoSpaceDE/>
                    <w:autoSpaceDN/>
                    <w:bidi w:val="0"/>
                    <w:spacing w:before="3"/>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0.05</w:t>
                  </w:r>
                </w:p>
              </w:tc>
              <w:tc>
                <w:tcPr>
                  <w:tcW w:w="1283" w:type="dxa"/>
                  <w:tcBorders>
                    <w:top w:val="single" w:color="000000" w:sz="6" w:space="0"/>
                    <w:left w:val="single" w:color="000000" w:sz="6" w:space="0"/>
                    <w:bottom w:val="single" w:color="000000" w:sz="6" w:space="0"/>
                    <w:right w:val="single" w:color="000000" w:sz="6" w:space="0"/>
                  </w:tcBorders>
                  <w:noWrap w:val="0"/>
                  <w:vAlign w:val="top"/>
                </w:tcPr>
                <w:p w14:paraId="0FD43432">
                  <w:pPr>
                    <w:pStyle w:val="23"/>
                    <w:keepNext w:val="0"/>
                    <w:keepLines w:val="0"/>
                    <w:pageBreakBefore w:val="0"/>
                    <w:kinsoku/>
                    <w:wordWrap/>
                    <w:overflowPunct/>
                    <w:topLinePunct w:val="0"/>
                    <w:autoSpaceDE/>
                    <w:autoSpaceDN/>
                    <w:bidi w:val="0"/>
                    <w:spacing w:before="3"/>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0.10</w:t>
                  </w:r>
                </w:p>
              </w:tc>
              <w:tc>
                <w:tcPr>
                  <w:tcW w:w="1300" w:type="dxa"/>
                  <w:tcBorders>
                    <w:top w:val="single" w:color="000000" w:sz="6" w:space="0"/>
                    <w:left w:val="single" w:color="000000" w:sz="6" w:space="0"/>
                    <w:bottom w:val="single" w:color="000000" w:sz="6" w:space="0"/>
                  </w:tcBorders>
                  <w:noWrap w:val="0"/>
                  <w:vAlign w:val="top"/>
                </w:tcPr>
                <w:p w14:paraId="208FA3C3">
                  <w:pPr>
                    <w:pStyle w:val="23"/>
                    <w:keepNext w:val="0"/>
                    <w:keepLines w:val="0"/>
                    <w:pageBreakBefore w:val="0"/>
                    <w:kinsoku/>
                    <w:wordWrap/>
                    <w:overflowPunct/>
                    <w:topLinePunct w:val="0"/>
                    <w:autoSpaceDE/>
                    <w:autoSpaceDN/>
                    <w:bidi w:val="0"/>
                    <w:spacing w:before="3"/>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0.20</w:t>
                  </w:r>
                </w:p>
              </w:tc>
            </w:tr>
            <w:tr w14:paraId="0B85617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651" w:type="dxa"/>
                  <w:tcBorders>
                    <w:top w:val="single" w:color="000000" w:sz="6" w:space="0"/>
                    <w:bottom w:val="single" w:color="000000" w:sz="6" w:space="0"/>
                    <w:right w:val="single" w:color="000000" w:sz="6" w:space="0"/>
                  </w:tcBorders>
                  <w:noWrap w:val="0"/>
                  <w:vAlign w:val="top"/>
                </w:tcPr>
                <w:p w14:paraId="5FEBA14E">
                  <w:pPr>
                    <w:pStyle w:val="23"/>
                    <w:keepNext w:val="0"/>
                    <w:keepLines w:val="0"/>
                    <w:pageBreakBefore w:val="0"/>
                    <w:kinsoku/>
                    <w:wordWrap/>
                    <w:overflowPunct/>
                    <w:topLinePunct w:val="0"/>
                    <w:autoSpaceDE/>
                    <w:autoSpaceDN/>
                    <w:bidi w:val="0"/>
                    <w:spacing w:before="3"/>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不溶性杂质/(%)≤</w:t>
                  </w:r>
                </w:p>
              </w:tc>
              <w:tc>
                <w:tcPr>
                  <w:tcW w:w="1250" w:type="dxa"/>
                  <w:tcBorders>
                    <w:top w:val="single" w:color="000000" w:sz="6" w:space="0"/>
                    <w:left w:val="single" w:color="000000" w:sz="6" w:space="0"/>
                    <w:bottom w:val="single" w:color="000000" w:sz="6" w:space="0"/>
                    <w:right w:val="single" w:color="000000" w:sz="6" w:space="0"/>
                  </w:tcBorders>
                  <w:noWrap w:val="0"/>
                  <w:vAlign w:val="top"/>
                </w:tcPr>
                <w:p w14:paraId="160D7601">
                  <w:pPr>
                    <w:pStyle w:val="23"/>
                    <w:keepNext w:val="0"/>
                    <w:keepLines w:val="0"/>
                    <w:pageBreakBefore w:val="0"/>
                    <w:kinsoku/>
                    <w:wordWrap/>
                    <w:overflowPunct/>
                    <w:topLinePunct w:val="0"/>
                    <w:autoSpaceDE/>
                    <w:autoSpaceDN/>
                    <w:bidi w:val="0"/>
                    <w:spacing w:before="3"/>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0.05</w:t>
                  </w:r>
                </w:p>
              </w:tc>
              <w:tc>
                <w:tcPr>
                  <w:tcW w:w="1284" w:type="dxa"/>
                  <w:tcBorders>
                    <w:top w:val="single" w:color="000000" w:sz="6" w:space="0"/>
                    <w:left w:val="single" w:color="000000" w:sz="6" w:space="0"/>
                    <w:bottom w:val="single" w:color="000000" w:sz="6" w:space="0"/>
                    <w:right w:val="single" w:color="000000" w:sz="6" w:space="0"/>
                  </w:tcBorders>
                  <w:noWrap w:val="0"/>
                  <w:vAlign w:val="top"/>
                </w:tcPr>
                <w:p w14:paraId="78DC3821">
                  <w:pPr>
                    <w:pStyle w:val="23"/>
                    <w:keepNext w:val="0"/>
                    <w:keepLines w:val="0"/>
                    <w:pageBreakBefore w:val="0"/>
                    <w:kinsoku/>
                    <w:wordWrap/>
                    <w:overflowPunct/>
                    <w:topLinePunct w:val="0"/>
                    <w:autoSpaceDE/>
                    <w:autoSpaceDN/>
                    <w:bidi w:val="0"/>
                    <w:spacing w:before="3"/>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0.05</w:t>
                  </w:r>
                </w:p>
              </w:tc>
              <w:tc>
                <w:tcPr>
                  <w:tcW w:w="1283" w:type="dxa"/>
                  <w:tcBorders>
                    <w:top w:val="single" w:color="000000" w:sz="6" w:space="0"/>
                    <w:left w:val="single" w:color="000000" w:sz="6" w:space="0"/>
                    <w:bottom w:val="single" w:color="000000" w:sz="6" w:space="0"/>
                    <w:right w:val="single" w:color="000000" w:sz="6" w:space="0"/>
                  </w:tcBorders>
                  <w:noWrap w:val="0"/>
                  <w:vAlign w:val="top"/>
                </w:tcPr>
                <w:p w14:paraId="08FD1BFB">
                  <w:pPr>
                    <w:pStyle w:val="23"/>
                    <w:keepNext w:val="0"/>
                    <w:keepLines w:val="0"/>
                    <w:pageBreakBefore w:val="0"/>
                    <w:kinsoku/>
                    <w:wordWrap/>
                    <w:overflowPunct/>
                    <w:topLinePunct w:val="0"/>
                    <w:autoSpaceDE/>
                    <w:autoSpaceDN/>
                    <w:bidi w:val="0"/>
                    <w:spacing w:before="3"/>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0.05</w:t>
                  </w:r>
                </w:p>
              </w:tc>
              <w:tc>
                <w:tcPr>
                  <w:tcW w:w="1300" w:type="dxa"/>
                  <w:tcBorders>
                    <w:top w:val="single" w:color="000000" w:sz="6" w:space="0"/>
                    <w:left w:val="single" w:color="000000" w:sz="6" w:space="0"/>
                    <w:bottom w:val="single" w:color="000000" w:sz="6" w:space="0"/>
                  </w:tcBorders>
                  <w:noWrap w:val="0"/>
                  <w:vAlign w:val="top"/>
                </w:tcPr>
                <w:p w14:paraId="3C46C200">
                  <w:pPr>
                    <w:pStyle w:val="23"/>
                    <w:keepNext w:val="0"/>
                    <w:keepLines w:val="0"/>
                    <w:pageBreakBefore w:val="0"/>
                    <w:kinsoku/>
                    <w:wordWrap/>
                    <w:overflowPunct/>
                    <w:topLinePunct w:val="0"/>
                    <w:autoSpaceDE/>
                    <w:autoSpaceDN/>
                    <w:bidi w:val="0"/>
                    <w:spacing w:before="3"/>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0.05</w:t>
                  </w:r>
                </w:p>
              </w:tc>
            </w:tr>
            <w:tr w14:paraId="75F32E9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651" w:type="dxa"/>
                  <w:tcBorders>
                    <w:top w:val="single" w:color="000000" w:sz="6" w:space="0"/>
                    <w:bottom w:val="single" w:color="000000" w:sz="6" w:space="0"/>
                    <w:right w:val="single" w:color="000000" w:sz="6" w:space="0"/>
                  </w:tcBorders>
                  <w:noWrap w:val="0"/>
                  <w:vAlign w:val="top"/>
                </w:tcPr>
                <w:p w14:paraId="44770430">
                  <w:pPr>
                    <w:pStyle w:val="23"/>
                    <w:keepNext w:val="0"/>
                    <w:keepLines w:val="0"/>
                    <w:pageBreakBefore w:val="0"/>
                    <w:kinsoku/>
                    <w:wordWrap/>
                    <w:overflowPunct/>
                    <w:topLinePunct w:val="0"/>
                    <w:autoSpaceDE/>
                    <w:autoSpaceDN/>
                    <w:bidi w:val="0"/>
                    <w:spacing w:before="3"/>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酸值(KOH)/(mg/g)≤</w:t>
                  </w:r>
                </w:p>
              </w:tc>
              <w:tc>
                <w:tcPr>
                  <w:tcW w:w="1250" w:type="dxa"/>
                  <w:tcBorders>
                    <w:top w:val="single" w:color="000000" w:sz="6" w:space="0"/>
                    <w:left w:val="single" w:color="000000" w:sz="6" w:space="0"/>
                    <w:bottom w:val="single" w:color="000000" w:sz="6" w:space="0"/>
                    <w:right w:val="single" w:color="000000" w:sz="6" w:space="0"/>
                  </w:tcBorders>
                  <w:noWrap w:val="0"/>
                  <w:vAlign w:val="top"/>
                </w:tcPr>
                <w:p w14:paraId="6AC0321C">
                  <w:pPr>
                    <w:pStyle w:val="23"/>
                    <w:keepNext w:val="0"/>
                    <w:keepLines w:val="0"/>
                    <w:pageBreakBefore w:val="0"/>
                    <w:kinsoku/>
                    <w:wordWrap/>
                    <w:overflowPunct/>
                    <w:topLinePunct w:val="0"/>
                    <w:autoSpaceDE/>
                    <w:autoSpaceDN/>
                    <w:bidi w:val="0"/>
                    <w:spacing w:before="3"/>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0.20</w:t>
                  </w:r>
                </w:p>
              </w:tc>
              <w:tc>
                <w:tcPr>
                  <w:tcW w:w="1284" w:type="dxa"/>
                  <w:tcBorders>
                    <w:top w:val="single" w:color="000000" w:sz="6" w:space="0"/>
                    <w:left w:val="single" w:color="000000" w:sz="6" w:space="0"/>
                    <w:bottom w:val="single" w:color="000000" w:sz="6" w:space="0"/>
                    <w:right w:val="single" w:color="000000" w:sz="6" w:space="0"/>
                  </w:tcBorders>
                  <w:noWrap w:val="0"/>
                  <w:vAlign w:val="top"/>
                </w:tcPr>
                <w:p w14:paraId="5D9069BC">
                  <w:pPr>
                    <w:pStyle w:val="23"/>
                    <w:keepNext w:val="0"/>
                    <w:keepLines w:val="0"/>
                    <w:pageBreakBefore w:val="0"/>
                    <w:kinsoku/>
                    <w:wordWrap/>
                    <w:overflowPunct/>
                    <w:topLinePunct w:val="0"/>
                    <w:autoSpaceDE/>
                    <w:autoSpaceDN/>
                    <w:bidi w:val="0"/>
                    <w:spacing w:before="3"/>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0.30</w:t>
                  </w:r>
                </w:p>
              </w:tc>
              <w:tc>
                <w:tcPr>
                  <w:tcW w:w="1283" w:type="dxa"/>
                  <w:tcBorders>
                    <w:top w:val="single" w:color="000000" w:sz="6" w:space="0"/>
                    <w:left w:val="single" w:color="000000" w:sz="6" w:space="0"/>
                    <w:bottom w:val="single" w:color="000000" w:sz="6" w:space="0"/>
                    <w:right w:val="single" w:color="000000" w:sz="6" w:space="0"/>
                  </w:tcBorders>
                  <w:noWrap w:val="0"/>
                  <w:vAlign w:val="top"/>
                </w:tcPr>
                <w:p w14:paraId="2AD431E4">
                  <w:pPr>
                    <w:pStyle w:val="23"/>
                    <w:keepNext w:val="0"/>
                    <w:keepLines w:val="0"/>
                    <w:pageBreakBefore w:val="0"/>
                    <w:kinsoku/>
                    <w:wordWrap/>
                    <w:overflowPunct/>
                    <w:topLinePunct w:val="0"/>
                    <w:autoSpaceDE/>
                    <w:autoSpaceDN/>
                    <w:bidi w:val="0"/>
                    <w:spacing w:before="3"/>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1.0</w:t>
                  </w:r>
                </w:p>
              </w:tc>
              <w:tc>
                <w:tcPr>
                  <w:tcW w:w="1300" w:type="dxa"/>
                  <w:tcBorders>
                    <w:top w:val="single" w:color="000000" w:sz="6" w:space="0"/>
                    <w:left w:val="single" w:color="000000" w:sz="6" w:space="0"/>
                    <w:bottom w:val="single" w:color="000000" w:sz="6" w:space="0"/>
                  </w:tcBorders>
                  <w:noWrap w:val="0"/>
                  <w:vAlign w:val="top"/>
                </w:tcPr>
                <w:p w14:paraId="3880B283">
                  <w:pPr>
                    <w:pStyle w:val="23"/>
                    <w:keepNext w:val="0"/>
                    <w:keepLines w:val="0"/>
                    <w:pageBreakBefore w:val="0"/>
                    <w:kinsoku/>
                    <w:wordWrap/>
                    <w:overflowPunct/>
                    <w:topLinePunct w:val="0"/>
                    <w:autoSpaceDE/>
                    <w:autoSpaceDN/>
                    <w:bidi w:val="0"/>
                    <w:spacing w:before="3"/>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3.0</w:t>
                  </w:r>
                </w:p>
              </w:tc>
            </w:tr>
            <w:tr w14:paraId="5834ACF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651" w:type="dxa"/>
                  <w:tcBorders>
                    <w:top w:val="single" w:color="000000" w:sz="6" w:space="0"/>
                    <w:bottom w:val="single" w:color="000000" w:sz="6" w:space="0"/>
                    <w:right w:val="single" w:color="000000" w:sz="6" w:space="0"/>
                  </w:tcBorders>
                  <w:noWrap w:val="0"/>
                  <w:vAlign w:val="top"/>
                </w:tcPr>
                <w:p w14:paraId="6C57E74D">
                  <w:pPr>
                    <w:pStyle w:val="23"/>
                    <w:keepNext w:val="0"/>
                    <w:keepLines w:val="0"/>
                    <w:pageBreakBefore w:val="0"/>
                    <w:kinsoku/>
                    <w:wordWrap/>
                    <w:overflowPunct/>
                    <w:topLinePunct w:val="0"/>
                    <w:autoSpaceDE/>
                    <w:autoSpaceDN/>
                    <w:bidi w:val="0"/>
                    <w:spacing w:before="3"/>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过氧化值/(mmol/g)≤</w:t>
                  </w:r>
                </w:p>
              </w:tc>
              <w:tc>
                <w:tcPr>
                  <w:tcW w:w="1250" w:type="dxa"/>
                  <w:tcBorders>
                    <w:top w:val="single" w:color="000000" w:sz="6" w:space="0"/>
                    <w:left w:val="single" w:color="000000" w:sz="6" w:space="0"/>
                    <w:bottom w:val="single" w:color="000000" w:sz="6" w:space="0"/>
                    <w:right w:val="single" w:color="000000" w:sz="6" w:space="0"/>
                  </w:tcBorders>
                  <w:noWrap w:val="0"/>
                  <w:vAlign w:val="top"/>
                </w:tcPr>
                <w:p w14:paraId="759B1139">
                  <w:pPr>
                    <w:pStyle w:val="23"/>
                    <w:keepNext w:val="0"/>
                    <w:keepLines w:val="0"/>
                    <w:pageBreakBefore w:val="0"/>
                    <w:kinsoku/>
                    <w:wordWrap/>
                    <w:overflowPunct/>
                    <w:topLinePunct w:val="0"/>
                    <w:autoSpaceDE/>
                    <w:autoSpaceDN/>
                    <w:bidi w:val="0"/>
                    <w:spacing w:before="3"/>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5.0</w:t>
                  </w:r>
                </w:p>
              </w:tc>
              <w:tc>
                <w:tcPr>
                  <w:tcW w:w="1284" w:type="dxa"/>
                  <w:tcBorders>
                    <w:top w:val="single" w:color="000000" w:sz="6" w:space="0"/>
                    <w:left w:val="single" w:color="000000" w:sz="6" w:space="0"/>
                    <w:bottom w:val="single" w:color="000000" w:sz="6" w:space="0"/>
                    <w:right w:val="single" w:color="000000" w:sz="6" w:space="0"/>
                  </w:tcBorders>
                  <w:noWrap w:val="0"/>
                  <w:vAlign w:val="top"/>
                </w:tcPr>
                <w:p w14:paraId="6E8AC0E5">
                  <w:pPr>
                    <w:pStyle w:val="23"/>
                    <w:keepNext w:val="0"/>
                    <w:keepLines w:val="0"/>
                    <w:pageBreakBefore w:val="0"/>
                    <w:kinsoku/>
                    <w:wordWrap/>
                    <w:overflowPunct/>
                    <w:topLinePunct w:val="0"/>
                    <w:autoSpaceDE/>
                    <w:autoSpaceDN/>
                    <w:bidi w:val="0"/>
                    <w:spacing w:before="3"/>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5.0</w:t>
                  </w:r>
                </w:p>
              </w:tc>
              <w:tc>
                <w:tcPr>
                  <w:tcW w:w="1283" w:type="dxa"/>
                  <w:tcBorders>
                    <w:top w:val="single" w:color="000000" w:sz="6" w:space="0"/>
                    <w:left w:val="single" w:color="000000" w:sz="6" w:space="0"/>
                    <w:bottom w:val="single" w:color="000000" w:sz="6" w:space="0"/>
                    <w:right w:val="single" w:color="000000" w:sz="6" w:space="0"/>
                  </w:tcBorders>
                  <w:noWrap w:val="0"/>
                  <w:vAlign w:val="top"/>
                </w:tcPr>
                <w:p w14:paraId="369403FB">
                  <w:pPr>
                    <w:pStyle w:val="23"/>
                    <w:keepNext w:val="0"/>
                    <w:keepLines w:val="0"/>
                    <w:pageBreakBefore w:val="0"/>
                    <w:kinsoku/>
                    <w:wordWrap/>
                    <w:overflowPunct/>
                    <w:topLinePunct w:val="0"/>
                    <w:autoSpaceDE/>
                    <w:autoSpaceDN/>
                    <w:bidi w:val="0"/>
                    <w:spacing w:before="3"/>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7.5</w:t>
                  </w:r>
                </w:p>
              </w:tc>
              <w:tc>
                <w:tcPr>
                  <w:tcW w:w="1300" w:type="dxa"/>
                  <w:tcBorders>
                    <w:top w:val="single" w:color="000000" w:sz="6" w:space="0"/>
                    <w:left w:val="single" w:color="000000" w:sz="6" w:space="0"/>
                    <w:bottom w:val="single" w:color="000000" w:sz="6" w:space="0"/>
                  </w:tcBorders>
                  <w:noWrap w:val="0"/>
                  <w:vAlign w:val="top"/>
                </w:tcPr>
                <w:p w14:paraId="228E3214">
                  <w:pPr>
                    <w:pStyle w:val="23"/>
                    <w:keepNext w:val="0"/>
                    <w:keepLines w:val="0"/>
                    <w:pageBreakBefore w:val="0"/>
                    <w:kinsoku/>
                    <w:wordWrap/>
                    <w:overflowPunct/>
                    <w:topLinePunct w:val="0"/>
                    <w:autoSpaceDE/>
                    <w:autoSpaceDN/>
                    <w:bidi w:val="0"/>
                    <w:spacing w:before="3"/>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7.5</w:t>
                  </w:r>
                </w:p>
              </w:tc>
            </w:tr>
            <w:tr w14:paraId="41ED471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345" w:hRule="atLeast"/>
                <w:jc w:val="center"/>
              </w:trPr>
              <w:tc>
                <w:tcPr>
                  <w:tcW w:w="2651" w:type="dxa"/>
                  <w:tcBorders>
                    <w:top w:val="single" w:color="000000" w:sz="6" w:space="0"/>
                    <w:bottom w:val="single" w:color="000000" w:sz="6" w:space="0"/>
                    <w:right w:val="single" w:color="000000" w:sz="6" w:space="0"/>
                  </w:tcBorders>
                  <w:noWrap w:val="0"/>
                  <w:vAlign w:val="top"/>
                </w:tcPr>
                <w:p w14:paraId="5F043401">
                  <w:pPr>
                    <w:pStyle w:val="23"/>
                    <w:keepNext w:val="0"/>
                    <w:keepLines w:val="0"/>
                    <w:pageBreakBefore w:val="0"/>
                    <w:kinsoku/>
                    <w:wordWrap/>
                    <w:overflowPunct/>
                    <w:topLinePunct w:val="0"/>
                    <w:autoSpaceDE/>
                    <w:autoSpaceDN/>
                    <w:bidi w:val="0"/>
                    <w:spacing w:before="3"/>
                    <w:textAlignment w:val="auto"/>
                    <w:outlineLvl w:val="9"/>
                    <w:rPr>
                      <w:color w:val="000000" w:themeColor="text1"/>
                      <w:szCs w:val="21"/>
                      <w:highlight w:val="none"/>
                      <w14:textFill>
                        <w14:solidFill>
                          <w14:schemeClr w14:val="tx1"/>
                        </w14:solidFill>
                      </w14:textFill>
                    </w:rPr>
                  </w:pPr>
                </w:p>
                <w:p w14:paraId="241914A2">
                  <w:pPr>
                    <w:pStyle w:val="23"/>
                    <w:keepNext w:val="0"/>
                    <w:keepLines w:val="0"/>
                    <w:pageBreakBefore w:val="0"/>
                    <w:kinsoku/>
                    <w:wordWrap/>
                    <w:overflowPunct/>
                    <w:topLinePunct w:val="0"/>
                    <w:autoSpaceDE/>
                    <w:autoSpaceDN/>
                    <w:bidi w:val="0"/>
                    <w:spacing w:before="3"/>
                    <w:textAlignment w:val="auto"/>
                    <w:outlineLvl w:val="9"/>
                    <w:rPr>
                      <w:color w:val="000000" w:themeColor="text1"/>
                      <w:szCs w:val="21"/>
                      <w:highlight w:val="none"/>
                      <w14:textFill>
                        <w14:solidFill>
                          <w14:schemeClr w14:val="tx1"/>
                        </w14:solidFill>
                      </w14:textFill>
                    </w:rPr>
                  </w:pPr>
                </w:p>
                <w:p w14:paraId="798E5878">
                  <w:pPr>
                    <w:pStyle w:val="23"/>
                    <w:keepNext w:val="0"/>
                    <w:keepLines w:val="0"/>
                    <w:pageBreakBefore w:val="0"/>
                    <w:kinsoku/>
                    <w:wordWrap/>
                    <w:overflowPunct/>
                    <w:topLinePunct w:val="0"/>
                    <w:autoSpaceDE/>
                    <w:autoSpaceDN/>
                    <w:bidi w:val="0"/>
                    <w:spacing w:before="3"/>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加热试验(280℃)</w:t>
                  </w:r>
                </w:p>
              </w:tc>
              <w:tc>
                <w:tcPr>
                  <w:tcW w:w="1250" w:type="dxa"/>
                  <w:tcBorders>
                    <w:top w:val="single" w:color="000000" w:sz="6" w:space="0"/>
                    <w:left w:val="single" w:color="000000" w:sz="6" w:space="0"/>
                    <w:bottom w:val="single" w:color="000000" w:sz="6" w:space="0"/>
                    <w:right w:val="single" w:color="000000" w:sz="6" w:space="0"/>
                  </w:tcBorders>
                  <w:noWrap w:val="0"/>
                  <w:vAlign w:val="top"/>
                </w:tcPr>
                <w:p w14:paraId="5BDDC1A4">
                  <w:pPr>
                    <w:pStyle w:val="23"/>
                    <w:keepNext w:val="0"/>
                    <w:keepLines w:val="0"/>
                    <w:pageBreakBefore w:val="0"/>
                    <w:kinsoku/>
                    <w:wordWrap/>
                    <w:overflowPunct/>
                    <w:topLinePunct w:val="0"/>
                    <w:autoSpaceDE/>
                    <w:autoSpaceDN/>
                    <w:bidi w:val="0"/>
                    <w:spacing w:before="3"/>
                    <w:textAlignment w:val="auto"/>
                    <w:outlineLvl w:val="9"/>
                    <w:rPr>
                      <w:color w:val="000000" w:themeColor="text1"/>
                      <w:szCs w:val="21"/>
                      <w:highlight w:val="none"/>
                      <w14:textFill>
                        <w14:solidFill>
                          <w14:schemeClr w14:val="tx1"/>
                        </w14:solidFill>
                      </w14:textFill>
                    </w:rPr>
                  </w:pPr>
                </w:p>
                <w:p w14:paraId="1AE4FAB9">
                  <w:pPr>
                    <w:pStyle w:val="23"/>
                    <w:keepNext w:val="0"/>
                    <w:keepLines w:val="0"/>
                    <w:pageBreakBefore w:val="0"/>
                    <w:kinsoku/>
                    <w:wordWrap/>
                    <w:overflowPunct/>
                    <w:topLinePunct w:val="0"/>
                    <w:autoSpaceDE/>
                    <w:autoSpaceDN/>
                    <w:bidi w:val="0"/>
                    <w:spacing w:before="3"/>
                    <w:textAlignment w:val="auto"/>
                    <w:outlineLvl w:val="9"/>
                    <w:rPr>
                      <w:color w:val="000000" w:themeColor="text1"/>
                      <w:szCs w:val="21"/>
                      <w:highlight w:val="none"/>
                      <w14:textFill>
                        <w14:solidFill>
                          <w14:schemeClr w14:val="tx1"/>
                        </w14:solidFill>
                      </w14:textFill>
                    </w:rPr>
                  </w:pPr>
                </w:p>
                <w:p w14:paraId="581350C8">
                  <w:pPr>
                    <w:pStyle w:val="23"/>
                    <w:keepNext w:val="0"/>
                    <w:keepLines w:val="0"/>
                    <w:pageBreakBefore w:val="0"/>
                    <w:kinsoku/>
                    <w:wordWrap/>
                    <w:overflowPunct/>
                    <w:topLinePunct w:val="0"/>
                    <w:autoSpaceDE/>
                    <w:autoSpaceDN/>
                    <w:bidi w:val="0"/>
                    <w:spacing w:before="3"/>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c>
                <w:tcPr>
                  <w:tcW w:w="1284" w:type="dxa"/>
                  <w:tcBorders>
                    <w:top w:val="single" w:color="000000" w:sz="6" w:space="0"/>
                    <w:left w:val="single" w:color="000000" w:sz="6" w:space="0"/>
                    <w:bottom w:val="single" w:color="000000" w:sz="6" w:space="0"/>
                    <w:right w:val="single" w:color="000000" w:sz="6" w:space="0"/>
                  </w:tcBorders>
                  <w:noWrap w:val="0"/>
                  <w:vAlign w:val="top"/>
                </w:tcPr>
                <w:p w14:paraId="1C7501C3">
                  <w:pPr>
                    <w:pStyle w:val="23"/>
                    <w:keepNext w:val="0"/>
                    <w:keepLines w:val="0"/>
                    <w:pageBreakBefore w:val="0"/>
                    <w:kinsoku/>
                    <w:wordWrap/>
                    <w:overflowPunct/>
                    <w:topLinePunct w:val="0"/>
                    <w:autoSpaceDE/>
                    <w:autoSpaceDN/>
                    <w:bidi w:val="0"/>
                    <w:spacing w:before="3"/>
                    <w:textAlignment w:val="auto"/>
                    <w:outlineLvl w:val="9"/>
                    <w:rPr>
                      <w:color w:val="000000" w:themeColor="text1"/>
                      <w:szCs w:val="21"/>
                      <w:highlight w:val="none"/>
                      <w14:textFill>
                        <w14:solidFill>
                          <w14:schemeClr w14:val="tx1"/>
                        </w14:solidFill>
                      </w14:textFill>
                    </w:rPr>
                  </w:pPr>
                </w:p>
                <w:p w14:paraId="604FA2AA">
                  <w:pPr>
                    <w:pStyle w:val="23"/>
                    <w:keepNext w:val="0"/>
                    <w:keepLines w:val="0"/>
                    <w:pageBreakBefore w:val="0"/>
                    <w:kinsoku/>
                    <w:wordWrap/>
                    <w:overflowPunct/>
                    <w:topLinePunct w:val="0"/>
                    <w:autoSpaceDE/>
                    <w:autoSpaceDN/>
                    <w:bidi w:val="0"/>
                    <w:spacing w:before="3"/>
                    <w:textAlignment w:val="auto"/>
                    <w:outlineLvl w:val="9"/>
                    <w:rPr>
                      <w:color w:val="000000" w:themeColor="text1"/>
                      <w:szCs w:val="21"/>
                      <w:highlight w:val="none"/>
                      <w14:textFill>
                        <w14:solidFill>
                          <w14:schemeClr w14:val="tx1"/>
                        </w14:solidFill>
                      </w14:textFill>
                    </w:rPr>
                  </w:pPr>
                </w:p>
                <w:p w14:paraId="6D48FADF">
                  <w:pPr>
                    <w:pStyle w:val="23"/>
                    <w:keepNext w:val="0"/>
                    <w:keepLines w:val="0"/>
                    <w:pageBreakBefore w:val="0"/>
                    <w:kinsoku/>
                    <w:wordWrap/>
                    <w:overflowPunct/>
                    <w:topLinePunct w:val="0"/>
                    <w:autoSpaceDE/>
                    <w:autoSpaceDN/>
                    <w:bidi w:val="0"/>
                    <w:spacing w:before="3"/>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c>
                <w:tcPr>
                  <w:tcW w:w="1283" w:type="dxa"/>
                  <w:tcBorders>
                    <w:top w:val="single" w:color="000000" w:sz="6" w:space="0"/>
                    <w:left w:val="single" w:color="000000" w:sz="6" w:space="0"/>
                    <w:bottom w:val="single" w:color="000000" w:sz="6" w:space="0"/>
                    <w:right w:val="single" w:color="000000" w:sz="6" w:space="0"/>
                  </w:tcBorders>
                  <w:noWrap w:val="0"/>
                  <w:vAlign w:val="top"/>
                </w:tcPr>
                <w:p w14:paraId="54232AE8">
                  <w:pPr>
                    <w:pStyle w:val="23"/>
                    <w:keepNext w:val="0"/>
                    <w:keepLines w:val="0"/>
                    <w:pageBreakBefore w:val="0"/>
                    <w:kinsoku/>
                    <w:wordWrap/>
                    <w:overflowPunct/>
                    <w:topLinePunct w:val="0"/>
                    <w:autoSpaceDE/>
                    <w:autoSpaceDN/>
                    <w:bidi w:val="0"/>
                    <w:spacing w:before="3"/>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无析出物，罗维朋比色：黄色值不变，红色值增加小于0.4。</w:t>
                  </w:r>
                </w:p>
              </w:tc>
              <w:tc>
                <w:tcPr>
                  <w:tcW w:w="1300" w:type="dxa"/>
                  <w:tcBorders>
                    <w:top w:val="single" w:color="000000" w:sz="6" w:space="0"/>
                    <w:left w:val="single" w:color="000000" w:sz="6" w:space="0"/>
                    <w:bottom w:val="single" w:color="000000" w:sz="6" w:space="0"/>
                  </w:tcBorders>
                  <w:noWrap w:val="0"/>
                  <w:vAlign w:val="top"/>
                </w:tcPr>
                <w:p w14:paraId="2244BC34">
                  <w:pPr>
                    <w:pStyle w:val="23"/>
                    <w:keepNext w:val="0"/>
                    <w:keepLines w:val="0"/>
                    <w:pageBreakBefore w:val="0"/>
                    <w:kinsoku/>
                    <w:wordWrap/>
                    <w:overflowPunct/>
                    <w:topLinePunct w:val="0"/>
                    <w:autoSpaceDE/>
                    <w:autoSpaceDN/>
                    <w:bidi w:val="0"/>
                    <w:spacing w:before="3"/>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微量析出物，罗维朋比色：黄色值不变，红色值增加小于4.0，蓝色值增加小于0.5</w:t>
                  </w:r>
                </w:p>
              </w:tc>
            </w:tr>
            <w:tr w14:paraId="70A2553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651" w:type="dxa"/>
                  <w:tcBorders>
                    <w:top w:val="single" w:color="000000" w:sz="6" w:space="0"/>
                    <w:bottom w:val="single" w:color="000000" w:sz="6" w:space="0"/>
                    <w:right w:val="single" w:color="000000" w:sz="6" w:space="0"/>
                  </w:tcBorders>
                  <w:noWrap w:val="0"/>
                  <w:vAlign w:val="top"/>
                </w:tcPr>
                <w:p w14:paraId="49FDFAD3">
                  <w:pPr>
                    <w:pStyle w:val="23"/>
                    <w:keepNext w:val="0"/>
                    <w:keepLines w:val="0"/>
                    <w:pageBreakBefore w:val="0"/>
                    <w:kinsoku/>
                    <w:wordWrap/>
                    <w:overflowPunct/>
                    <w:topLinePunct w:val="0"/>
                    <w:autoSpaceDE/>
                    <w:autoSpaceDN/>
                    <w:bidi w:val="0"/>
                    <w:spacing w:before="3"/>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含皂量/(%)≤</w:t>
                  </w:r>
                </w:p>
              </w:tc>
              <w:tc>
                <w:tcPr>
                  <w:tcW w:w="1250" w:type="dxa"/>
                  <w:tcBorders>
                    <w:top w:val="single" w:color="000000" w:sz="6" w:space="0"/>
                    <w:left w:val="single" w:color="000000" w:sz="6" w:space="0"/>
                    <w:bottom w:val="single" w:color="000000" w:sz="6" w:space="0"/>
                    <w:right w:val="single" w:color="000000" w:sz="6" w:space="0"/>
                  </w:tcBorders>
                  <w:noWrap w:val="0"/>
                  <w:vAlign w:val="top"/>
                </w:tcPr>
                <w:p w14:paraId="1E0F6222">
                  <w:pPr>
                    <w:pStyle w:val="23"/>
                    <w:keepNext w:val="0"/>
                    <w:keepLines w:val="0"/>
                    <w:pageBreakBefore w:val="0"/>
                    <w:kinsoku/>
                    <w:wordWrap/>
                    <w:overflowPunct/>
                    <w:topLinePunct w:val="0"/>
                    <w:autoSpaceDE/>
                    <w:autoSpaceDN/>
                    <w:bidi w:val="0"/>
                    <w:spacing w:before="3"/>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c>
                <w:tcPr>
                  <w:tcW w:w="1284" w:type="dxa"/>
                  <w:tcBorders>
                    <w:top w:val="single" w:color="000000" w:sz="6" w:space="0"/>
                    <w:left w:val="single" w:color="000000" w:sz="6" w:space="0"/>
                    <w:bottom w:val="single" w:color="000000" w:sz="6" w:space="0"/>
                    <w:right w:val="single" w:color="000000" w:sz="6" w:space="0"/>
                  </w:tcBorders>
                  <w:noWrap w:val="0"/>
                  <w:vAlign w:val="top"/>
                </w:tcPr>
                <w:p w14:paraId="7C808B7B">
                  <w:pPr>
                    <w:pStyle w:val="23"/>
                    <w:keepNext w:val="0"/>
                    <w:keepLines w:val="0"/>
                    <w:pageBreakBefore w:val="0"/>
                    <w:kinsoku/>
                    <w:wordWrap/>
                    <w:overflowPunct/>
                    <w:topLinePunct w:val="0"/>
                    <w:autoSpaceDE/>
                    <w:autoSpaceDN/>
                    <w:bidi w:val="0"/>
                    <w:spacing w:before="3"/>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c>
                <w:tcPr>
                  <w:tcW w:w="1283" w:type="dxa"/>
                  <w:tcBorders>
                    <w:top w:val="single" w:color="000000" w:sz="6" w:space="0"/>
                    <w:left w:val="single" w:color="000000" w:sz="6" w:space="0"/>
                    <w:bottom w:val="single" w:color="000000" w:sz="6" w:space="0"/>
                    <w:right w:val="single" w:color="000000" w:sz="6" w:space="0"/>
                  </w:tcBorders>
                  <w:noWrap w:val="0"/>
                  <w:vAlign w:val="top"/>
                </w:tcPr>
                <w:p w14:paraId="0E9CF6FC">
                  <w:pPr>
                    <w:pStyle w:val="23"/>
                    <w:keepNext w:val="0"/>
                    <w:keepLines w:val="0"/>
                    <w:pageBreakBefore w:val="0"/>
                    <w:kinsoku/>
                    <w:wordWrap/>
                    <w:overflowPunct/>
                    <w:topLinePunct w:val="0"/>
                    <w:autoSpaceDE/>
                    <w:autoSpaceDN/>
                    <w:bidi w:val="0"/>
                    <w:spacing w:before="3"/>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0.03</w:t>
                  </w:r>
                </w:p>
              </w:tc>
              <w:tc>
                <w:tcPr>
                  <w:tcW w:w="1300" w:type="dxa"/>
                  <w:tcBorders>
                    <w:top w:val="single" w:color="000000" w:sz="6" w:space="0"/>
                    <w:left w:val="single" w:color="000000" w:sz="6" w:space="0"/>
                    <w:bottom w:val="single" w:color="000000" w:sz="6" w:space="0"/>
                  </w:tcBorders>
                  <w:noWrap w:val="0"/>
                  <w:vAlign w:val="top"/>
                </w:tcPr>
                <w:p w14:paraId="54B9B079">
                  <w:pPr>
                    <w:pStyle w:val="23"/>
                    <w:keepNext w:val="0"/>
                    <w:keepLines w:val="0"/>
                    <w:pageBreakBefore w:val="0"/>
                    <w:kinsoku/>
                    <w:wordWrap/>
                    <w:overflowPunct/>
                    <w:topLinePunct w:val="0"/>
                    <w:autoSpaceDE/>
                    <w:autoSpaceDN/>
                    <w:bidi w:val="0"/>
                    <w:spacing w:before="3"/>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r>
            <w:tr w14:paraId="46E84EB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651" w:type="dxa"/>
                  <w:tcBorders>
                    <w:top w:val="single" w:color="000000" w:sz="6" w:space="0"/>
                    <w:bottom w:val="single" w:color="000000" w:sz="6" w:space="0"/>
                    <w:right w:val="single" w:color="000000" w:sz="6" w:space="0"/>
                  </w:tcBorders>
                  <w:noWrap w:val="0"/>
                  <w:vAlign w:val="top"/>
                </w:tcPr>
                <w:p w14:paraId="05E118E3">
                  <w:pPr>
                    <w:pStyle w:val="23"/>
                    <w:keepNext w:val="0"/>
                    <w:keepLines w:val="0"/>
                    <w:pageBreakBefore w:val="0"/>
                    <w:kinsoku/>
                    <w:wordWrap/>
                    <w:overflowPunct/>
                    <w:topLinePunct w:val="0"/>
                    <w:autoSpaceDE/>
                    <w:autoSpaceDN/>
                    <w:bidi w:val="0"/>
                    <w:spacing w:before="3"/>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烟点/℃≥</w:t>
                  </w:r>
                </w:p>
              </w:tc>
              <w:tc>
                <w:tcPr>
                  <w:tcW w:w="1250" w:type="dxa"/>
                  <w:tcBorders>
                    <w:top w:val="single" w:color="000000" w:sz="6" w:space="0"/>
                    <w:left w:val="single" w:color="000000" w:sz="6" w:space="0"/>
                    <w:bottom w:val="single" w:color="000000" w:sz="6" w:space="0"/>
                    <w:right w:val="single" w:color="000000" w:sz="6" w:space="0"/>
                  </w:tcBorders>
                  <w:noWrap w:val="0"/>
                  <w:vAlign w:val="top"/>
                </w:tcPr>
                <w:p w14:paraId="471318D1">
                  <w:pPr>
                    <w:pStyle w:val="23"/>
                    <w:keepNext w:val="0"/>
                    <w:keepLines w:val="0"/>
                    <w:pageBreakBefore w:val="0"/>
                    <w:kinsoku/>
                    <w:wordWrap/>
                    <w:overflowPunct/>
                    <w:topLinePunct w:val="0"/>
                    <w:autoSpaceDE/>
                    <w:autoSpaceDN/>
                    <w:bidi w:val="0"/>
                    <w:spacing w:before="3"/>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215</w:t>
                  </w:r>
                </w:p>
              </w:tc>
              <w:tc>
                <w:tcPr>
                  <w:tcW w:w="1284" w:type="dxa"/>
                  <w:tcBorders>
                    <w:top w:val="single" w:color="000000" w:sz="6" w:space="0"/>
                    <w:left w:val="single" w:color="000000" w:sz="6" w:space="0"/>
                    <w:bottom w:val="single" w:color="000000" w:sz="6" w:space="0"/>
                    <w:right w:val="single" w:color="000000" w:sz="6" w:space="0"/>
                  </w:tcBorders>
                  <w:noWrap w:val="0"/>
                  <w:vAlign w:val="top"/>
                </w:tcPr>
                <w:p w14:paraId="4E796598">
                  <w:pPr>
                    <w:pStyle w:val="23"/>
                    <w:keepNext w:val="0"/>
                    <w:keepLines w:val="0"/>
                    <w:pageBreakBefore w:val="0"/>
                    <w:kinsoku/>
                    <w:wordWrap/>
                    <w:overflowPunct/>
                    <w:topLinePunct w:val="0"/>
                    <w:autoSpaceDE/>
                    <w:autoSpaceDN/>
                    <w:bidi w:val="0"/>
                    <w:spacing w:before="3"/>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205</w:t>
                  </w:r>
                </w:p>
              </w:tc>
              <w:tc>
                <w:tcPr>
                  <w:tcW w:w="1283" w:type="dxa"/>
                  <w:tcBorders>
                    <w:top w:val="single" w:color="000000" w:sz="6" w:space="0"/>
                    <w:left w:val="single" w:color="000000" w:sz="6" w:space="0"/>
                    <w:bottom w:val="single" w:color="000000" w:sz="6" w:space="0"/>
                    <w:right w:val="single" w:color="000000" w:sz="6" w:space="0"/>
                  </w:tcBorders>
                  <w:noWrap w:val="0"/>
                  <w:vAlign w:val="top"/>
                </w:tcPr>
                <w:p w14:paraId="6A1D6C67">
                  <w:pPr>
                    <w:pStyle w:val="23"/>
                    <w:keepNext w:val="0"/>
                    <w:keepLines w:val="0"/>
                    <w:pageBreakBefore w:val="0"/>
                    <w:kinsoku/>
                    <w:wordWrap/>
                    <w:overflowPunct/>
                    <w:topLinePunct w:val="0"/>
                    <w:autoSpaceDE/>
                    <w:autoSpaceDN/>
                    <w:bidi w:val="0"/>
                    <w:spacing w:before="3"/>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c>
                <w:tcPr>
                  <w:tcW w:w="1300" w:type="dxa"/>
                  <w:tcBorders>
                    <w:top w:val="single" w:color="000000" w:sz="6" w:space="0"/>
                    <w:left w:val="single" w:color="000000" w:sz="6" w:space="0"/>
                    <w:bottom w:val="single" w:color="000000" w:sz="6" w:space="0"/>
                  </w:tcBorders>
                  <w:noWrap w:val="0"/>
                  <w:vAlign w:val="top"/>
                </w:tcPr>
                <w:p w14:paraId="31AE8D0F">
                  <w:pPr>
                    <w:pStyle w:val="23"/>
                    <w:keepNext w:val="0"/>
                    <w:keepLines w:val="0"/>
                    <w:pageBreakBefore w:val="0"/>
                    <w:kinsoku/>
                    <w:wordWrap/>
                    <w:overflowPunct/>
                    <w:topLinePunct w:val="0"/>
                    <w:autoSpaceDE/>
                    <w:autoSpaceDN/>
                    <w:bidi w:val="0"/>
                    <w:spacing w:before="3"/>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r>
            <w:tr w14:paraId="38EB7D7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2651" w:type="dxa"/>
                  <w:tcBorders>
                    <w:top w:val="single" w:color="000000" w:sz="6" w:space="0"/>
                    <w:right w:val="single" w:color="000000" w:sz="6" w:space="0"/>
                  </w:tcBorders>
                  <w:noWrap w:val="0"/>
                  <w:vAlign w:val="top"/>
                </w:tcPr>
                <w:p w14:paraId="43E040E7">
                  <w:pPr>
                    <w:pStyle w:val="23"/>
                    <w:keepNext w:val="0"/>
                    <w:keepLines w:val="0"/>
                    <w:pageBreakBefore w:val="0"/>
                    <w:kinsoku/>
                    <w:wordWrap/>
                    <w:overflowPunct/>
                    <w:topLinePunct w:val="0"/>
                    <w:autoSpaceDE/>
                    <w:autoSpaceDN/>
                    <w:bidi w:val="0"/>
                    <w:spacing w:before="3"/>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溶剂残留量/(mg／kg)</w:t>
                  </w:r>
                </w:p>
              </w:tc>
              <w:tc>
                <w:tcPr>
                  <w:tcW w:w="1250" w:type="dxa"/>
                  <w:tcBorders>
                    <w:top w:val="single" w:color="000000" w:sz="6" w:space="0"/>
                    <w:left w:val="single" w:color="000000" w:sz="6" w:space="0"/>
                    <w:right w:val="single" w:color="000000" w:sz="6" w:space="0"/>
                  </w:tcBorders>
                  <w:noWrap w:val="0"/>
                  <w:vAlign w:val="top"/>
                </w:tcPr>
                <w:p w14:paraId="0C71A692">
                  <w:pPr>
                    <w:pStyle w:val="23"/>
                    <w:keepNext w:val="0"/>
                    <w:keepLines w:val="0"/>
                    <w:pageBreakBefore w:val="0"/>
                    <w:kinsoku/>
                    <w:wordWrap/>
                    <w:overflowPunct/>
                    <w:topLinePunct w:val="0"/>
                    <w:autoSpaceDE/>
                    <w:autoSpaceDN/>
                    <w:bidi w:val="0"/>
                    <w:spacing w:before="3"/>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不得检出</w:t>
                  </w:r>
                </w:p>
              </w:tc>
              <w:tc>
                <w:tcPr>
                  <w:tcW w:w="1284" w:type="dxa"/>
                  <w:tcBorders>
                    <w:top w:val="single" w:color="000000" w:sz="6" w:space="0"/>
                    <w:left w:val="single" w:color="000000" w:sz="6" w:space="0"/>
                    <w:right w:val="single" w:color="000000" w:sz="6" w:space="0"/>
                  </w:tcBorders>
                  <w:noWrap w:val="0"/>
                  <w:vAlign w:val="top"/>
                </w:tcPr>
                <w:p w14:paraId="6EB05FE0">
                  <w:pPr>
                    <w:pStyle w:val="23"/>
                    <w:keepNext w:val="0"/>
                    <w:keepLines w:val="0"/>
                    <w:pageBreakBefore w:val="0"/>
                    <w:kinsoku/>
                    <w:wordWrap/>
                    <w:overflowPunct/>
                    <w:topLinePunct w:val="0"/>
                    <w:autoSpaceDE/>
                    <w:autoSpaceDN/>
                    <w:bidi w:val="0"/>
                    <w:spacing w:before="3"/>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不得检出</w:t>
                  </w:r>
                </w:p>
              </w:tc>
              <w:tc>
                <w:tcPr>
                  <w:tcW w:w="1283" w:type="dxa"/>
                  <w:tcBorders>
                    <w:top w:val="single" w:color="000000" w:sz="6" w:space="0"/>
                    <w:left w:val="single" w:color="000000" w:sz="6" w:space="0"/>
                    <w:right w:val="single" w:color="000000" w:sz="6" w:space="0"/>
                  </w:tcBorders>
                  <w:noWrap w:val="0"/>
                  <w:vAlign w:val="top"/>
                </w:tcPr>
                <w:p w14:paraId="451FC2D4">
                  <w:pPr>
                    <w:pStyle w:val="23"/>
                    <w:keepNext w:val="0"/>
                    <w:keepLines w:val="0"/>
                    <w:pageBreakBefore w:val="0"/>
                    <w:kinsoku/>
                    <w:wordWrap/>
                    <w:overflowPunct/>
                    <w:topLinePunct w:val="0"/>
                    <w:autoSpaceDE/>
                    <w:autoSpaceDN/>
                    <w:bidi w:val="0"/>
                    <w:spacing w:before="3"/>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≤50</w:t>
                  </w:r>
                </w:p>
              </w:tc>
              <w:tc>
                <w:tcPr>
                  <w:tcW w:w="1300" w:type="dxa"/>
                  <w:tcBorders>
                    <w:top w:val="single" w:color="000000" w:sz="6" w:space="0"/>
                    <w:left w:val="single" w:color="000000" w:sz="6" w:space="0"/>
                  </w:tcBorders>
                  <w:noWrap w:val="0"/>
                  <w:vAlign w:val="top"/>
                </w:tcPr>
                <w:p w14:paraId="0DF53E17">
                  <w:pPr>
                    <w:pStyle w:val="23"/>
                    <w:keepNext w:val="0"/>
                    <w:keepLines w:val="0"/>
                    <w:pageBreakBefore w:val="0"/>
                    <w:kinsoku/>
                    <w:wordWrap/>
                    <w:overflowPunct/>
                    <w:topLinePunct w:val="0"/>
                    <w:autoSpaceDE/>
                    <w:autoSpaceDN/>
                    <w:bidi w:val="0"/>
                    <w:spacing w:before="3"/>
                    <w:textAlignment w:val="auto"/>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≤50</w:t>
                  </w:r>
                </w:p>
              </w:tc>
            </w:tr>
          </w:tbl>
          <w:p w14:paraId="52D57E74">
            <w:pPr>
              <w:pStyle w:val="21"/>
              <w:keepNext w:val="0"/>
              <w:keepLines w:val="0"/>
              <w:pageBreakBefore w:val="0"/>
              <w:numPr>
                <w:ilvl w:val="0"/>
                <w:numId w:val="0"/>
              </w:numPr>
              <w:tabs>
                <w:tab w:val="left" w:pos="545"/>
              </w:tabs>
              <w:kinsoku/>
              <w:wordWrap/>
              <w:overflowPunct/>
              <w:topLinePunct w:val="0"/>
              <w:autoSpaceDE/>
              <w:autoSpaceDN/>
              <w:bidi w:val="0"/>
              <w:spacing w:before="86"/>
              <w:jc w:val="left"/>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b/>
                <w:bCs/>
                <w:color w:val="000000" w:themeColor="text1"/>
                <w:highlight w:val="none"/>
                <w:lang w:val="en-US" w:eastAsia="zh-CN"/>
                <w14:textFill>
                  <w14:solidFill>
                    <w14:schemeClr w14:val="tx1"/>
                  </w14:solidFill>
                </w14:textFill>
              </w:rPr>
              <w:t>5、</w:t>
            </w:r>
            <w:r>
              <w:rPr>
                <w:rFonts w:hint="eastAsia" w:ascii="宋体" w:hAnsi="宋体"/>
                <w:b/>
                <w:bCs/>
                <w:color w:val="000000" w:themeColor="text1"/>
                <w:highlight w:val="none"/>
                <w14:textFill>
                  <w14:solidFill>
                    <w14:schemeClr w14:val="tx1"/>
                  </w14:solidFill>
                </w14:textFill>
              </w:rPr>
              <w:t>日用品：</w:t>
            </w:r>
            <w:r>
              <w:rPr>
                <w:rFonts w:hint="eastAsia" w:ascii="宋体" w:hAnsi="宋体" w:cs="宋体"/>
                <w:color w:val="000000" w:themeColor="text1"/>
                <w:szCs w:val="21"/>
                <w:highlight w:val="none"/>
                <w14:textFill>
                  <w14:solidFill>
                    <w14:schemeClr w14:val="tx1"/>
                  </w14:solidFill>
                </w14:textFill>
              </w:rPr>
              <w:t>日用品类符合国家标准。</w:t>
            </w:r>
          </w:p>
          <w:p w14:paraId="1DED4038">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BCA61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0" w:type="dxa"/>
            <w:vAlign w:val="top"/>
          </w:tcPr>
          <w:p w14:paraId="59C3C5D9">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w:t>
            </w:r>
          </w:p>
        </w:tc>
        <w:tc>
          <w:tcPr>
            <w:tcW w:w="8903" w:type="dxa"/>
            <w:gridSpan w:val="2"/>
            <w:vAlign w:val="top"/>
          </w:tcPr>
          <w:p w14:paraId="2DA60AB2">
            <w:pPr>
              <w:pStyle w:val="18"/>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打“★”号条款为实质性条款，若有任何一条负偏离或不满足则导致投标无效。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打“▲”号条款为重要技术参数，若有部分“▲”条款未响应或不满足，不作为无效投标条款。</w:t>
            </w:r>
          </w:p>
        </w:tc>
      </w:tr>
    </w:tbl>
    <w:p w14:paraId="164D0B5C">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6B021ACB">
      <w:pPr>
        <w:rPr>
          <w:rFonts w:hint="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0126C163">
      <w:pPr>
        <w:rPr>
          <w:rFonts w:hint="eastAsia"/>
          <w:color w:val="000000" w:themeColor="text1"/>
          <w:highlight w:val="none"/>
          <w14:textFill>
            <w14:solidFill>
              <w14:schemeClr w14:val="tx1"/>
            </w14:solidFill>
          </w14:textFill>
        </w:rPr>
      </w:pPr>
    </w:p>
    <w:p w14:paraId="327D3BE4">
      <w:pPr>
        <w:rPr>
          <w:rFonts w:hint="eastAsia"/>
          <w:color w:val="000000" w:themeColor="text1"/>
          <w:highlight w:val="none"/>
          <w14:textFill>
            <w14:solidFill>
              <w14:schemeClr w14:val="tx1"/>
            </w14:solidFill>
          </w14:textFill>
        </w:rPr>
      </w:pPr>
    </w:p>
    <w:p w14:paraId="507E0F25">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2A367F16">
      <w:pPr>
        <w:pStyle w:val="18"/>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bookmarkStart w:id="2" w:name="_Toc14847"/>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第三章 投标人须知</w:t>
      </w:r>
      <w:bookmarkEnd w:id="2"/>
    </w:p>
    <w:p w14:paraId="1A1716A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14:paraId="2781B8C5">
      <w:pPr>
        <w:pStyle w:val="18"/>
        <w:keepNext w:val="0"/>
        <w:keepLines w:val="0"/>
        <w:pageBreakBefore w:val="0"/>
        <w:widowControl/>
        <w:kinsoku/>
        <w:wordWrap/>
        <w:overflowPunct/>
        <w:topLinePunct w:val="0"/>
        <w:autoSpaceDE/>
        <w:autoSpaceDN/>
        <w:bidi w:val="0"/>
        <w:adjustRightInd/>
        <w:snapToGrid/>
        <w:spacing w:line="360" w:lineRule="auto"/>
        <w:textAlignment w:val="auto"/>
        <w:outlineLvl w:val="1"/>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3" w:name="_Toc21748"/>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一、名词解释</w:t>
      </w:r>
      <w:bookmarkEnd w:id="3"/>
    </w:p>
    <w:p w14:paraId="32277ED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1.采购代理机构：本项目是指</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，负责整个采购活动的组织，依法负责编制和发布招标文件，对招标文件拥有最终的解释权，不以任何身份出任评标委员会成员。</w:t>
      </w:r>
    </w:p>
    <w:p w14:paraId="0AA3F1E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2.采购人：本项目是指</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阳江市阳东区华南师范大学附属阳东小学</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，是采购活动当事人之一，负责项目的整体规划、技术方案可行性设计论证与实施，作为合同采购方（用户）的主体承担质疑回复、履行合同、验收与评价等义务。</w:t>
      </w:r>
    </w:p>
    <w:p w14:paraId="7FB6F8C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3.投标人：是指在</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完</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成本项目投标登记并提交投标文件的供应商。</w:t>
      </w:r>
    </w:p>
    <w:p w14:paraId="315863E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4.“评标委员会”是指</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参考</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《中华人民共和国政府采购法》等法律法规规定</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有关专家组成以确定中标供应商或者推荐中标候选人的临时组织。</w:t>
      </w:r>
    </w:p>
    <w:p w14:paraId="5D872EA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5.“中标供应商”是指经评标委员会评审确定的对招标文件做出实质性响应，经采购人按照规定在评标委员会推荐的中标候选人中确定的或评标委员会受采购人委托直接确认的投标人。</w:t>
      </w:r>
    </w:p>
    <w:p w14:paraId="2ECF858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6.招标文件：是指包括招标公告和招标文件及其补充、变更和澄清等一系列文件。</w:t>
      </w:r>
    </w:p>
    <w:p w14:paraId="0EAEECF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7.投标文件：是投标人按照招标文件中提供的投标文件格式编制投标文件</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14:paraId="6AEE3B4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.日期、天数、时间：未有特别说明时，均为公历日（天）及北京时间。</w:t>
      </w:r>
    </w:p>
    <w:p w14:paraId="37B388CD">
      <w:pPr>
        <w:rPr>
          <w:rFonts w:hint="eastAsia"/>
          <w:color w:val="000000" w:themeColor="text1"/>
          <w:highlight w:val="none"/>
          <w14:textFill>
            <w14:solidFill>
              <w14:schemeClr w14:val="tx1"/>
            </w14:solidFill>
          </w14:textFill>
        </w:rPr>
      </w:pPr>
    </w:p>
    <w:p w14:paraId="0298AE41">
      <w:pPr>
        <w:pStyle w:val="18"/>
        <w:keepNext w:val="0"/>
        <w:keepLines w:val="0"/>
        <w:pageBreakBefore w:val="0"/>
        <w:widowControl/>
        <w:kinsoku/>
        <w:wordWrap/>
        <w:overflowPunct/>
        <w:topLinePunct w:val="0"/>
        <w:autoSpaceDE/>
        <w:autoSpaceDN/>
        <w:bidi w:val="0"/>
        <w:adjustRightInd/>
        <w:snapToGrid/>
        <w:spacing w:line="360" w:lineRule="auto"/>
        <w:textAlignment w:val="auto"/>
        <w:outlineLvl w:val="1"/>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4" w:name="_Toc17609"/>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二、须知前附表</w:t>
      </w:r>
      <w:bookmarkEnd w:id="4"/>
    </w:p>
    <w:tbl>
      <w:tblPr>
        <w:tblStyle w:val="15"/>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49"/>
        <w:gridCol w:w="1750"/>
        <w:gridCol w:w="3007"/>
        <w:gridCol w:w="3665"/>
      </w:tblGrid>
      <w:tr w14:paraId="6FF7F8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9071" w:type="dxa"/>
            <w:gridSpan w:val="4"/>
            <w:vAlign w:val="center"/>
          </w:tcPr>
          <w:p w14:paraId="15B920AA">
            <w:pPr>
              <w:pStyle w:val="18"/>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本表与招标文件对应章节的内容若不一致，以本表为准。</w:t>
            </w:r>
          </w:p>
        </w:tc>
      </w:tr>
      <w:tr w14:paraId="7F3173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454" w:hRule="atLeast"/>
          <w:jc w:val="center"/>
        </w:trPr>
        <w:tc>
          <w:tcPr>
            <w:tcW w:w="649" w:type="dxa"/>
            <w:vAlign w:val="center"/>
          </w:tcPr>
          <w:p w14:paraId="4C4967C0">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1750" w:type="dxa"/>
            <w:vAlign w:val="center"/>
          </w:tcPr>
          <w:p w14:paraId="003D0818">
            <w:pPr>
              <w:pStyle w:val="18"/>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条款名称</w:t>
            </w:r>
          </w:p>
        </w:tc>
        <w:tc>
          <w:tcPr>
            <w:tcW w:w="6672" w:type="dxa"/>
            <w:gridSpan w:val="2"/>
            <w:vAlign w:val="center"/>
          </w:tcPr>
          <w:p w14:paraId="4A25C703">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内容及要求</w:t>
            </w:r>
          </w:p>
        </w:tc>
      </w:tr>
      <w:tr w14:paraId="64BC7F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595A91D5">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750" w:type="dxa"/>
            <w:vAlign w:val="center"/>
          </w:tcPr>
          <w:p w14:paraId="7498AAAB">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采购包情况</w:t>
            </w:r>
          </w:p>
        </w:tc>
        <w:tc>
          <w:tcPr>
            <w:tcW w:w="6672" w:type="dxa"/>
            <w:gridSpan w:val="2"/>
            <w:vAlign w:val="center"/>
          </w:tcPr>
          <w:p w14:paraId="56B2386E">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本项目共</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个采购包</w:t>
            </w:r>
          </w:p>
        </w:tc>
      </w:tr>
      <w:tr w14:paraId="48EDDE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00E00465">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1750" w:type="dxa"/>
            <w:vAlign w:val="center"/>
          </w:tcPr>
          <w:p w14:paraId="0A6624DB">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开标方式</w:t>
            </w:r>
          </w:p>
        </w:tc>
        <w:tc>
          <w:tcPr>
            <w:tcW w:w="6672" w:type="dxa"/>
            <w:gridSpan w:val="2"/>
            <w:vAlign w:val="center"/>
          </w:tcPr>
          <w:p w14:paraId="296CBE08">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线下现场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开标</w:t>
            </w:r>
          </w:p>
        </w:tc>
      </w:tr>
      <w:tr w14:paraId="4E6AFA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16032C79">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1750" w:type="dxa"/>
            <w:vAlign w:val="center"/>
          </w:tcPr>
          <w:p w14:paraId="18B23CDC">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评标方式</w:t>
            </w:r>
          </w:p>
        </w:tc>
        <w:tc>
          <w:tcPr>
            <w:tcW w:w="6672" w:type="dxa"/>
            <w:gridSpan w:val="2"/>
            <w:vAlign w:val="center"/>
          </w:tcPr>
          <w:p w14:paraId="2BADFC6B">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现场</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纸质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 （供应商应当审慎标记各评审项的应答部分，标记内容清晰且完整，否则将自行承担不利后果）</w:t>
            </w:r>
          </w:p>
        </w:tc>
      </w:tr>
      <w:tr w14:paraId="35ECFB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387AB6E7">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1750" w:type="dxa"/>
            <w:vAlign w:val="center"/>
          </w:tcPr>
          <w:p w14:paraId="112B1307">
            <w:pPr>
              <w:pStyle w:val="18"/>
              <w:keepNext w:val="0"/>
              <w:keepLines w:val="0"/>
              <w:pageBreakBefore w:val="0"/>
              <w:kinsoku/>
              <w:wordWrap/>
              <w:overflowPunct/>
              <w:topLinePunct w:val="0"/>
              <w:autoSpaceDE/>
              <w:autoSpaceDN/>
              <w:bidi w:val="0"/>
              <w:adjustRightInd/>
              <w:snapToGrid/>
              <w:spacing w:line="360" w:lineRule="auto"/>
              <w:ind w:firstLine="210" w:firstLineChars="1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评标办法</w:t>
            </w:r>
          </w:p>
        </w:tc>
        <w:tc>
          <w:tcPr>
            <w:tcW w:w="6672" w:type="dxa"/>
            <w:gridSpan w:val="2"/>
            <w:vAlign w:val="center"/>
          </w:tcPr>
          <w:p w14:paraId="1C6660B1">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采购包1：综合评分法</w:t>
            </w:r>
          </w:p>
        </w:tc>
      </w:tr>
      <w:tr w14:paraId="74F294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4D20D9A7">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p>
        </w:tc>
        <w:tc>
          <w:tcPr>
            <w:tcW w:w="1750" w:type="dxa"/>
            <w:vAlign w:val="center"/>
          </w:tcPr>
          <w:p w14:paraId="72F6F03B">
            <w:pPr>
              <w:pStyle w:val="18"/>
              <w:keepNext w:val="0"/>
              <w:keepLines w:val="0"/>
              <w:pageBreakBefore w:val="0"/>
              <w:kinsoku/>
              <w:wordWrap/>
              <w:overflowPunct/>
              <w:topLinePunct w:val="0"/>
              <w:autoSpaceDE/>
              <w:autoSpaceDN/>
              <w:bidi w:val="0"/>
              <w:adjustRightInd/>
              <w:snapToGrid/>
              <w:spacing w:line="360" w:lineRule="auto"/>
              <w:ind w:firstLine="210" w:firstLineChars="1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报价形式</w:t>
            </w:r>
          </w:p>
        </w:tc>
        <w:tc>
          <w:tcPr>
            <w:tcW w:w="6672" w:type="dxa"/>
            <w:gridSpan w:val="2"/>
            <w:vAlign w:val="center"/>
          </w:tcPr>
          <w:p w14:paraId="557E23FD">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折扣率</w:t>
            </w:r>
          </w:p>
        </w:tc>
      </w:tr>
      <w:tr w14:paraId="75547A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2D5D1E4E">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w:t>
            </w:r>
          </w:p>
        </w:tc>
        <w:tc>
          <w:tcPr>
            <w:tcW w:w="1750" w:type="dxa"/>
            <w:vAlign w:val="center"/>
          </w:tcPr>
          <w:p w14:paraId="27D0D673">
            <w:pPr>
              <w:pStyle w:val="18"/>
              <w:keepNext w:val="0"/>
              <w:keepLines w:val="0"/>
              <w:pageBreakBefore w:val="0"/>
              <w:kinsoku/>
              <w:wordWrap/>
              <w:overflowPunct/>
              <w:topLinePunct w:val="0"/>
              <w:autoSpaceDE/>
              <w:autoSpaceDN/>
              <w:bidi w:val="0"/>
              <w:adjustRightInd/>
              <w:snapToGrid/>
              <w:spacing w:line="360" w:lineRule="auto"/>
              <w:ind w:firstLine="210" w:firstLineChars="1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报价要求</w:t>
            </w:r>
          </w:p>
        </w:tc>
        <w:tc>
          <w:tcPr>
            <w:tcW w:w="6672" w:type="dxa"/>
            <w:gridSpan w:val="2"/>
            <w:vAlign w:val="center"/>
          </w:tcPr>
          <w:p w14:paraId="145BF523">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采购包1：0% - </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100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r>
      <w:tr w14:paraId="1960C9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07A8CBDB">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w:t>
            </w:r>
          </w:p>
        </w:tc>
        <w:tc>
          <w:tcPr>
            <w:tcW w:w="1750" w:type="dxa"/>
            <w:vAlign w:val="center"/>
          </w:tcPr>
          <w:p w14:paraId="3BFFC813">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现场踏勘</w:t>
            </w:r>
          </w:p>
        </w:tc>
        <w:tc>
          <w:tcPr>
            <w:tcW w:w="6672" w:type="dxa"/>
            <w:gridSpan w:val="2"/>
            <w:vAlign w:val="center"/>
          </w:tcPr>
          <w:p w14:paraId="724780C0">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否</w:t>
            </w:r>
          </w:p>
        </w:tc>
      </w:tr>
      <w:tr w14:paraId="011B2E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454" w:hRule="atLeast"/>
          <w:jc w:val="center"/>
        </w:trPr>
        <w:tc>
          <w:tcPr>
            <w:tcW w:w="649" w:type="dxa"/>
            <w:vAlign w:val="center"/>
          </w:tcPr>
          <w:p w14:paraId="08EA38B3">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w:t>
            </w:r>
          </w:p>
        </w:tc>
        <w:tc>
          <w:tcPr>
            <w:tcW w:w="1750" w:type="dxa"/>
            <w:vAlign w:val="center"/>
          </w:tcPr>
          <w:p w14:paraId="08A4DE1E">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投标有效期</w:t>
            </w:r>
          </w:p>
        </w:tc>
        <w:tc>
          <w:tcPr>
            <w:tcW w:w="6672" w:type="dxa"/>
            <w:gridSpan w:val="2"/>
            <w:vAlign w:val="center"/>
          </w:tcPr>
          <w:p w14:paraId="7A692F2C">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从提交投标（响应）文件的截止之日起90日历天</w:t>
            </w:r>
          </w:p>
        </w:tc>
      </w:tr>
      <w:tr w14:paraId="165429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5590DF7A">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w:t>
            </w:r>
          </w:p>
        </w:tc>
        <w:tc>
          <w:tcPr>
            <w:tcW w:w="1750" w:type="dxa"/>
            <w:vAlign w:val="center"/>
          </w:tcPr>
          <w:p w14:paraId="0F4F6BFA">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投标保证金</w:t>
            </w:r>
          </w:p>
        </w:tc>
        <w:tc>
          <w:tcPr>
            <w:tcW w:w="6672" w:type="dxa"/>
            <w:gridSpan w:val="2"/>
            <w:vAlign w:val="center"/>
          </w:tcPr>
          <w:p w14:paraId="02137018">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不收取投标（响应）保证金</w:t>
            </w:r>
          </w:p>
        </w:tc>
      </w:tr>
      <w:tr w14:paraId="7AF036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153D713A">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w:t>
            </w:r>
          </w:p>
        </w:tc>
        <w:tc>
          <w:tcPr>
            <w:tcW w:w="1750" w:type="dxa"/>
            <w:vAlign w:val="center"/>
          </w:tcPr>
          <w:p w14:paraId="60A91E17">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投标文件要求</w:t>
            </w:r>
          </w:p>
        </w:tc>
        <w:tc>
          <w:tcPr>
            <w:tcW w:w="6672" w:type="dxa"/>
            <w:gridSpan w:val="2"/>
            <w:vAlign w:val="center"/>
          </w:tcPr>
          <w:p w14:paraId="275C9C02">
            <w:pPr>
              <w:pStyle w:val="18"/>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共提供</w:t>
            </w:r>
            <w:r>
              <w:rPr>
                <w:rFonts w:hint="eastAsia" w:ascii="宋体" w:hAnsi="宋体" w:cs="宋体"/>
                <w:b/>
                <w:bCs/>
                <w:color w:val="000000" w:themeColor="text1"/>
                <w:sz w:val="21"/>
                <w:szCs w:val="21"/>
                <w:highlight w:val="none"/>
                <w:lang w:val="en-US" w:eastAsia="zh-CN"/>
                <w14:textFill>
                  <w14:solidFill>
                    <w14:schemeClr w14:val="tx1"/>
                  </w14:solidFill>
                </w14:textFill>
              </w:rPr>
              <w:t>3</w:t>
            </w:r>
            <w:r>
              <w:rPr>
                <w:rFonts w:hint="eastAsia" w:ascii="宋体" w:hAnsi="宋体" w:cs="宋体"/>
                <w:b/>
                <w:bCs/>
                <w:color w:val="000000" w:themeColor="text1"/>
                <w:sz w:val="21"/>
                <w:szCs w:val="21"/>
                <w:highlight w:val="none"/>
                <w14:textFill>
                  <w14:solidFill>
                    <w14:schemeClr w14:val="tx1"/>
                  </w14:solidFill>
                </w14:textFill>
              </w:rPr>
              <w:t>份投标资料，分别封装：</w:t>
            </w:r>
          </w:p>
          <w:p w14:paraId="3F0844C6">
            <w:pPr>
              <w:pStyle w:val="18"/>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1.投标</w:t>
            </w:r>
            <w:r>
              <w:rPr>
                <w:rFonts w:hint="eastAsia" w:ascii="宋体" w:hAnsi="宋体" w:cs="宋体"/>
                <w:b/>
                <w:bCs/>
                <w:color w:val="000000" w:themeColor="text1"/>
                <w:sz w:val="21"/>
                <w:szCs w:val="21"/>
                <w:highlight w:val="none"/>
                <w14:textFill>
                  <w14:solidFill>
                    <w14:schemeClr w14:val="tx1"/>
                  </w14:solidFill>
                </w14:textFill>
              </w:rPr>
              <w:t>文件</w:t>
            </w:r>
            <w:r>
              <w:rPr>
                <w:rFonts w:hint="eastAsia" w:ascii="宋体" w:hAnsi="宋体" w:cs="宋体"/>
                <w:color w:val="000000" w:themeColor="text1"/>
                <w:sz w:val="21"/>
                <w:szCs w:val="21"/>
                <w:highlight w:val="none"/>
                <w14:textFill>
                  <w14:solidFill>
                    <w14:schemeClr w14:val="tx1"/>
                  </w14:solidFill>
                </w14:textFill>
              </w:rPr>
              <w:t>（内含</w:t>
            </w:r>
            <w:r>
              <w:rPr>
                <w:rFonts w:hint="eastAsia" w:ascii="宋体" w:hAnsi="宋体" w:cs="宋体"/>
                <w:color w:val="000000" w:themeColor="text1"/>
                <w:sz w:val="21"/>
                <w:szCs w:val="21"/>
                <w:highlight w:val="none"/>
                <w:u w:val="single"/>
                <w14:textFill>
                  <w14:solidFill>
                    <w14:schemeClr w14:val="tx1"/>
                  </w14:solidFill>
                </w14:textFill>
              </w:rPr>
              <w:t xml:space="preserve"> 1 </w:t>
            </w:r>
            <w:r>
              <w:rPr>
                <w:rFonts w:hint="eastAsia" w:ascii="宋体" w:hAnsi="宋体" w:cs="宋体"/>
                <w:color w:val="000000" w:themeColor="text1"/>
                <w:sz w:val="21"/>
                <w:szCs w:val="21"/>
                <w:highlight w:val="none"/>
                <w14:textFill>
                  <w14:solidFill>
                    <w14:schemeClr w14:val="tx1"/>
                  </w14:solidFill>
                </w14:textFill>
              </w:rPr>
              <w:t>正</w:t>
            </w:r>
            <w:r>
              <w:rPr>
                <w:rFonts w:hint="eastAsia" w:ascii="宋体" w:hAnsi="宋体" w:cs="宋体"/>
                <w:color w:val="000000" w:themeColor="text1"/>
                <w:sz w:val="21"/>
                <w:szCs w:val="21"/>
                <w:highlight w:val="none"/>
                <w:u w:val="single"/>
                <w14:textFill>
                  <w14:solidFill>
                    <w14:schemeClr w14:val="tx1"/>
                  </w14:solidFill>
                </w14:textFill>
              </w:rPr>
              <w:t xml:space="preserve"> 4 </w:t>
            </w:r>
            <w:r>
              <w:rPr>
                <w:rFonts w:hint="eastAsia" w:ascii="宋体" w:hAnsi="宋体" w:cs="宋体"/>
                <w:color w:val="000000" w:themeColor="text1"/>
                <w:sz w:val="21"/>
                <w:szCs w:val="21"/>
                <w:highlight w:val="none"/>
                <w14:textFill>
                  <w14:solidFill>
                    <w14:schemeClr w14:val="tx1"/>
                  </w14:solidFill>
                </w14:textFill>
              </w:rPr>
              <w:t>副，</w:t>
            </w:r>
            <w:r>
              <w:rPr>
                <w:rFonts w:hint="eastAsia" w:ascii="宋体" w:hAnsi="宋体" w:cs="宋体"/>
                <w:bCs/>
                <w:color w:val="000000" w:themeColor="text1"/>
                <w:sz w:val="21"/>
                <w:szCs w:val="21"/>
                <w:highlight w:val="none"/>
                <w14:textFill>
                  <w14:solidFill>
                    <w14:schemeClr w14:val="tx1"/>
                  </w14:solidFill>
                </w14:textFill>
              </w:rPr>
              <w:t>独立装订成册</w:t>
            </w:r>
            <w:r>
              <w:rPr>
                <w:rFonts w:hint="eastAsia" w:ascii="宋体" w:hAnsi="宋体" w:cs="宋体"/>
                <w:color w:val="000000" w:themeColor="text1"/>
                <w:sz w:val="21"/>
                <w:szCs w:val="21"/>
                <w:highlight w:val="none"/>
                <w14:textFill>
                  <w14:solidFill>
                    <w14:schemeClr w14:val="tx1"/>
                  </w14:solidFill>
                </w14:textFill>
              </w:rPr>
              <w:t>）</w:t>
            </w:r>
          </w:p>
          <w:p w14:paraId="37076870">
            <w:pPr>
              <w:pStyle w:val="18"/>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2.开标信封</w:t>
            </w:r>
            <w:r>
              <w:rPr>
                <w:rFonts w:hint="eastAsia" w:ascii="宋体" w:hAnsi="宋体" w:cs="宋体"/>
                <w:color w:val="000000" w:themeColor="text1"/>
                <w:sz w:val="21"/>
                <w:szCs w:val="21"/>
                <w:highlight w:val="none"/>
                <w14:textFill>
                  <w14:solidFill>
                    <w14:schemeClr w14:val="tx1"/>
                  </w14:solidFill>
                </w14:textFill>
              </w:rPr>
              <w:t>（内含“开标一览表”、“法定代表人（负责人）证明书”和“法定代表人（负责人）授权书”）</w:t>
            </w:r>
          </w:p>
          <w:p w14:paraId="21A55959">
            <w:pPr>
              <w:pStyle w:val="18"/>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3.</w:t>
            </w:r>
            <w:r>
              <w:rPr>
                <w:rFonts w:hint="eastAsia" w:ascii="宋体" w:hAnsi="宋体" w:cs="宋体"/>
                <w:b/>
                <w:bCs/>
                <w:color w:val="000000" w:themeColor="text1"/>
                <w:sz w:val="21"/>
                <w:szCs w:val="21"/>
                <w:highlight w:val="none"/>
                <w14:textFill>
                  <w14:solidFill>
                    <w14:schemeClr w14:val="tx1"/>
                  </w14:solidFill>
                </w14:textFill>
              </w:rPr>
              <w:t>投标文件电子版</w:t>
            </w:r>
            <w:r>
              <w:rPr>
                <w:rFonts w:hint="eastAsia" w:ascii="宋体" w:hAnsi="宋体" w:cs="宋体"/>
                <w:color w:val="000000" w:themeColor="text1"/>
                <w:sz w:val="21"/>
                <w:szCs w:val="21"/>
                <w:highlight w:val="none"/>
                <w14:textFill>
                  <w14:solidFill>
                    <w14:schemeClr w14:val="tx1"/>
                  </w14:solidFill>
                </w14:textFill>
              </w:rPr>
              <w:t>（以光盘或U盘提供，内含PDF及可编辑的投标文件电子版1份，在封面上注明“公司名称-投标文件电子版”）</w:t>
            </w:r>
          </w:p>
          <w:p w14:paraId="6B65ABE6">
            <w:pPr>
              <w:pStyle w:val="18"/>
              <w:keepNext w:val="0"/>
              <w:keepLines w:val="0"/>
              <w:pageBreakBefore w:val="0"/>
              <w:numPr>
                <w:ilvl w:val="0"/>
                <w:numId w:val="0"/>
              </w:numPr>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E4F746E">
            <w:pPr>
              <w:pStyle w:val="18"/>
              <w:keepNext w:val="0"/>
              <w:keepLines w:val="0"/>
              <w:pageBreakBefore w:val="0"/>
              <w:numPr>
                <w:ilvl w:val="0"/>
                <w:numId w:val="0"/>
              </w:numPr>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注：</w:t>
            </w:r>
          </w:p>
          <w:p w14:paraId="1E9BA131">
            <w:pPr>
              <w:pStyle w:val="18"/>
              <w:keepNext w:val="0"/>
              <w:keepLines w:val="0"/>
              <w:pageBreakBefore w:val="0"/>
              <w:numPr>
                <w:ilvl w:val="0"/>
                <w:numId w:val="0"/>
              </w:numPr>
              <w:kinsoku/>
              <w:wordWrap/>
              <w:overflowPunct/>
              <w:topLinePunct w:val="0"/>
              <w:autoSpaceDE/>
              <w:autoSpaceDN/>
              <w:bidi w:val="0"/>
              <w:adjustRightInd/>
              <w:snapToGrid/>
              <w:spacing w:line="320" w:lineRule="exact"/>
              <w:ind w:firstLine="0" w:firstLineChars="0"/>
              <w:jc w:val="left"/>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1.</w:t>
            </w:r>
            <w:r>
              <w:rPr>
                <w:rFonts w:hint="eastAsia" w:ascii="宋体" w:hAnsi="宋体" w:cs="宋体"/>
                <w:b/>
                <w:color w:val="000000" w:themeColor="text1"/>
                <w:sz w:val="21"/>
                <w:szCs w:val="21"/>
                <w:highlight w:val="none"/>
                <w14:textFill>
                  <w14:solidFill>
                    <w14:schemeClr w14:val="tx1"/>
                  </w14:solidFill>
                </w14:textFill>
              </w:rPr>
              <w:t>所有投标资料</w:t>
            </w:r>
            <w:r>
              <w:rPr>
                <w:rFonts w:hint="eastAsia" w:ascii="宋体" w:hAnsi="宋体" w:cs="宋体"/>
                <w:bCs/>
                <w:color w:val="000000" w:themeColor="text1"/>
                <w:sz w:val="21"/>
                <w:szCs w:val="21"/>
                <w:highlight w:val="none"/>
                <w14:textFill>
                  <w14:solidFill>
                    <w14:schemeClr w14:val="tx1"/>
                  </w14:solidFill>
                </w14:textFill>
              </w:rPr>
              <w:t>分别密封在不透明的外层封装中，</w:t>
            </w:r>
            <w:r>
              <w:rPr>
                <w:rFonts w:hint="eastAsia" w:ascii="宋体" w:hAnsi="宋体" w:cs="宋体"/>
                <w:color w:val="000000" w:themeColor="text1"/>
                <w:sz w:val="21"/>
                <w:szCs w:val="21"/>
                <w:highlight w:val="none"/>
                <w14:textFill>
                  <w14:solidFill>
                    <w14:schemeClr w14:val="tx1"/>
                  </w14:solidFill>
                </w14:textFill>
              </w:rPr>
              <w:t>封面需按招标文件封面格式要求标注并加盖公章。</w:t>
            </w:r>
          </w:p>
          <w:p w14:paraId="17CB509C">
            <w:pPr>
              <w:pStyle w:val="18"/>
              <w:keepNext w:val="0"/>
              <w:keepLines w:val="0"/>
              <w:pageBreakBefore w:val="0"/>
              <w:numPr>
                <w:ilvl w:val="0"/>
                <w:numId w:val="0"/>
              </w:numPr>
              <w:kinsoku/>
              <w:wordWrap/>
              <w:overflowPunct/>
              <w:topLinePunct w:val="0"/>
              <w:autoSpaceDE/>
              <w:autoSpaceDN/>
              <w:bidi w:val="0"/>
              <w:adjustRightInd/>
              <w:snapToGrid/>
              <w:spacing w:line="320" w:lineRule="exact"/>
              <w:ind w:firstLine="0" w:firstLineChars="0"/>
              <w:jc w:val="left"/>
              <w:textAlignment w:val="auto"/>
              <w:rPr>
                <w:rFonts w:hint="eastAsia" w:ascii="宋体" w:hAnsi="宋体" w:cs="宋体"/>
                <w:bCs/>
                <w:color w:val="000000" w:themeColor="text1"/>
                <w:sz w:val="21"/>
                <w:szCs w:val="21"/>
                <w:highlight w:val="none"/>
                <w:lang w:eastAsia="zh-CN"/>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2.</w:t>
            </w:r>
            <w:r>
              <w:rPr>
                <w:rFonts w:hint="eastAsia" w:ascii="宋体" w:hAnsi="宋体" w:cs="宋体"/>
                <w:bCs/>
                <w:color w:val="000000" w:themeColor="text1"/>
                <w:sz w:val="21"/>
                <w:szCs w:val="21"/>
                <w:highlight w:val="none"/>
                <w14:textFill>
                  <w14:solidFill>
                    <w14:schemeClr w14:val="tx1"/>
                  </w14:solidFill>
                </w14:textFill>
              </w:rPr>
              <w:t>每一密封封装上均注明“于</w:t>
            </w:r>
            <w:r>
              <w:rPr>
                <w:rFonts w:hint="eastAsia" w:ascii="宋体" w:hAnsi="宋体" w:cs="宋体"/>
                <w:bCs/>
                <w:color w:val="000000" w:themeColor="text1"/>
                <w:sz w:val="21"/>
                <w:szCs w:val="21"/>
                <w:highlight w:val="none"/>
                <w:u w:val="single"/>
                <w14:textFill>
                  <w14:solidFill>
                    <w14:schemeClr w14:val="tx1"/>
                  </w14:solidFill>
                </w14:textFill>
              </w:rPr>
              <w:t xml:space="preserve">     （投标截止时间）   </w:t>
            </w:r>
            <w:r>
              <w:rPr>
                <w:rFonts w:hint="eastAsia" w:ascii="宋体" w:hAnsi="宋体" w:cs="宋体"/>
                <w:bCs/>
                <w:color w:val="000000" w:themeColor="text1"/>
                <w:sz w:val="21"/>
                <w:szCs w:val="21"/>
                <w:highlight w:val="none"/>
                <w14:textFill>
                  <w14:solidFill>
                    <w14:schemeClr w14:val="tx1"/>
                  </w14:solidFill>
                </w14:textFill>
              </w:rPr>
              <w:t>之前不准启封”的字样</w:t>
            </w:r>
            <w:r>
              <w:rPr>
                <w:rFonts w:hint="eastAsia" w:ascii="宋体" w:hAnsi="宋体" w:cs="宋体"/>
                <w:bCs/>
                <w:color w:val="000000" w:themeColor="text1"/>
                <w:sz w:val="21"/>
                <w:szCs w:val="21"/>
                <w:highlight w:val="none"/>
                <w:lang w:eastAsia="zh-CN"/>
                <w14:textFill>
                  <w14:solidFill>
                    <w14:schemeClr w14:val="tx1"/>
                  </w14:solidFill>
                </w14:textFill>
              </w:rPr>
              <w:t>。</w:t>
            </w:r>
          </w:p>
          <w:p w14:paraId="34091F7F">
            <w:pPr>
              <w:pStyle w:val="18"/>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cs="宋体"/>
                <w:bCs/>
                <w:color w:val="000000" w:themeColor="text1"/>
                <w:sz w:val="21"/>
                <w:szCs w:val="21"/>
                <w:highlight w:val="none"/>
                <w:lang w:val="en-US" w:eastAsia="zh-CN"/>
                <w14:textFill>
                  <w14:solidFill>
                    <w14:schemeClr w14:val="tx1"/>
                  </w14:solidFill>
                </w14:textFill>
              </w:rPr>
            </w:pPr>
            <w:r>
              <w:rPr>
                <w:rFonts w:hint="eastAsia" w:ascii="宋体"/>
                <w:bCs/>
                <w:color w:val="000000" w:themeColor="text1"/>
                <w:sz w:val="21"/>
                <w:szCs w:val="21"/>
                <w:highlight w:val="none"/>
                <w:lang w:val="en-US" w:eastAsia="zh-CN"/>
                <w14:textFill>
                  <w14:solidFill>
                    <w14:schemeClr w14:val="tx1"/>
                  </w14:solidFill>
                </w14:textFill>
              </w:rPr>
              <w:t>3.</w:t>
            </w:r>
            <w:r>
              <w:rPr>
                <w:rFonts w:hint="eastAsia" w:ascii="宋体"/>
                <w:bCs/>
                <w:color w:val="000000" w:themeColor="text1"/>
                <w:sz w:val="21"/>
                <w:szCs w:val="21"/>
                <w:highlight w:val="none"/>
                <w14:textFill>
                  <w14:solidFill>
                    <w14:schemeClr w14:val="tx1"/>
                  </w14:solidFill>
                </w14:textFill>
              </w:rPr>
              <w:t>投标人未按上述规定对投标文件进行</w:t>
            </w:r>
            <w:r>
              <w:rPr>
                <w:rFonts w:hint="eastAsia" w:ascii="宋体" w:hAnsi="宋体" w:cs="宋体"/>
                <w:bCs/>
                <w:color w:val="000000" w:themeColor="text1"/>
                <w:sz w:val="21"/>
                <w:szCs w:val="21"/>
                <w:highlight w:val="none"/>
                <w:lang w:val="en-US" w:eastAsia="zh-CN"/>
                <w14:textFill>
                  <w14:solidFill>
                    <w14:schemeClr w14:val="tx1"/>
                  </w14:solidFill>
                </w14:textFill>
              </w:rPr>
              <w:t>装订、</w:t>
            </w:r>
            <w:r>
              <w:rPr>
                <w:rFonts w:hint="eastAsia" w:ascii="宋体"/>
                <w:bCs/>
                <w:color w:val="000000" w:themeColor="text1"/>
                <w:sz w:val="21"/>
                <w:szCs w:val="21"/>
                <w:highlight w:val="none"/>
                <w14:textFill>
                  <w14:solidFill>
                    <w14:schemeClr w14:val="tx1"/>
                  </w14:solidFill>
                </w14:textFill>
              </w:rPr>
              <w:t>密封和加写标记，</w:t>
            </w:r>
            <w:r>
              <w:rPr>
                <w:rFonts w:hint="eastAsia" w:ascii="宋体" w:hAnsi="宋体"/>
                <w:color w:val="000000" w:themeColor="text1"/>
                <w:sz w:val="21"/>
                <w:szCs w:val="21"/>
                <w:highlight w:val="none"/>
                <w14:textFill>
                  <w14:solidFill>
                    <w14:schemeClr w14:val="tx1"/>
                  </w14:solidFill>
                </w14:textFill>
              </w:rPr>
              <w:t>代理采购机构有权予以拒收，并退回给投标人。电报、电话、传真</w:t>
            </w:r>
            <w:r>
              <w:rPr>
                <w:rFonts w:hint="eastAsia" w:ascii="宋体"/>
                <w:bCs/>
                <w:color w:val="000000" w:themeColor="text1"/>
                <w:sz w:val="21"/>
                <w:szCs w:val="21"/>
                <w:highlight w:val="none"/>
                <w14:textFill>
                  <w14:solidFill>
                    <w14:schemeClr w14:val="tx1"/>
                  </w14:solidFill>
                </w14:textFill>
              </w:rPr>
              <w:t>等非纸质形式</w:t>
            </w:r>
            <w:r>
              <w:rPr>
                <w:rFonts w:hint="eastAsia" w:ascii="宋体" w:hAnsi="宋体"/>
                <w:color w:val="000000" w:themeColor="text1"/>
                <w:sz w:val="21"/>
                <w:szCs w:val="21"/>
                <w:highlight w:val="none"/>
                <w14:textFill>
                  <w14:solidFill>
                    <w14:schemeClr w14:val="tx1"/>
                  </w14:solidFill>
                </w14:textFill>
              </w:rPr>
              <w:t>的投标概不接受</w:t>
            </w:r>
            <w:r>
              <w:rPr>
                <w:rFonts w:hint="eastAsia" w:ascii="宋体"/>
                <w:bCs/>
                <w:color w:val="000000" w:themeColor="text1"/>
                <w:sz w:val="21"/>
                <w:szCs w:val="21"/>
                <w:highlight w:val="none"/>
                <w14:textFill>
                  <w14:solidFill>
                    <w14:schemeClr w14:val="tx1"/>
                  </w14:solidFill>
                </w14:textFill>
              </w:rPr>
              <w:t>。</w:t>
            </w:r>
            <w:r>
              <w:rPr>
                <w:b/>
                <w:bCs/>
                <w:color w:val="000000" w:themeColor="text1"/>
                <w:sz w:val="21"/>
                <w:szCs w:val="21"/>
                <w:highlight w:val="none"/>
                <w14:textFill>
                  <w14:solidFill>
                    <w14:schemeClr w14:val="tx1"/>
                  </w14:solidFill>
                </w14:textFill>
              </w:rPr>
              <w:t>所有投标文件密封袋的封口处应加盖投标人</w:t>
            </w:r>
            <w:r>
              <w:rPr>
                <w:rFonts w:hint="eastAsia"/>
                <w:b/>
                <w:bCs/>
                <w:color w:val="000000" w:themeColor="text1"/>
                <w:sz w:val="21"/>
                <w:szCs w:val="21"/>
                <w:highlight w:val="none"/>
                <w14:textFill>
                  <w14:solidFill>
                    <w14:schemeClr w14:val="tx1"/>
                  </w14:solidFill>
                </w14:textFill>
              </w:rPr>
              <w:t>公章或密封章。</w:t>
            </w:r>
          </w:p>
        </w:tc>
      </w:tr>
      <w:tr w14:paraId="633D8E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5E704617">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w:t>
            </w:r>
          </w:p>
        </w:tc>
        <w:tc>
          <w:tcPr>
            <w:tcW w:w="1750" w:type="dxa"/>
            <w:vAlign w:val="center"/>
          </w:tcPr>
          <w:p w14:paraId="774CA95C">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中标候选供应商推荐家数</w:t>
            </w:r>
          </w:p>
        </w:tc>
        <w:tc>
          <w:tcPr>
            <w:tcW w:w="6672" w:type="dxa"/>
            <w:gridSpan w:val="2"/>
            <w:vAlign w:val="center"/>
          </w:tcPr>
          <w:p w14:paraId="438D6233">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采购包1：3家</w:t>
            </w:r>
          </w:p>
        </w:tc>
      </w:tr>
      <w:tr w14:paraId="419045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1D3BAF37">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w:t>
            </w:r>
          </w:p>
        </w:tc>
        <w:tc>
          <w:tcPr>
            <w:tcW w:w="1750" w:type="dxa"/>
            <w:vAlign w:val="center"/>
          </w:tcPr>
          <w:p w14:paraId="608621D6">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中标供应商数量</w:t>
            </w:r>
          </w:p>
        </w:tc>
        <w:tc>
          <w:tcPr>
            <w:tcW w:w="6672" w:type="dxa"/>
            <w:gridSpan w:val="2"/>
            <w:vAlign w:val="center"/>
          </w:tcPr>
          <w:p w14:paraId="5350B4DF">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采购包1：1家</w:t>
            </w:r>
          </w:p>
        </w:tc>
      </w:tr>
      <w:tr w14:paraId="6685B2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62DFF66E">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w:t>
            </w:r>
          </w:p>
        </w:tc>
        <w:tc>
          <w:tcPr>
            <w:tcW w:w="1750" w:type="dxa"/>
            <w:vAlign w:val="center"/>
          </w:tcPr>
          <w:p w14:paraId="10A83C2F">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有效供应商家数</w:t>
            </w:r>
          </w:p>
        </w:tc>
        <w:tc>
          <w:tcPr>
            <w:tcW w:w="6672" w:type="dxa"/>
            <w:gridSpan w:val="2"/>
            <w:vAlign w:val="center"/>
          </w:tcPr>
          <w:p w14:paraId="60C4C5C0">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采购包1：3家</w:t>
            </w:r>
          </w:p>
          <w:p w14:paraId="23A4B970">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此人数约定了开标与评标过程中的最低有效供应商家数，当家数不足时项目将不得开标、不得评标或直接废标。</w:t>
            </w:r>
          </w:p>
        </w:tc>
      </w:tr>
      <w:tr w14:paraId="13C5F8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71208D4C">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14</w:t>
            </w:r>
          </w:p>
        </w:tc>
        <w:tc>
          <w:tcPr>
            <w:tcW w:w="1750" w:type="dxa"/>
            <w:vAlign w:val="center"/>
          </w:tcPr>
          <w:p w14:paraId="431780EF">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项目兼投兼中（兼投不兼中）规则</w:t>
            </w:r>
          </w:p>
        </w:tc>
        <w:tc>
          <w:tcPr>
            <w:tcW w:w="6672" w:type="dxa"/>
            <w:gridSpan w:val="2"/>
            <w:vAlign w:val="center"/>
          </w:tcPr>
          <w:p w14:paraId="63240E2A">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无</w:t>
            </w:r>
          </w:p>
        </w:tc>
      </w:tr>
      <w:tr w14:paraId="201A67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65A5F4DF">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15</w:t>
            </w:r>
          </w:p>
        </w:tc>
        <w:tc>
          <w:tcPr>
            <w:tcW w:w="1750" w:type="dxa"/>
            <w:vAlign w:val="center"/>
          </w:tcPr>
          <w:p w14:paraId="5C3C3DFE">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中标供应商确定方式</w:t>
            </w:r>
          </w:p>
        </w:tc>
        <w:tc>
          <w:tcPr>
            <w:tcW w:w="6672" w:type="dxa"/>
            <w:gridSpan w:val="2"/>
            <w:vAlign w:val="center"/>
          </w:tcPr>
          <w:p w14:paraId="357E563C">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采购人按照评审报告中推荐的成交候选人确定中标（成交）人。</w:t>
            </w:r>
          </w:p>
        </w:tc>
      </w:tr>
      <w:tr w14:paraId="61372C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6AD69717">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16</w:t>
            </w:r>
          </w:p>
        </w:tc>
        <w:tc>
          <w:tcPr>
            <w:tcW w:w="1750" w:type="dxa"/>
            <w:vAlign w:val="center"/>
          </w:tcPr>
          <w:p w14:paraId="17A7FCB7">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代理服务费</w:t>
            </w:r>
          </w:p>
        </w:tc>
        <w:tc>
          <w:tcPr>
            <w:tcW w:w="6672" w:type="dxa"/>
            <w:gridSpan w:val="2"/>
            <w:vAlign w:val="center"/>
          </w:tcPr>
          <w:p w14:paraId="24BB4648">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收取。</w:t>
            </w:r>
          </w:p>
          <w:p w14:paraId="59CC8D1A">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机构代理服务收费标准：招标代理服务费按差额定率累进法计算。收费标准参照原国家发展计划委员会颁发的计价格[2002]1980号文《招标代理服务收费管理暂行办法》及国家发改委[2003]857号文及发改价格[2011]534号文规定，当招标代理服务费计算不足</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70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00元按定额</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70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00元收取。</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中标服务费由中标人在领取中标通知书前以银行转账方式一次性支付。</w:t>
            </w:r>
          </w:p>
        </w:tc>
      </w:tr>
      <w:tr w14:paraId="103519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1BCCF9C4">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17</w:t>
            </w:r>
          </w:p>
        </w:tc>
        <w:tc>
          <w:tcPr>
            <w:tcW w:w="1750" w:type="dxa"/>
            <w:vAlign w:val="center"/>
          </w:tcPr>
          <w:p w14:paraId="560D427E">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代理服务费收取方式</w:t>
            </w:r>
          </w:p>
        </w:tc>
        <w:tc>
          <w:tcPr>
            <w:tcW w:w="6672" w:type="dxa"/>
            <w:gridSpan w:val="2"/>
            <w:vAlign w:val="center"/>
          </w:tcPr>
          <w:p w14:paraId="390E0C2E">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向中标/成交供应商收取</w:t>
            </w:r>
          </w:p>
        </w:tc>
      </w:tr>
      <w:tr w14:paraId="604CAF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176F2388">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18</w:t>
            </w:r>
          </w:p>
        </w:tc>
        <w:tc>
          <w:tcPr>
            <w:tcW w:w="1750" w:type="dxa"/>
            <w:vAlign w:val="center"/>
          </w:tcPr>
          <w:p w14:paraId="666C3ABA">
            <w:pPr>
              <w:spacing w:line="300" w:lineRule="exact"/>
              <w:jc w:val="center"/>
              <w:rPr>
                <w:rFonts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中标服务费</w:t>
            </w:r>
          </w:p>
          <w:p w14:paraId="1FC6D0EE">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（以银行转账、电汇方式提交）</w:t>
            </w:r>
          </w:p>
        </w:tc>
        <w:tc>
          <w:tcPr>
            <w:tcW w:w="6672" w:type="dxa"/>
            <w:gridSpan w:val="2"/>
            <w:vAlign w:val="center"/>
          </w:tcPr>
          <w:p w14:paraId="36B85003">
            <w:pPr>
              <w:spacing w:line="300" w:lineRule="exact"/>
              <w:jc w:val="left"/>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开户名称</w:t>
            </w:r>
            <w:r>
              <w:rPr>
                <w:rFonts w:hint="eastAsia" w:ascii="宋体" w:hAnsi="宋体" w:cs="宋体"/>
                <w:b/>
                <w:bCs/>
                <w:color w:val="000000" w:themeColor="text1"/>
                <w:sz w:val="21"/>
                <w:szCs w:val="21"/>
                <w:highlight w:val="none"/>
                <w:lang w:eastAsia="zh-CN"/>
                <w14:textFill>
                  <w14:solidFill>
                    <w14:schemeClr w14:val="tx1"/>
                  </w14:solidFill>
                </w14:textFill>
              </w:rPr>
              <w:t>：</w:t>
            </w:r>
            <w:r>
              <w:rPr>
                <w:rFonts w:hint="eastAsia" w:ascii="宋体" w:hAnsi="宋体" w:cs="宋体"/>
                <w:b/>
                <w:bCs/>
                <w:color w:val="000000" w:themeColor="text1"/>
                <w:sz w:val="21"/>
                <w:szCs w:val="21"/>
                <w:highlight w:val="none"/>
                <w14:textFill>
                  <w14:solidFill>
                    <w14:schemeClr w14:val="tx1"/>
                  </w14:solidFill>
                </w14:textFill>
              </w:rPr>
              <w:t>广东业信采购招标有限公司</w:t>
            </w:r>
          </w:p>
          <w:p w14:paraId="6649E2F5">
            <w:pPr>
              <w:spacing w:line="300" w:lineRule="exact"/>
              <w:jc w:val="left"/>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账    号</w:t>
            </w:r>
            <w:r>
              <w:rPr>
                <w:rFonts w:hint="eastAsia" w:ascii="宋体" w:hAnsi="宋体" w:cs="宋体"/>
                <w:b/>
                <w:bCs/>
                <w:color w:val="000000" w:themeColor="text1"/>
                <w:sz w:val="21"/>
                <w:szCs w:val="21"/>
                <w:highlight w:val="none"/>
                <w:lang w:eastAsia="zh-CN"/>
                <w14:textFill>
                  <w14:solidFill>
                    <w14:schemeClr w14:val="tx1"/>
                  </w14:solidFill>
                </w14:textFill>
              </w:rPr>
              <w:t>：</w:t>
            </w:r>
            <w:r>
              <w:rPr>
                <w:rFonts w:hint="eastAsia" w:ascii="宋体" w:hAnsi="宋体" w:cs="宋体"/>
                <w:b/>
                <w:bCs/>
                <w:color w:val="000000" w:themeColor="text1"/>
                <w:sz w:val="21"/>
                <w:szCs w:val="21"/>
                <w:highlight w:val="none"/>
                <w14:textFill>
                  <w14:solidFill>
                    <w14:schemeClr w14:val="tx1"/>
                  </w14:solidFill>
                </w14:textFill>
              </w:rPr>
              <w:t>44547801040002249</w:t>
            </w:r>
          </w:p>
          <w:p w14:paraId="6BA88892">
            <w:pPr>
              <w:spacing w:line="30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开户银行</w:t>
            </w:r>
            <w:r>
              <w:rPr>
                <w:rFonts w:hint="eastAsia" w:ascii="宋体" w:hAnsi="宋体" w:cs="宋体"/>
                <w:b/>
                <w:bCs/>
                <w:color w:val="000000" w:themeColor="text1"/>
                <w:sz w:val="21"/>
                <w:szCs w:val="21"/>
                <w:highlight w:val="none"/>
                <w:lang w:eastAsia="zh-CN"/>
                <w14:textFill>
                  <w14:solidFill>
                    <w14:schemeClr w14:val="tx1"/>
                  </w14:solidFill>
                </w14:textFill>
              </w:rPr>
              <w:t>：</w:t>
            </w:r>
            <w:r>
              <w:rPr>
                <w:rFonts w:hint="eastAsia" w:ascii="宋体" w:hAnsi="宋体" w:cs="宋体"/>
                <w:b/>
                <w:bCs/>
                <w:color w:val="000000" w:themeColor="text1"/>
                <w:sz w:val="21"/>
                <w:szCs w:val="21"/>
                <w:highlight w:val="none"/>
                <w14:textFill>
                  <w14:solidFill>
                    <w14:schemeClr w14:val="tx1"/>
                  </w14:solidFill>
                </w14:textFill>
              </w:rPr>
              <w:t>中国农业银行股份有限公司阳江江城支行</w:t>
            </w:r>
          </w:p>
        </w:tc>
      </w:tr>
      <w:tr w14:paraId="5FC772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661D196D">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19</w:t>
            </w:r>
          </w:p>
        </w:tc>
        <w:tc>
          <w:tcPr>
            <w:tcW w:w="1750" w:type="dxa"/>
            <w:vAlign w:val="center"/>
          </w:tcPr>
          <w:p w14:paraId="71F0E914">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专门面向中小企业采购</w:t>
            </w:r>
          </w:p>
        </w:tc>
        <w:tc>
          <w:tcPr>
            <w:tcW w:w="6672" w:type="dxa"/>
            <w:gridSpan w:val="2"/>
            <w:vAlign w:val="center"/>
          </w:tcPr>
          <w:p w14:paraId="49ABE3E4">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color w:val="000000" w:themeColor="text1"/>
                <w:sz w:val="21"/>
                <w:szCs w:val="21"/>
                <w:highlight w:val="none"/>
                <w14:textFill>
                  <w14:solidFill>
                    <w14:schemeClr w14:val="tx1"/>
                  </w14:solidFill>
                </w14:textFill>
              </w:rPr>
              <w:t>面向</w:t>
            </w:r>
            <w:r>
              <w:rPr>
                <w:rFonts w:hint="eastAsia"/>
                <w:color w:val="000000" w:themeColor="text1"/>
                <w:sz w:val="21"/>
                <w:szCs w:val="21"/>
                <w:highlight w:val="none"/>
                <w:lang w:val="en-US" w:eastAsia="zh-CN"/>
                <w14:textFill>
                  <w14:solidFill>
                    <w14:schemeClr w14:val="tx1"/>
                  </w14:solidFill>
                </w14:textFill>
              </w:rPr>
              <w:t>中小</w:t>
            </w:r>
            <w:r>
              <w:rPr>
                <w:color w:val="000000" w:themeColor="text1"/>
                <w:sz w:val="21"/>
                <w:szCs w:val="21"/>
                <w:highlight w:val="none"/>
                <w14:textFill>
                  <w14:solidFill>
                    <w14:schemeClr w14:val="tx1"/>
                  </w14:solidFill>
                </w14:textFill>
              </w:rPr>
              <w:t>企业，采购包专门预留</w:t>
            </w:r>
          </w:p>
        </w:tc>
      </w:tr>
      <w:tr w14:paraId="693CC6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Merge w:val="restart"/>
            <w:vAlign w:val="center"/>
          </w:tcPr>
          <w:p w14:paraId="7B0754AF">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20</w:t>
            </w:r>
          </w:p>
        </w:tc>
        <w:tc>
          <w:tcPr>
            <w:tcW w:w="1750" w:type="dxa"/>
            <w:vMerge w:val="restart"/>
            <w:vAlign w:val="center"/>
          </w:tcPr>
          <w:p w14:paraId="6352F5FC">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信息公告媒体</w:t>
            </w:r>
          </w:p>
        </w:tc>
        <w:tc>
          <w:tcPr>
            <w:tcW w:w="3007" w:type="dxa"/>
            <w:tcBorders>
              <w:right w:val="single" w:color="auto" w:sz="4" w:space="0"/>
            </w:tcBorders>
            <w:vAlign w:val="center"/>
          </w:tcPr>
          <w:p w14:paraId="271A37C1">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default" w:ascii="宋体" w:hAnsi="宋体"/>
                <w:color w:val="000000" w:themeColor="text1"/>
                <w:sz w:val="21"/>
                <w:szCs w:val="21"/>
                <w:highlight w:val="none"/>
                <w:lang w:val="en-US" w:eastAsia="zh-CN"/>
                <w14:textFill>
                  <w14:solidFill>
                    <w14:schemeClr w14:val="tx1"/>
                  </w14:solidFill>
                </w14:textFill>
              </w:rPr>
              <w:t>全国招标采购公共服务平台</w:t>
            </w:r>
          </w:p>
        </w:tc>
        <w:tc>
          <w:tcPr>
            <w:tcW w:w="3665" w:type="dxa"/>
            <w:tcBorders>
              <w:left w:val="single" w:color="auto" w:sz="4" w:space="0"/>
            </w:tcBorders>
            <w:vAlign w:val="center"/>
          </w:tcPr>
          <w:p w14:paraId="10DE389C">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https://www.hnzbcgxxw.com/</w:t>
            </w:r>
          </w:p>
        </w:tc>
      </w:tr>
      <w:tr w14:paraId="26F52C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Merge w:val="continue"/>
            <w:vAlign w:val="center"/>
          </w:tcPr>
          <w:p w14:paraId="5D098B65">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p>
        </w:tc>
        <w:tc>
          <w:tcPr>
            <w:tcW w:w="1750" w:type="dxa"/>
            <w:vMerge w:val="continue"/>
            <w:vAlign w:val="center"/>
          </w:tcPr>
          <w:p w14:paraId="5A522390">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3007" w:type="dxa"/>
            <w:vMerge w:val="restart"/>
            <w:tcBorders>
              <w:right w:val="single" w:color="auto" w:sz="4" w:space="0"/>
            </w:tcBorders>
            <w:vAlign w:val="center"/>
          </w:tcPr>
          <w:p w14:paraId="00D3BA47">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广东业信采购招标有限公司网</w:t>
            </w:r>
          </w:p>
        </w:tc>
        <w:tc>
          <w:tcPr>
            <w:tcW w:w="3665" w:type="dxa"/>
            <w:tcBorders>
              <w:left w:val="single" w:color="auto" w:sz="4" w:space="0"/>
            </w:tcBorders>
            <w:shd w:val="clear" w:color="auto" w:fill="auto"/>
            <w:vAlign w:val="center"/>
          </w:tcPr>
          <w:p w14:paraId="6EB908E9">
            <w:pPr>
              <w:spacing w:line="40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HYPERLINK "http://www.gdgpo.gov.cn" </w:instrText>
            </w:r>
            <w:r>
              <w:rPr>
                <w:color w:val="000000" w:themeColor="text1"/>
                <w:sz w:val="21"/>
                <w:szCs w:val="21"/>
                <w:highlight w:val="none"/>
                <w14:textFill>
                  <w14:solidFill>
                    <w14:schemeClr w14:val="tx1"/>
                  </w14:solidFill>
                </w14:textFill>
              </w:rPr>
              <w:fldChar w:fldCharType="separate"/>
            </w:r>
            <w:r>
              <w:rPr>
                <w:rFonts w:ascii="宋体" w:hAnsi="宋体"/>
                <w:color w:val="000000" w:themeColor="text1"/>
                <w:sz w:val="21"/>
                <w:szCs w:val="21"/>
                <w:highlight w:val="none"/>
                <w14:textFill>
                  <w14:solidFill>
                    <w14:schemeClr w14:val="tx1"/>
                  </w14:solidFill>
                </w14:textFill>
              </w:rPr>
              <w:t>http://www.gdgpo.</w:t>
            </w:r>
            <w:r>
              <w:rPr>
                <w:rFonts w:hint="eastAsia" w:ascii="宋体" w:hAnsi="宋体"/>
                <w:color w:val="000000" w:themeColor="text1"/>
                <w:sz w:val="21"/>
                <w:szCs w:val="21"/>
                <w:highlight w:val="none"/>
                <w14:textFill>
                  <w14:solidFill>
                    <w14:schemeClr w14:val="tx1"/>
                  </w14:solidFill>
                </w14:textFill>
              </w:rPr>
              <w:t>com.</w:t>
            </w:r>
            <w:r>
              <w:rPr>
                <w:rFonts w:ascii="宋体" w:hAnsi="宋体"/>
                <w:color w:val="000000" w:themeColor="text1"/>
                <w:sz w:val="21"/>
                <w:szCs w:val="21"/>
                <w:highlight w:val="none"/>
                <w14:textFill>
                  <w14:solidFill>
                    <w14:schemeClr w14:val="tx1"/>
                  </w14:solidFill>
                </w14:textFill>
              </w:rPr>
              <w:t>cn</w:t>
            </w:r>
            <w:r>
              <w:rPr>
                <w:rFonts w:ascii="宋体" w:hAnsi="宋体"/>
                <w:color w:val="000000" w:themeColor="text1"/>
                <w:sz w:val="21"/>
                <w:szCs w:val="21"/>
                <w:highlight w:val="none"/>
                <w14:textFill>
                  <w14:solidFill>
                    <w14:schemeClr w14:val="tx1"/>
                  </w14:solidFill>
                </w14:textFill>
              </w:rPr>
              <w:fldChar w:fldCharType="end"/>
            </w:r>
          </w:p>
        </w:tc>
      </w:tr>
      <w:tr w14:paraId="643802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Merge w:val="continue"/>
            <w:vAlign w:val="center"/>
          </w:tcPr>
          <w:p w14:paraId="6317163F">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p>
        </w:tc>
        <w:tc>
          <w:tcPr>
            <w:tcW w:w="1750" w:type="dxa"/>
            <w:vMerge w:val="continue"/>
            <w:vAlign w:val="center"/>
          </w:tcPr>
          <w:p w14:paraId="068391B1">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3007" w:type="dxa"/>
            <w:vMerge w:val="continue"/>
            <w:tcBorders>
              <w:right w:val="single" w:color="auto" w:sz="4" w:space="0"/>
            </w:tcBorders>
            <w:vAlign w:val="center"/>
          </w:tcPr>
          <w:p w14:paraId="7016DC9C">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3665" w:type="dxa"/>
            <w:tcBorders>
              <w:left w:val="single" w:color="auto" w:sz="4" w:space="0"/>
            </w:tcBorders>
            <w:vAlign w:val="center"/>
          </w:tcPr>
          <w:p w14:paraId="4530A8BD">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http://www.yjcg.cc</w:t>
            </w:r>
          </w:p>
        </w:tc>
      </w:tr>
    </w:tbl>
    <w:p w14:paraId="379CD7AA">
      <w:pPr>
        <w:rPr>
          <w:rFonts w:hint="eastAsia"/>
          <w:color w:val="000000" w:themeColor="text1"/>
          <w:highlight w:val="none"/>
          <w14:textFill>
            <w14:solidFill>
              <w14:schemeClr w14:val="tx1"/>
            </w14:solidFill>
          </w14:textFill>
        </w:rPr>
      </w:pPr>
    </w:p>
    <w:p w14:paraId="327CE6C0">
      <w:pPr>
        <w:rPr>
          <w:rFonts w:hint="eastAsia"/>
          <w:color w:val="000000" w:themeColor="text1"/>
          <w:highlight w:val="none"/>
          <w14:textFill>
            <w14:solidFill>
              <w14:schemeClr w14:val="tx1"/>
            </w14:solidFill>
          </w14:textFill>
        </w:rPr>
      </w:pPr>
    </w:p>
    <w:p w14:paraId="5C028B5A">
      <w:pPr>
        <w:pStyle w:val="18"/>
        <w:keepNext w:val="0"/>
        <w:keepLines w:val="0"/>
        <w:pageBreakBefore w:val="0"/>
        <w:widowControl/>
        <w:kinsoku/>
        <w:wordWrap/>
        <w:overflowPunct/>
        <w:topLinePunct w:val="0"/>
        <w:autoSpaceDE/>
        <w:autoSpaceDN/>
        <w:bidi w:val="0"/>
        <w:adjustRightInd/>
        <w:snapToGrid/>
        <w:spacing w:line="360" w:lineRule="auto"/>
        <w:textAlignment w:val="auto"/>
        <w:outlineLvl w:val="1"/>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5" w:name="_Toc10146"/>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三、说明</w:t>
      </w:r>
      <w:bookmarkEnd w:id="5"/>
    </w:p>
    <w:p w14:paraId="7CD36959">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1.总则</w:t>
      </w:r>
    </w:p>
    <w:p w14:paraId="76447BD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采购人、采购代理机构及投标人进行的本次采购活动适用《中华人民共和国政府采购法》及其配套的法规、规章、政策。</w:t>
      </w:r>
    </w:p>
    <w:p w14:paraId="4D5D812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14:paraId="4011422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本次公开招标项目，是以招标公告的方式邀请非特定的投标人参加投标。</w:t>
      </w:r>
    </w:p>
    <w:p w14:paraId="5E57798D">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2.适用范围</w:t>
      </w:r>
    </w:p>
    <w:p w14:paraId="7ACC7B4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本招标文件仅适用于本次招标公告中所涉及的项目和内容。</w:t>
      </w:r>
    </w:p>
    <w:p w14:paraId="481D2AC0">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3.进口产品</w:t>
      </w:r>
    </w:p>
    <w:p w14:paraId="6F48B10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若本项目允许采购进口产品，供应商应保证所投产品可履行合法报通关手续进入中国关境内。</w:t>
      </w:r>
    </w:p>
    <w:p w14:paraId="2EA4E03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若本项目不允许采购进口产品，如供应商所投产品为进口产品，其响应将被认定为响应无效。</w:t>
      </w:r>
    </w:p>
    <w:p w14:paraId="394375A6">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4.投标的费用</w:t>
      </w:r>
    </w:p>
    <w:p w14:paraId="4040BC8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不论投标结果如何，投标人应承担所有与准备和参加投标有关的费用。采购代理机构和采购人均无义务和责任承担相关费用。</w:t>
      </w:r>
    </w:p>
    <w:p w14:paraId="1D9A9438">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5.以联合体形式投标的，应符合以下规定：</w:t>
      </w:r>
    </w:p>
    <w:p w14:paraId="38DB834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5.1联合体各方均应当满足《中华人民共和国政府采购法》第二十二条规定的条件，并在投标文件中提供联合体各方的相关证明材料。</w:t>
      </w:r>
    </w:p>
    <w:p w14:paraId="7FFA9C0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14:paraId="33BDC65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5.3 联合体名称需与共同投标协议书签署方一致。对于需交投标保证金的，以牵头方名义缴纳。</w:t>
      </w:r>
    </w:p>
    <w:p w14:paraId="28DBC92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5.4联合体成员存在不良信用记录的，视同联合体存在不良信用记录。</w:t>
      </w:r>
    </w:p>
    <w:p w14:paraId="11B4825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14:paraId="3108D76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5.6联合体各方应当共同与采购人签订采购合同，就合同约定的事项对采购人承担连带责任。</w:t>
      </w:r>
    </w:p>
    <w:p w14:paraId="14B36684">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6.关联企业投标说明</w:t>
      </w:r>
    </w:p>
    <w:p w14:paraId="0209A83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6.1 对于不接受联合体投标的采购项目（采购包）：法定代表人或单位负责人为同一个人或者存在直接控股、管理关系的不同供应商，不得同时参加同一项目或同一采购包的投标。如同时参加，则其投标将被拒绝。</w:t>
      </w:r>
    </w:p>
    <w:p w14:paraId="2D2E770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14:paraId="59291980">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7.关于中小微企业投标</w:t>
      </w:r>
    </w:p>
    <w:p w14:paraId="1FC389B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14:paraId="1CAD07D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13113BC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14:paraId="4C2FDB2D">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8.纪律与保密事项</w:t>
      </w:r>
    </w:p>
    <w:p w14:paraId="6A4AF10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8.1投标人不得相互串通投标报价，不得妨碍其他投标人的公平竞争，不得损害采购人或其他投标人的合法权益，投标人不得以向采购人、评标委员会成员行贿或者采取其他不正当手段谋取中标。</w:t>
      </w:r>
    </w:p>
    <w:p w14:paraId="720B021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8.2在确定中标供应商之前，投标人不得与采购人就投标价格、投标方案等实质性内容进行谈判，也不得私下接触评标委员会成员。</w:t>
      </w:r>
    </w:p>
    <w:p w14:paraId="79643BE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8.3在确定中标供应商之前，投标人试图在投标文件审查、澄清、比较和评价时对评标委员会、采购人和采购代理机构施加任何影响都可能导致其投标无效。</w:t>
      </w:r>
    </w:p>
    <w:p w14:paraId="484ACC5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8.4获得本招标文件者，须履行本项目下保密义务，不得将因本次项目获得的信息向第三人外传，不得将招标文件用作本次投标以外的任何用途。</w:t>
      </w:r>
    </w:p>
    <w:p w14:paraId="7D1A37C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14:paraId="7A99F59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8.6采购人或采购代理机构有权将供应商提供的所有资料向有关政府部门或评审小组披露。</w:t>
      </w:r>
    </w:p>
    <w:p w14:paraId="0BFC01A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2580D64D">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9.语言文字以及度量衡单位</w:t>
      </w:r>
    </w:p>
    <w:p w14:paraId="1E7C3A6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639E27D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9.2除非招标文件的技术规格中另有规定，投标人在投标文件中及其与采购人和采购代理机构的所有往来文件中的计量单位均应采用中华人民共和国法定计量单位。</w:t>
      </w:r>
    </w:p>
    <w:p w14:paraId="5849317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9.3投标人所提供的货物和服务均应以人民币报价，货币单位：元。</w:t>
      </w:r>
    </w:p>
    <w:p w14:paraId="77E9C962">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10. 现场踏勘（如有）</w:t>
      </w:r>
    </w:p>
    <w:p w14:paraId="463A8BA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10.1招标文件规定组织踏勘现场的，采购人按招标文件规定的时间、地点组织投标人踏勘项目现场。</w:t>
      </w:r>
    </w:p>
    <w:p w14:paraId="4D22F07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10.2投标人自行承担踏勘现场发生的责任、风险和自身费用。</w:t>
      </w:r>
    </w:p>
    <w:p w14:paraId="60CEBEA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10.3采购人在踏勘现场中介绍的资料和数据等，只是为了使投标人能够利用招标人现有的资料。招标人对投标人由此而作出的推论、解释和结论概不负责。</w:t>
      </w:r>
    </w:p>
    <w:p w14:paraId="430FC3E3">
      <w:pPr>
        <w:pStyle w:val="18"/>
        <w:keepNext w:val="0"/>
        <w:keepLines w:val="0"/>
        <w:pageBreakBefore w:val="0"/>
        <w:widowControl/>
        <w:kinsoku/>
        <w:wordWrap/>
        <w:overflowPunct/>
        <w:topLinePunct w:val="0"/>
        <w:autoSpaceDE/>
        <w:autoSpaceDN/>
        <w:bidi w:val="0"/>
        <w:adjustRightInd/>
        <w:snapToGrid/>
        <w:spacing w:line="360" w:lineRule="auto"/>
        <w:textAlignment w:val="auto"/>
        <w:outlineLvl w:val="1"/>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6" w:name="_Toc19130"/>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四、招标文件的澄清和修改</w:t>
      </w:r>
      <w:bookmarkEnd w:id="6"/>
    </w:p>
    <w:p w14:paraId="180ADBD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14:paraId="1613AD7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7FF7F03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3.如更正公告有重新发布招标文件的，供应商应下载最新发布的招标文件制作投标文件。</w:t>
      </w:r>
    </w:p>
    <w:p w14:paraId="5007A26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14:paraId="05276A8E">
      <w:pPr>
        <w:pStyle w:val="18"/>
        <w:keepNext w:val="0"/>
        <w:keepLines w:val="0"/>
        <w:pageBreakBefore w:val="0"/>
        <w:widowControl/>
        <w:kinsoku/>
        <w:wordWrap/>
        <w:overflowPunct/>
        <w:topLinePunct w:val="0"/>
        <w:autoSpaceDE/>
        <w:autoSpaceDN/>
        <w:bidi w:val="0"/>
        <w:adjustRightInd/>
        <w:snapToGrid/>
        <w:spacing w:line="360" w:lineRule="auto"/>
        <w:textAlignment w:val="auto"/>
        <w:outlineLvl w:val="1"/>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7" w:name="_Toc5747"/>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五、投标要求</w:t>
      </w:r>
      <w:bookmarkEnd w:id="7"/>
    </w:p>
    <w:p w14:paraId="3B575A99">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1.投标登记</w:t>
      </w:r>
    </w:p>
    <w:p w14:paraId="5948DFA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投标人应</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在代理机构完</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成项目投标登记并</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购买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招标文件（未按上述方式获取招标文件的供应商，其投标资格将被视为无效）。</w:t>
      </w:r>
    </w:p>
    <w:p w14:paraId="6B5ED82A">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2.投标文件的制作</w:t>
      </w:r>
    </w:p>
    <w:p w14:paraId="5DC7B997">
      <w:pPr>
        <w:pStyle w:val="18"/>
        <w:keepNext w:val="0"/>
        <w:keepLines w:val="0"/>
        <w:pageBreakBefore w:val="0"/>
        <w:kinsoku/>
        <w:wordWrap/>
        <w:overflowPunct/>
        <w:topLinePunct w:val="0"/>
        <w:autoSpaceDE/>
        <w:autoSpaceDN/>
        <w:bidi w:val="0"/>
        <w:adjustRightInd/>
        <w:snapToGrid/>
        <w:spacing w:line="360" w:lineRule="auto"/>
        <w:ind w:firstLine="630" w:firstLineChars="3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2.1投标文件中，其格式要求详见第六章说明。如因不按要求编制，其后果由投标人承担。</w:t>
      </w:r>
    </w:p>
    <w:p w14:paraId="4611890A">
      <w:pPr>
        <w:pStyle w:val="18"/>
        <w:keepNext w:val="0"/>
        <w:keepLines w:val="0"/>
        <w:pageBreakBefore w:val="0"/>
        <w:kinsoku/>
        <w:wordWrap/>
        <w:overflowPunct/>
        <w:topLinePunct w:val="0"/>
        <w:autoSpaceDE/>
        <w:autoSpaceDN/>
        <w:bidi w:val="0"/>
        <w:adjustRightInd/>
        <w:snapToGrid/>
        <w:spacing w:line="360" w:lineRule="auto"/>
        <w:ind w:firstLine="630" w:firstLineChars="3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2.2投标人应</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正确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编制、标记投标文件。关于投标报价（如有报价）说明如下：</w:t>
      </w:r>
    </w:p>
    <w:p w14:paraId="5D15734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14:paraId="73C4DBF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(2)投标报价包括本项目采购需求和投入使用的所有费用，包括但不限于主件、标准附件、备品备件、施工、服务、专用工具、安装、调试、检验、培训、运输、保险、税款等。</w:t>
      </w:r>
    </w:p>
    <w:p w14:paraId="69E8A34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 如有对多个采购包投标的，要对每个采购包独立制作投标文件。</w:t>
      </w:r>
    </w:p>
    <w:p w14:paraId="2ED2B7B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2.4投标人不得将同一个项目或同一个采购包的内容拆开投标，否则其报价将被视为非实质性响应。</w:t>
      </w:r>
    </w:p>
    <w:p w14:paraId="1620F0C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2.5投标人须对招标文件的对应要求给予唯一的实质性响应，否则将视为不响应。</w:t>
      </w:r>
    </w:p>
    <w:p w14:paraId="30898B9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2.6招标文件中，凡标有“★”的地方均为实质性响应条款，投标人若有一项带“★”的条款未响应或不满足，将按无效投标处理。</w:t>
      </w:r>
    </w:p>
    <w:p w14:paraId="532AA46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2.7投标人必须按招标文件指定的格式填写各种报价，各报价应计算正确。除在招标文件另有规定外（如：报折扣、报优惠率等），计量单位应使用中华人民共和国法定计量单位，以人民币填报所有报价。</w:t>
      </w:r>
    </w:p>
    <w:p w14:paraId="4A8112B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14:paraId="79C999E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2.9投标人应按招标文件的规定及附件要求的内容和格式完整地填写和提供资料。投标人必须对投标文件所提供的全部资料的真实性承担法律责任，并无条件接受采购人对其中任何资料进行核实（核对原件）的要求。</w:t>
      </w:r>
    </w:p>
    <w:p w14:paraId="53739DF6">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3.投标文件的提交</w:t>
      </w:r>
    </w:p>
    <w:p w14:paraId="019643D8">
      <w:pPr>
        <w:widowControl/>
        <w:tabs>
          <w:tab w:val="left" w:pos="753"/>
        </w:tabs>
        <w:adjustRightInd w:val="0"/>
        <w:snapToGrid w:val="0"/>
        <w:spacing w:line="360" w:lineRule="auto"/>
        <w:ind w:left="741" w:leftChars="200" w:hanging="321" w:hangingChars="153"/>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 xml:space="preserve"> 3.1</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递交投标文件的地点与开标的地点为同一地点；投标截止时间与开标时间为同一时间。</w:t>
      </w:r>
    </w:p>
    <w:p w14:paraId="0C2061FB">
      <w:pPr>
        <w:widowControl/>
        <w:tabs>
          <w:tab w:val="left" w:pos="753"/>
        </w:tabs>
        <w:adjustRightInd w:val="0"/>
        <w:snapToGrid w:val="0"/>
        <w:spacing w:line="360" w:lineRule="auto"/>
        <w:ind w:left="0" w:leftChars="0" w:firstLine="420" w:firstLineChars="200"/>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.2投标文件需由专人送交。投标人须将密封和标记后的投标文件，按照招标文件中注明的开标地址于投标截止时间之前送交代理采购机构。</w:t>
      </w:r>
    </w:p>
    <w:p w14:paraId="30148371">
      <w:pPr>
        <w:widowControl/>
        <w:tabs>
          <w:tab w:val="left" w:pos="753"/>
        </w:tabs>
        <w:adjustRightInd w:val="0"/>
        <w:snapToGrid w:val="0"/>
        <w:spacing w:line="360" w:lineRule="auto"/>
        <w:ind w:left="741" w:leftChars="200" w:hanging="321" w:hangingChars="153"/>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bookmarkStart w:id="8" w:name="_Toc339020086"/>
      <w:bookmarkStart w:id="9" w:name="_Toc497224218"/>
      <w:bookmarkStart w:id="10" w:name="_Toc336681571"/>
      <w:bookmarkStart w:id="11" w:name="_Toc350756441"/>
      <w:bookmarkStart w:id="12" w:name="_Toc349127617"/>
      <w:bookmarkStart w:id="13" w:name="_Toc350438740"/>
      <w:bookmarkStart w:id="14" w:name="_Toc365985170"/>
      <w:bookmarkStart w:id="15" w:name="_Toc365967064"/>
      <w:bookmarkStart w:id="16" w:name="_Toc333237779"/>
      <w:bookmarkStart w:id="17" w:name="_Toc339020224"/>
      <w:bookmarkStart w:id="18" w:name="_Toc340507433"/>
      <w:bookmarkStart w:id="19" w:name="_Toc340672860"/>
      <w:bookmarkStart w:id="20" w:name="_Toc331512889"/>
      <w:bookmarkStart w:id="21" w:name="_Toc339019880"/>
      <w:bookmarkStart w:id="22" w:name="_Toc331684029"/>
      <w:bookmarkStart w:id="23" w:name="_Toc333935337"/>
      <w:bookmarkStart w:id="24" w:name="_Toc333935678"/>
      <w:bookmarkStart w:id="25" w:name="_Toc342060365"/>
      <w:bookmarkStart w:id="26" w:name="_Toc333238624"/>
      <w:bookmarkStart w:id="27" w:name="_Toc330459976"/>
      <w:bookmarkStart w:id="28" w:name="_Toc374454591"/>
      <w:bookmarkStart w:id="29" w:name="_Toc339020006"/>
      <w:bookmarkStart w:id="30" w:name="_Toc332270337"/>
      <w:bookmarkStart w:id="31" w:name="_Toc333237668"/>
      <w:bookmarkStart w:id="32" w:name="_Toc503785420"/>
      <w:bookmarkStart w:id="33" w:name="_Toc339362291"/>
      <w:bookmarkStart w:id="34" w:name="_Toc349143580"/>
      <w:bookmarkStart w:id="35" w:name="_Toc337632349"/>
      <w:bookmarkStart w:id="36" w:name="_Toc339441078"/>
      <w:bookmarkStart w:id="37" w:name="_Toc345513858"/>
      <w:bookmarkStart w:id="38" w:name="_Toc341348329"/>
      <w:bookmarkStart w:id="39" w:name="_Toc342296751"/>
      <w:bookmarkStart w:id="40" w:name="_Toc332206699"/>
      <w:bookmarkStart w:id="41" w:name="_Toc340677061"/>
      <w:bookmarkStart w:id="42" w:name="_Toc366072519"/>
      <w:bookmarkStart w:id="43" w:name="_Toc336681926"/>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.3代理采购机构于投标截止时间前30分钟开始接收投标文件，并于招标文件规定的开标时间、</w:t>
      </w:r>
    </w:p>
    <w:p w14:paraId="17C55406">
      <w:pPr>
        <w:widowControl/>
        <w:tabs>
          <w:tab w:val="left" w:pos="753"/>
        </w:tabs>
        <w:adjustRightInd w:val="0"/>
        <w:snapToGrid w:val="0"/>
        <w:spacing w:line="360" w:lineRule="auto"/>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开标地点公开开标。</w:t>
      </w:r>
    </w:p>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14:paraId="024B0397">
      <w:pPr>
        <w:widowControl/>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代理采购机构将拒绝在投标截止时间后递交的任何投标文件。</w:t>
      </w:r>
    </w:p>
    <w:p w14:paraId="61F25C02">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4.投标文件的修改、撤回与撤销</w:t>
      </w:r>
    </w:p>
    <w:p w14:paraId="071434E3">
      <w:pPr>
        <w:widowControl/>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 xml:space="preserve"> 4.1</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投标人在投标截止时间前，可以修改或撤回其投标文件。但必须在规定的投标截止时间之</w:t>
      </w:r>
    </w:p>
    <w:p w14:paraId="2670982A">
      <w:pPr>
        <w:widowControl/>
        <w:tabs>
          <w:tab w:val="left" w:pos="753"/>
        </w:tabs>
        <w:adjustRightInd w:val="0"/>
        <w:snapToGrid w:val="0"/>
        <w:spacing w:line="360" w:lineRule="auto"/>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前以书面通知到代理采购机构，该通知须有投标人法定代表人（负责人）或其授权代表签字。</w:t>
      </w:r>
    </w:p>
    <w:p w14:paraId="0EBBB927">
      <w:pPr>
        <w:widowControl/>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.2</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ab/>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投标人对投标文件修改的书面材料或撤销的通知应注明“修改投标文件”或“撤销</w:t>
      </w:r>
    </w:p>
    <w:p w14:paraId="342F31F5">
      <w:pPr>
        <w:widowControl/>
        <w:tabs>
          <w:tab w:val="left" w:pos="753"/>
        </w:tabs>
        <w:adjustRightInd w:val="0"/>
        <w:snapToGrid w:val="0"/>
        <w:spacing w:line="360" w:lineRule="auto"/>
        <w:ind w:left="751" w:leftChars="1" w:hanging="749" w:hangingChars="357"/>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投标”字样。</w:t>
      </w:r>
    </w:p>
    <w:p w14:paraId="7A3B9FBB">
      <w:pPr>
        <w:widowControl/>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.3</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ab/>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在投标截止时间之后，投标人不得对其投标文件做任何修改。</w:t>
      </w:r>
    </w:p>
    <w:p w14:paraId="20291D03">
      <w:pPr>
        <w:widowControl/>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ab/>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从投标截止时间至投标文件有效期期满之前，投标人不得撤回其投标文件，否则代理采购机</w:t>
      </w:r>
    </w:p>
    <w:p w14:paraId="48837277">
      <w:pPr>
        <w:widowControl/>
        <w:tabs>
          <w:tab w:val="left" w:pos="753"/>
        </w:tabs>
        <w:adjustRightInd w:val="0"/>
        <w:snapToGrid w:val="0"/>
        <w:spacing w:line="360" w:lineRule="auto"/>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构将按规定不予退还投标保证金。</w:t>
      </w:r>
    </w:p>
    <w:p w14:paraId="0C6AEA43">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5.</w:t>
      </w:r>
      <w:bookmarkStart w:id="44" w:name="_Toc341348332"/>
      <w:bookmarkStart w:id="45" w:name="_Toc374454594"/>
      <w:bookmarkStart w:id="46" w:name="_Toc331512892"/>
      <w:bookmarkStart w:id="47" w:name="_Toc365967067"/>
      <w:bookmarkStart w:id="48" w:name="_Toc332270340"/>
      <w:bookmarkStart w:id="49" w:name="_Toc340672863"/>
      <w:bookmarkStart w:id="50" w:name="_Toc339019883"/>
      <w:bookmarkStart w:id="51" w:name="_Toc497224221"/>
      <w:bookmarkStart w:id="52" w:name="_Toc333238627"/>
      <w:bookmarkStart w:id="53" w:name="_Toc342296754"/>
      <w:bookmarkStart w:id="54" w:name="_Toc336681929"/>
      <w:bookmarkStart w:id="55" w:name="_Toc339441081"/>
      <w:bookmarkStart w:id="56" w:name="_Toc333935681"/>
      <w:bookmarkStart w:id="57" w:name="_Toc340677064"/>
      <w:bookmarkStart w:id="58" w:name="_Toc503785423"/>
      <w:bookmarkStart w:id="59" w:name="_Toc339020089"/>
      <w:bookmarkStart w:id="60" w:name="_Toc365985173"/>
      <w:bookmarkStart w:id="61" w:name="_Toc333935340"/>
      <w:bookmarkStart w:id="62" w:name="_Toc366072522"/>
      <w:bookmarkStart w:id="63" w:name="_Toc350756444"/>
      <w:bookmarkStart w:id="64" w:name="_Toc339020009"/>
      <w:bookmarkStart w:id="65" w:name="_Toc349127620"/>
      <w:bookmarkStart w:id="66" w:name="_Toc349143583"/>
      <w:bookmarkStart w:id="67" w:name="_Toc342060368"/>
      <w:bookmarkStart w:id="68" w:name="_Toc332206702"/>
      <w:bookmarkStart w:id="69" w:name="_Toc337632352"/>
      <w:bookmarkStart w:id="70" w:name="_Toc350438743"/>
      <w:bookmarkStart w:id="71" w:name="_Toc340507436"/>
      <w:bookmarkStart w:id="72" w:name="_Toc333237671"/>
      <w:bookmarkStart w:id="73" w:name="_Toc331684032"/>
      <w:bookmarkStart w:id="74" w:name="_Toc17227"/>
      <w:bookmarkStart w:id="75" w:name="_Toc345513861"/>
      <w:bookmarkStart w:id="76" w:name="_Toc333237782"/>
      <w:bookmarkStart w:id="77" w:name="_Toc336681574"/>
      <w:bookmarkStart w:id="78" w:name="_Toc339020227"/>
      <w:bookmarkStart w:id="79" w:name="_Toc330459979"/>
      <w:bookmarkStart w:id="80" w:name="_Toc339362294"/>
      <w:r>
        <w:rPr>
          <w:rFonts w:hint="eastAsia" w:asciiTheme="minorEastAsia" w:hAnsiTheme="minorEastAsia" w:eastAsiaTheme="minorEastAsia" w:cstheme="minorEastAsia"/>
          <w:b/>
          <w:bCs w:val="0"/>
          <w:color w:val="000000" w:themeColor="text1"/>
          <w:sz w:val="21"/>
          <w:szCs w:val="21"/>
          <w:highlight w:val="none"/>
          <w:lang w:val="en-US" w:eastAsia="zh-Hans"/>
          <w14:textFill>
            <w14:solidFill>
              <w14:schemeClr w14:val="tx1"/>
            </w14:solidFill>
          </w14:textFill>
        </w:rPr>
        <w:t>开</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Pr>
          <w:rFonts w:hint="eastAsia" w:asciiTheme="minorEastAsia" w:hAnsiTheme="minorEastAsia" w:cstheme="minorEastAsia"/>
          <w:b/>
          <w:bCs w:val="0"/>
          <w:color w:val="000000" w:themeColor="text1"/>
          <w:sz w:val="21"/>
          <w:szCs w:val="21"/>
          <w:highlight w:val="none"/>
          <w:lang w:val="en-US" w:eastAsia="zh-CN"/>
          <w14:textFill>
            <w14:solidFill>
              <w14:schemeClr w14:val="tx1"/>
            </w14:solidFill>
          </w14:textFill>
        </w:rPr>
        <w:t>启</w:t>
      </w:r>
    </w:p>
    <w:p w14:paraId="03046E34">
      <w:pPr>
        <w:widowControl/>
        <w:tabs>
          <w:tab w:val="left" w:pos="753"/>
        </w:tabs>
        <w:adjustRightInd w:val="0"/>
        <w:snapToGrid w:val="0"/>
        <w:spacing w:line="360" w:lineRule="auto"/>
        <w:ind w:left="745" w:leftChars="199" w:hanging="327" w:hangingChars="156"/>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现场开启</w:t>
      </w:r>
      <w:r>
        <w:rPr>
          <w:rFonts w:hint="eastAsia" w:ascii="宋体" w:hAnsi="宋体"/>
          <w:bCs/>
          <w:color w:val="000000" w:themeColor="text1"/>
          <w:highlight w:val="none"/>
          <w14:textFill>
            <w14:solidFill>
              <w14:schemeClr w14:val="tx1"/>
            </w14:solidFill>
          </w14:textFill>
        </w:rPr>
        <w:t>。</w:t>
      </w:r>
    </w:p>
    <w:p w14:paraId="5E559A18">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6.投标保证金</w:t>
      </w:r>
    </w:p>
    <w:p w14:paraId="58BCD76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6.1投标保证金的缴纳</w:t>
      </w:r>
    </w:p>
    <w:p w14:paraId="209C074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投标人在提交投标文件时，应按投标人须知前附表规定的金额和缴纳要求缴纳投标保证金，并作为其投标文件的组成部分。</w:t>
      </w:r>
    </w:p>
    <w:p w14:paraId="2B6E318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如采用转账、支票、本票、汇票形式提交的，投标保证金从投标人基本账户递交，由</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代收。具体操作要求详见</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有关指引，递交事宜请自行咨询</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；请各投标人在投标文件递交截止时间前按须知前附表规定的金额递交至</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，到账情况以开标时</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查询的信息为准。</w:t>
      </w:r>
    </w:p>
    <w:p w14:paraId="7A32FF2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如采用金融机构、专业担保机构开具的投标担保函、投标保证保险函等形式提交投标保证金的，投标担保函或投标保证保险函须开具给采购人（保险受益人须为采购人），并与投标文件一同递交。</w:t>
      </w:r>
    </w:p>
    <w:p w14:paraId="5BF2702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电子保函与纸质保函具有同样效力。</w:t>
      </w:r>
    </w:p>
    <w:p w14:paraId="6CDAF4C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6.2投标保证金的退还：</w:t>
      </w:r>
    </w:p>
    <w:p w14:paraId="21688BB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（1）投标人在投标截止时间前放弃投标的，自所投采购包结果公告发出后5个工作日内退还。</w:t>
      </w:r>
    </w:p>
    <w:p w14:paraId="4146E7E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（2）未中标的投标人投标保证金，自中标通知书发出之日起5个工作日内退还。</w:t>
      </w:r>
    </w:p>
    <w:p w14:paraId="2FA68E3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（3）中标供应商的投标保证金，自政府采购合同签订之日起5个工作日内退还。</w:t>
      </w:r>
    </w:p>
    <w:p w14:paraId="7B30F2A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备注：但因投标人自身原因导致无法及时退还的除外。</w:t>
      </w:r>
    </w:p>
    <w:p w14:paraId="77A959B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6.3有下列情形之一的，投标保证金将不予退还：</w:t>
      </w:r>
    </w:p>
    <w:p w14:paraId="3A24125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（1）提供虚假材料谋取中标、成交的；</w:t>
      </w:r>
    </w:p>
    <w:p w14:paraId="328566C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（2）投标人在招标文件规定的投标有效期内撤销其投标；</w:t>
      </w:r>
    </w:p>
    <w:p w14:paraId="3F2DF08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（3）中标后，无正当理由放弃中标资格；</w:t>
      </w:r>
    </w:p>
    <w:p w14:paraId="7E2CDF4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（4）中标后，无正当理由不与采购人签订合同；</w:t>
      </w:r>
    </w:p>
    <w:p w14:paraId="0C08BF7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（5）法律法规和招标文件规定的其他情形。</w:t>
      </w:r>
    </w:p>
    <w:p w14:paraId="333463BD">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7.投标有效期</w:t>
      </w:r>
    </w:p>
    <w:p w14:paraId="062B61C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7.1投标有效期内投标人撤销投标文件的，采购人或者采购代理机构可以不退还投标保证金（如有）。采用投标保函方式替代保证金的，采购人或者采购代理机构可以向担保机构索赔保证金。</w:t>
      </w:r>
    </w:p>
    <w:p w14:paraId="19423A5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14:paraId="4237C63C">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8.样品（演示）</w:t>
      </w:r>
    </w:p>
    <w:p w14:paraId="33A8352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8.1招标文件规定投标人提交样品的，样品属于投标文件的组成部分。样品的生产、运输、安装、保全等一切费用由投标人自理。</w:t>
      </w:r>
    </w:p>
    <w:p w14:paraId="56C17A7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8.2投标截止时间前，投标人应将样品送达至指定地点。若需要现场演示的，投标人应提前做好演示准备（包括演示设备）。</w:t>
      </w:r>
    </w:p>
    <w:p w14:paraId="6F4701D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14:paraId="46A90EF3">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9.除招标文件另有规定外，有下列情形之一的，投标无效：</w:t>
      </w:r>
    </w:p>
    <w:p w14:paraId="4EFB9EE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9.1投标文件未按照招标文件要求签署、盖章；</w:t>
      </w:r>
    </w:p>
    <w:p w14:paraId="0CC0843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9.2不符合招标文件中规定的资格要求；</w:t>
      </w:r>
    </w:p>
    <w:p w14:paraId="4A6694A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9.3投标报价超过招标文件中规定的预算金额或最高限价；</w:t>
      </w:r>
    </w:p>
    <w:p w14:paraId="2EE474B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9.4投标文件含有采购人不能接受的附加条件；</w:t>
      </w:r>
    </w:p>
    <w:p w14:paraId="4BC4B4C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9.5有关法律、法规和规章及招标文件规定的其他无效情形。</w:t>
      </w:r>
    </w:p>
    <w:p w14:paraId="5A524C32">
      <w:pPr>
        <w:pStyle w:val="18"/>
        <w:keepNext w:val="0"/>
        <w:keepLines w:val="0"/>
        <w:pageBreakBefore w:val="0"/>
        <w:widowControl/>
        <w:kinsoku/>
        <w:wordWrap/>
        <w:overflowPunct/>
        <w:topLinePunct w:val="0"/>
        <w:autoSpaceDE/>
        <w:autoSpaceDN/>
        <w:bidi w:val="0"/>
        <w:adjustRightInd/>
        <w:snapToGrid/>
        <w:spacing w:line="360" w:lineRule="auto"/>
        <w:textAlignment w:val="auto"/>
        <w:outlineLvl w:val="1"/>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81" w:name="_Toc3192"/>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六、开标、评标和定标</w:t>
      </w:r>
      <w:bookmarkEnd w:id="81"/>
    </w:p>
    <w:p w14:paraId="161C8DFB">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1.开标</w:t>
      </w:r>
    </w:p>
    <w:p w14:paraId="45B23A5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b/>
          <w:bCs w:val="0"/>
          <w:color w:val="000000" w:themeColor="text1"/>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 开标程序</w:t>
      </w:r>
    </w:p>
    <w:p w14:paraId="4FA75EB4">
      <w:pPr>
        <w:widowControl/>
        <w:tabs>
          <w:tab w:val="left" w:pos="753"/>
        </w:tabs>
        <w:adjustRightInd w:val="0"/>
        <w:snapToGrid w:val="0"/>
        <w:spacing w:line="360" w:lineRule="auto"/>
        <w:ind w:left="745" w:leftChars="199" w:hanging="327" w:hangingChars="156"/>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w:t>
      </w:r>
    </w:p>
    <w:p w14:paraId="5FEDFD5D">
      <w:pPr>
        <w:widowControl/>
        <w:tabs>
          <w:tab w:val="left" w:pos="753"/>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代表均需按时参加开标会。参加开标的投标人代表应签名报到以证明其出席。</w:t>
      </w:r>
    </w:p>
    <w:p w14:paraId="22B988DD">
      <w:pPr>
        <w:widowControl/>
        <w:tabs>
          <w:tab w:val="left" w:pos="753"/>
        </w:tabs>
        <w:adjustRightInd w:val="0"/>
        <w:snapToGrid w:val="0"/>
        <w:spacing w:line="360" w:lineRule="auto"/>
        <w:ind w:left="745" w:leftChars="199" w:hanging="327" w:hangingChars="156"/>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w:t>
      </w:r>
    </w:p>
    <w:p w14:paraId="6C2A3F32">
      <w:pPr>
        <w:widowControl/>
        <w:tabs>
          <w:tab w:val="left" w:pos="753"/>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无误后，由工作人员当众拆封唱标。唱标主要内容为投标文件正本中的“开标一览表”的内容以及代理采购机构认为合适的其他内容。</w:t>
      </w:r>
    </w:p>
    <w:p w14:paraId="22797C57">
      <w:pPr>
        <w:widowControl/>
        <w:tabs>
          <w:tab w:val="left" w:pos="753"/>
        </w:tabs>
        <w:adjustRightInd w:val="0"/>
        <w:snapToGrid w:val="0"/>
        <w:spacing w:line="360" w:lineRule="auto"/>
        <w:ind w:left="745" w:leftChars="199" w:hanging="327" w:hangingChars="156"/>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在投标截止之前收到的所有投标文件，开标时都应当众拆封并宣读。在开标时没有当众拆封和</w:t>
      </w:r>
    </w:p>
    <w:p w14:paraId="09C920D4">
      <w:pPr>
        <w:widowControl/>
        <w:tabs>
          <w:tab w:val="left" w:pos="753"/>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宣读的投标文件在评标时将不予考虑。提交了可接受的“撤回”通知的投标文件将不予拆封。</w:t>
      </w:r>
    </w:p>
    <w:p w14:paraId="566D7CFB">
      <w:pPr>
        <w:widowControl/>
        <w:tabs>
          <w:tab w:val="left" w:pos="753"/>
        </w:tabs>
        <w:adjustRightInd w:val="0"/>
        <w:snapToGrid w:val="0"/>
        <w:spacing w:line="360" w:lineRule="auto"/>
        <w:ind w:left="745" w:leftChars="199" w:hanging="327" w:hangingChars="156"/>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14:paraId="2B650B2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1.2开标异议</w:t>
      </w:r>
    </w:p>
    <w:p w14:paraId="54D4B53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投标人代表对开标过程和开标记录有疑义，以及认为采购人、采购代理机构相关工作人员有需要回避的情形的，应当场提出询问或者回避申请。投标人未参加开标的，视同认可开标结果。</w:t>
      </w:r>
    </w:p>
    <w:p w14:paraId="03B1B2E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 投标截止时间后，投标人不足须知前附表中约定的有效供应商家数的，不得开标。同时，本次采购活动结束。</w:t>
      </w:r>
    </w:p>
    <w:p w14:paraId="55F9B84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1.4开标时出现下列情况的，视为投标无效处理：</w:t>
      </w:r>
    </w:p>
    <w:p w14:paraId="1797A0A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（1）经检查</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无效的；</w:t>
      </w:r>
    </w:p>
    <w:p w14:paraId="06C7488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（2）因投标人自身原因，未在规定时间内</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递交投标文件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0912D06">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2.评审（详见第四章）</w:t>
      </w:r>
    </w:p>
    <w:p w14:paraId="1E2F713F">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3.定标</w:t>
      </w:r>
    </w:p>
    <w:p w14:paraId="1EA8C93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3.1中标公告：</w:t>
      </w:r>
    </w:p>
    <w:p w14:paraId="3C484CD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中标供应商确定之日起2个工作日内， 采购代理机构将在</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公示媒体</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上以公告的形式发布中标结果，中标公告的公告期限为 1 个工作日。中标公告同时作为采购代理机构通知除中标供应商外的其他投标人没有中标的书面形式，采购代理机构不再以其它方式另行通知。</w:t>
      </w:r>
    </w:p>
    <w:p w14:paraId="63FFF66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3.2中标通知书：</w:t>
      </w:r>
    </w:p>
    <w:p w14:paraId="32FEC6F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中标通知书在发布中标公告时，</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同时发出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《中标通知书》，《中标通知书》将作为授予合同资格的唯一合法依据。中标通知书发出后，采购人不得违法改变中标结果，中标供应商不得放弃中标。中标供应商放弃中标的，应当依法承担相应的法律责任。</w:t>
      </w:r>
    </w:p>
    <w:p w14:paraId="0F31D75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3.3终止公告：</w:t>
      </w:r>
    </w:p>
    <w:p w14:paraId="1083F1E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项目废标后，采购代理机构将在</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公示媒体</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上发布终止公告，终止公告的公告期限为1个工作日。</w:t>
      </w:r>
    </w:p>
    <w:p w14:paraId="7691CEC5">
      <w:pPr>
        <w:pStyle w:val="18"/>
        <w:keepNext w:val="0"/>
        <w:keepLines w:val="0"/>
        <w:pageBreakBefore w:val="0"/>
        <w:widowControl/>
        <w:kinsoku/>
        <w:wordWrap/>
        <w:overflowPunct/>
        <w:topLinePunct w:val="0"/>
        <w:autoSpaceDE/>
        <w:autoSpaceDN/>
        <w:bidi w:val="0"/>
        <w:adjustRightInd/>
        <w:snapToGrid/>
        <w:spacing w:line="360" w:lineRule="auto"/>
        <w:textAlignment w:val="auto"/>
        <w:outlineLvl w:val="1"/>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82" w:name="_Toc30285"/>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七、询问、质疑与投诉</w:t>
      </w:r>
      <w:bookmarkEnd w:id="82"/>
    </w:p>
    <w:p w14:paraId="6586F6C9">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1.询问</w:t>
      </w:r>
    </w:p>
    <w:p w14:paraId="5171751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14:paraId="7D00F53D">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2.质疑</w:t>
      </w:r>
    </w:p>
    <w:p w14:paraId="2A9F525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14:paraId="3FE9E06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(1)对招标文件提出质疑的，为获取招标文件之日或者招标文件公告期限届满之日；</w:t>
      </w:r>
    </w:p>
    <w:p w14:paraId="4C3A485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(2)对采购过程提出质疑的，为各采购程序环节结束之日；</w:t>
      </w:r>
    </w:p>
    <w:p w14:paraId="1E3D9DD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(3)对中标结果提出质疑的，为中标结果公告期限届满之日。</w:t>
      </w:r>
    </w:p>
    <w:p w14:paraId="1C3C04C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2.2质疑函应当包括下列主要内容：</w:t>
      </w:r>
    </w:p>
    <w:p w14:paraId="75EE0AE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(1)质疑供应商和相关供应商的名称、地址、邮编、联系人及联系电话等；</w:t>
      </w:r>
    </w:p>
    <w:p w14:paraId="2C5B76A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(2)质疑项目名称及编号、具体明确的质疑事项和与质疑事项相关的请求；</w:t>
      </w:r>
    </w:p>
    <w:p w14:paraId="0D458D5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(3)认为采购文件、采购过程、中标和成交结果使自己的合法权益受到损害的法律依据、事实依据、相关证明材料及证据来源；</w:t>
      </w:r>
    </w:p>
    <w:p w14:paraId="1230042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(4)提出质疑的日期。</w:t>
      </w:r>
    </w:p>
    <w:p w14:paraId="30CA1F1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 质疑函应当署名。质疑供应商为自然人的，应当由本人签字；质疑供应商为法人或者其他组织的，应当由法定代表人、主要负责人，或者其授权代表签字或者盖章，并加盖公章。</w:t>
      </w:r>
    </w:p>
    <w:p w14:paraId="5FF2DFC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2.4以联合体形式参加政府采购活动的，其质疑应当由联合体成员委托主体提出。</w:t>
      </w:r>
    </w:p>
    <w:p w14:paraId="0334685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0F90B6F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2.6质疑联系方式如下：</w:t>
      </w:r>
    </w:p>
    <w:p w14:paraId="1D94DC8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质疑联系人：</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谢</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小姐</w:t>
      </w:r>
    </w:p>
    <w:p w14:paraId="70A2493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电话：</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0662-3167266</w:t>
      </w:r>
    </w:p>
    <w:p w14:paraId="3D5C5B2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传真：/</w:t>
      </w:r>
    </w:p>
    <w:p w14:paraId="7D6BDF4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邮箱：</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gdyxcg@126.com</w:t>
      </w:r>
    </w:p>
    <w:p w14:paraId="35180B8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地址：</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阳江市江城区猫山四街33号A座2楼</w:t>
      </w:r>
    </w:p>
    <w:p w14:paraId="2001644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邮编：</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529500</w:t>
      </w:r>
    </w:p>
    <w:p w14:paraId="27DB1FD0">
      <w:pPr>
        <w:pStyle w:val="18"/>
        <w:keepNext w:val="0"/>
        <w:keepLines w:val="0"/>
        <w:pageBreakBefore w:val="0"/>
        <w:widowControl/>
        <w:kinsoku/>
        <w:wordWrap/>
        <w:overflowPunct/>
        <w:topLinePunct w:val="0"/>
        <w:autoSpaceDE/>
        <w:autoSpaceDN/>
        <w:bidi w:val="0"/>
        <w:adjustRightInd/>
        <w:snapToGrid/>
        <w:spacing w:line="360" w:lineRule="auto"/>
        <w:textAlignment w:val="auto"/>
        <w:outlineLvl w:val="1"/>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83" w:name="_Toc3796"/>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八、合同签订和履行</w:t>
      </w:r>
      <w:bookmarkEnd w:id="83"/>
    </w:p>
    <w:p w14:paraId="78BC0CCD">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1.合同签订</w:t>
      </w:r>
    </w:p>
    <w:p w14:paraId="4709A11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1.1采购人应当自《中标通知书》发出之日起三十日内，按照招标文件和中标供应商投标文件的约定，与中标供应商签订合同。所签订的合同不得对招标文件和中标供应商投标文件作实质性修改。</w:t>
      </w:r>
    </w:p>
    <w:p w14:paraId="2DCFE98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1.2采购人不得提出试用合格等任何不合理的要求作为签订合同的条件，且不得与中标供应商私下订立背离合同实质性内容的协议。</w:t>
      </w:r>
    </w:p>
    <w:p w14:paraId="60898EA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1.3合同条款中应规定，乙方完全遵守《中华人民共和国民法典》有关规定和《中华人民共和国妇女权益保障法》中关于“劳动和社会保障权益”的有关要求。</w:t>
      </w:r>
    </w:p>
    <w:p w14:paraId="2477806D">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2.合同的履行</w:t>
      </w:r>
    </w:p>
    <w:p w14:paraId="694F73A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2.1政府采购合同订立后，合同各方不得擅自变更、中止或者终止合同。</w:t>
      </w:r>
    </w:p>
    <w:p w14:paraId="580C085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w:t>
      </w:r>
    </w:p>
    <w:p w14:paraId="535955B8">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14:paraId="7DA25B8F">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50B24A5D">
      <w:pPr>
        <w:pStyle w:val="18"/>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bookmarkStart w:id="84" w:name="_Toc22038"/>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第四章 评标</w:t>
      </w:r>
      <w:bookmarkEnd w:id="84"/>
    </w:p>
    <w:p w14:paraId="4D6611C0">
      <w:pPr>
        <w:pStyle w:val="18"/>
        <w:keepNext w:val="0"/>
        <w:keepLines w:val="0"/>
        <w:pageBreakBefore w:val="0"/>
        <w:widowControl/>
        <w:kinsoku/>
        <w:wordWrap/>
        <w:overflowPunct/>
        <w:topLinePunct w:val="0"/>
        <w:autoSpaceDE/>
        <w:autoSpaceDN/>
        <w:bidi w:val="0"/>
        <w:adjustRightInd/>
        <w:snapToGrid/>
        <w:spacing w:line="360" w:lineRule="auto"/>
        <w:textAlignment w:val="auto"/>
        <w:outlineLvl w:val="1"/>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85" w:name="_Toc21752"/>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一、评标要求</w:t>
      </w:r>
      <w:bookmarkEnd w:id="85"/>
    </w:p>
    <w:p w14:paraId="301AE487">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1.评标方法</w:t>
      </w:r>
    </w:p>
    <w:p w14:paraId="03D4712B">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color w:val="000000" w:themeColor="text1"/>
          <w:szCs w:val="21"/>
          <w:highlight w:val="none"/>
          <w:lang w:val="en-US" w:eastAsia="zh-CN"/>
          <w14:textFill>
            <w14:solidFill>
              <w14:schemeClr w14:val="tx1"/>
            </w14:solidFill>
          </w14:textFill>
        </w:rPr>
        <w:t>阳江市阳东区华南师范大学附属阳东小学食堂大宗食材配送服务采购项目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)：综合评分法,是指投标文件满足招标文件全部实质性要求，且按照评审因素的量化指标评审得分最高的投标人为中标候选人的评标方法。（最低报价不是中标的唯一依据。）</w:t>
      </w:r>
    </w:p>
    <w:p w14:paraId="6CCD39B4">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2.评标原则</w:t>
      </w:r>
    </w:p>
    <w:p w14:paraId="508BAF5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2.1评标活动遵循公平、公正、科学和择优的原则，以招标文件和投标文件为评标的基本依据，并按照招标文件规定的评标方法和评标标准进行评标。</w:t>
      </w:r>
    </w:p>
    <w:p w14:paraId="55B6C3C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2.2具体评标事项由评标委员会负责，并按招标文件的规定办法进行评审。</w:t>
      </w:r>
    </w:p>
    <w:p w14:paraId="3508884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2.3合格投标人不足须知前附表中约定的有效供应商家数的，不得评标。</w:t>
      </w:r>
    </w:p>
    <w:p w14:paraId="7A9723C6">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3.评标委员会</w:t>
      </w:r>
    </w:p>
    <w:p w14:paraId="3FB024D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3.1评标委员会</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参考政府采购相关法规</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组成，成员人数应当为5人及以上单数，其中评审专家不得少于成员总数的三分之二。</w:t>
      </w:r>
    </w:p>
    <w:p w14:paraId="41FCA6D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3.2评标应遵守下列评标纪律：</w:t>
      </w:r>
    </w:p>
    <w:p w14:paraId="7F34939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（1）评标情况不得私自外泄，有关信息由</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统一对外发布。</w:t>
      </w:r>
    </w:p>
    <w:p w14:paraId="2B382AB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（2）对</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或投标人提供的要求保密的资料，不得摘记翻印和外传。</w:t>
      </w:r>
    </w:p>
    <w:p w14:paraId="4261691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（3）不得收受投标供应商或有关人员的任何礼物，不得串联鼓动其他人袒护某投标人。若与投标人存在利害关系，则应主动声明并回避。</w:t>
      </w:r>
    </w:p>
    <w:p w14:paraId="7B56967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（4）全体评委应按照招标文件规定进行评标，一切认定事项应查有实据且不得弄虚作假。</w:t>
      </w:r>
    </w:p>
    <w:p w14:paraId="723F57C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（5）评标委员会各成员应当独立对每个投标人的投标文件进行评价，并对评价意见承担个人责任。评审过程中，不得发表倾向性言论。</w:t>
      </w:r>
    </w:p>
    <w:p w14:paraId="20526E2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※对违反评标纪律的评委，将取消其评委资格，对评标工作造成严重损失者将予以通报批评乃至追究法律责任。</w:t>
      </w:r>
    </w:p>
    <w:p w14:paraId="3BADEDC7">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4.有下列情形之一的，视为投标人串通投标，其投标无效；</w:t>
      </w:r>
    </w:p>
    <w:p w14:paraId="365E45C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4.1不同投标人的投标文件由同一单位或者个人编制；</w:t>
      </w:r>
    </w:p>
    <w:p w14:paraId="664779C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4.2不同投标人委托同一单位或者个人办理投标事宜；</w:t>
      </w:r>
    </w:p>
    <w:p w14:paraId="025A02A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4.3不同投标人的投标文件载明的项目管理成员或者联系人员为同一人；</w:t>
      </w:r>
    </w:p>
    <w:p w14:paraId="4FA85CC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4.4不同投标人的投标文件异常一致或者投标报价呈规律性差异；</w:t>
      </w:r>
    </w:p>
    <w:p w14:paraId="7622C78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4.5不同投标人的投标文件相互混装；</w:t>
      </w:r>
    </w:p>
    <w:p w14:paraId="0CA0A1B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4.6不同投标人的投标保证金或购买电子保函支付款为从同一单位或个人的账户转出；</w:t>
      </w:r>
    </w:p>
    <w:p w14:paraId="01FD8D7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4.7投标人的投标文件加盖该项目的其他投标人的</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公章</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p>
    <w:p w14:paraId="287D7AD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说明：在评标过程中发现投标人有上述情形的，评标委员会应当认定其投标无效。同时，项目评审时被认定为串通投标的投标人不得参加该合同项下的采购活动。</w:t>
      </w:r>
    </w:p>
    <w:p w14:paraId="5280A8B7">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5.投标无效的情形</w:t>
      </w:r>
    </w:p>
    <w:p w14:paraId="268A728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详见资格性审查、符合性审查和招标文件其他投标无效条款。</w:t>
      </w:r>
    </w:p>
    <w:p w14:paraId="0896760F">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6.定标</w:t>
      </w:r>
    </w:p>
    <w:p w14:paraId="0499ADF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评标委员会按照招标文件确定的评标方法、步骤、标准，对投标文件进行评审。评标结束后，对投标人的评审名次进行排序，确定中标供应商或者推荐中标候选人。</w:t>
      </w:r>
    </w:p>
    <w:p w14:paraId="632D8517">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7.价格修正</w:t>
      </w:r>
    </w:p>
    <w:p w14:paraId="6055094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对报价的计算错误按以下原则修正：</w:t>
      </w:r>
    </w:p>
    <w:p w14:paraId="514920D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（1）投标文件中开标一览表内容与投标文件中相应内容不一致的，以开标一览表为准；</w:t>
      </w:r>
    </w:p>
    <w:p w14:paraId="4BDBE32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（2）大写金额和小写金额不一致的，以大写金额为准；</w:t>
      </w:r>
    </w:p>
    <w:p w14:paraId="1A09873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（3）单价金额小数点或者百分比有明显错位的，以开标一览表的总价为准，并修改单价。</w:t>
      </w:r>
    </w:p>
    <w:p w14:paraId="3ADFD32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（4）总价金额与按单价汇总金额不一致的，以单价金额计算结果为准。但是单价金额计算结果超过预算价的，对其按无效投标处理。</w:t>
      </w:r>
    </w:p>
    <w:p w14:paraId="06E15D3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注：同时出现两种以上不一致的，按照前款规定的顺序在系统上进行价格澄清。澄清后的价格加盖</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公章</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确认后产生约束力，但不得超出投标文件的范围或者改变投标文件的实质性内容，投标人不确认的，其投标无效。</w:t>
      </w:r>
    </w:p>
    <w:p w14:paraId="6BFAB384">
      <w:pPr>
        <w:pStyle w:val="18"/>
        <w:keepNext w:val="0"/>
        <w:keepLines w:val="0"/>
        <w:pageBreakBefore w:val="0"/>
        <w:widowControl/>
        <w:kinsoku/>
        <w:wordWrap/>
        <w:overflowPunct/>
        <w:topLinePunct w:val="0"/>
        <w:autoSpaceDE/>
        <w:autoSpaceDN/>
        <w:bidi w:val="0"/>
        <w:adjustRightInd/>
        <w:snapToGrid/>
        <w:spacing w:line="360" w:lineRule="auto"/>
        <w:textAlignment w:val="auto"/>
        <w:outlineLvl w:val="1"/>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86" w:name="_Toc1227"/>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二</w:t>
      </w:r>
      <w:r>
        <w:rPr>
          <w:rFonts w:hint="eastAsia" w:asciiTheme="minorEastAsia" w:hAnsiTheme="minorEastAsia" w:cstheme="minorEastAsia"/>
          <w:b/>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政府采购政策落实</w:t>
      </w:r>
      <w:bookmarkEnd w:id="86"/>
    </w:p>
    <w:p w14:paraId="7690B820">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1.节能、环保要求</w:t>
      </w:r>
    </w:p>
    <w:p w14:paraId="3C1723D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14:paraId="0EE4310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相关认证机构和获证产品信息以市场监管总局组织建立的节能产品、环境标志产品认证结果信息发布平台公布为准。</w:t>
      </w:r>
    </w:p>
    <w:p w14:paraId="0B6D76A3">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2.对符合本国产品标准的产品给予价格扣除</w:t>
      </w:r>
    </w:p>
    <w:p w14:paraId="39F14CB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14:paraId="0B0F6C48">
      <w:pPr>
        <w:pStyle w:val="18"/>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本国产品标准的适用范围</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D64B4E5">
      <w:pPr>
        <w:pStyle w:val="18"/>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准确界定产品在中国境内生产</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45C0A936">
      <w:pPr>
        <w:pStyle w:val="18"/>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对本国产品的支持政策</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。政府采购活动中既有本国产品又有非本国产品参与竞争的，依法对本国产品给予价格评审优惠，对本国产品的报价给予20%的价格扣除，用扣除后的价格参与评审。</w:t>
      </w:r>
    </w:p>
    <w:p w14:paraId="4A5D6E68">
      <w:pPr>
        <w:pStyle w:val="18"/>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362F3B3">
      <w:pPr>
        <w:pStyle w:val="18"/>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认真审查有关证明文件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2293B04E">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3.对小型、微型企业、监狱企业或残疾人福利性单位给予价格扣除</w:t>
      </w:r>
    </w:p>
    <w:p w14:paraId="17F1254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14:paraId="1FCD20F7">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4.价格扣除相关要求</w:t>
      </w:r>
    </w:p>
    <w:p w14:paraId="4301602F">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采购包1(阳江市阳东区华南师范大学附属阳东小学食堂大宗食材配送服务采购项目)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bl>
      <w:tblPr>
        <w:tblStyle w:val="15"/>
        <w:tblW w:w="964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0"/>
        <w:gridCol w:w="1421"/>
        <w:gridCol w:w="1935"/>
        <w:gridCol w:w="859"/>
        <w:gridCol w:w="4706"/>
      </w:tblGrid>
      <w:tr w14:paraId="437303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9" w:hRule="atLeast"/>
          <w:jc w:val="center"/>
        </w:trPr>
        <w:tc>
          <w:tcPr>
            <w:tcW w:w="720" w:type="dxa"/>
            <w:vAlign w:val="center"/>
          </w:tcPr>
          <w:p w14:paraId="7B31CB20">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421" w:type="dxa"/>
            <w:vAlign w:val="center"/>
          </w:tcPr>
          <w:p w14:paraId="4F3C482E">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情形</w:t>
            </w:r>
          </w:p>
        </w:tc>
        <w:tc>
          <w:tcPr>
            <w:tcW w:w="1935" w:type="dxa"/>
            <w:vAlign w:val="center"/>
          </w:tcPr>
          <w:p w14:paraId="120C9FF2">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适用对象</w:t>
            </w:r>
          </w:p>
        </w:tc>
        <w:tc>
          <w:tcPr>
            <w:tcW w:w="859" w:type="dxa"/>
            <w:vAlign w:val="center"/>
          </w:tcPr>
          <w:p w14:paraId="50B3F226">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价格扣除比例</w:t>
            </w:r>
          </w:p>
        </w:tc>
        <w:tc>
          <w:tcPr>
            <w:tcW w:w="4706" w:type="dxa"/>
            <w:vAlign w:val="center"/>
          </w:tcPr>
          <w:p w14:paraId="59E5265A">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计算公式</w:t>
            </w:r>
          </w:p>
        </w:tc>
      </w:tr>
      <w:tr w14:paraId="23435F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0" w:type="dxa"/>
            <w:vAlign w:val="center"/>
          </w:tcPr>
          <w:p w14:paraId="04AAF075">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421" w:type="dxa"/>
            <w:vAlign w:val="top"/>
          </w:tcPr>
          <w:p w14:paraId="53B4FECF">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小型、微型企业，监狱企业，残疾人福利性单位</w:t>
            </w:r>
          </w:p>
        </w:tc>
        <w:tc>
          <w:tcPr>
            <w:tcW w:w="1935" w:type="dxa"/>
            <w:vAlign w:val="top"/>
          </w:tcPr>
          <w:p w14:paraId="058CB883">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服务由小微企业承接</w:t>
            </w:r>
          </w:p>
        </w:tc>
        <w:tc>
          <w:tcPr>
            <w:tcW w:w="859" w:type="dxa"/>
            <w:vAlign w:val="top"/>
          </w:tcPr>
          <w:p w14:paraId="53E0D43D">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4706" w:type="dxa"/>
            <w:vAlign w:val="top"/>
          </w:tcPr>
          <w:p w14:paraId="78278CB3">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由小微企业承接，即提供服务的人员为小微企业依照《中华人民共和国劳动合同法》订立劳动合同的从业人员时，给予价格扣除C1，即：评标价=投标报价×（1-C1）;监狱企业与残疾人福利性单位视同小型、微型企业，享受同等价格扣除，当企业属性重复时，不重复价格扣除。</w:t>
            </w:r>
          </w:p>
        </w:tc>
      </w:tr>
      <w:tr w14:paraId="3D10F5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0" w:type="dxa"/>
            <w:shd w:val="clear" w:color="auto" w:fill="auto"/>
            <w:vAlign w:val="center"/>
          </w:tcPr>
          <w:p w14:paraId="091E704A">
            <w:pPr>
              <w:pStyle w:val="18"/>
              <w:jc w:val="center"/>
              <w:rPr>
                <w:rFonts w:hint="eastAsia" w:ascii="宋体" w:hAnsi="宋体" w:eastAsia="宋体" w:cs="宋体"/>
                <w:color w:val="000000" w:themeColor="text1"/>
                <w:highlight w:val="none"/>
                <w:lang w:val="en-US" w:eastAsia="zh-Hans"/>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1421" w:type="dxa"/>
            <w:shd w:val="clear" w:color="auto" w:fill="auto"/>
            <w:vAlign w:val="center"/>
          </w:tcPr>
          <w:p w14:paraId="4A30B27B">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小型、微型企业，监狱企业，残疾人福利性单位</w:t>
            </w:r>
          </w:p>
        </w:tc>
        <w:tc>
          <w:tcPr>
            <w:tcW w:w="1935" w:type="dxa"/>
            <w:shd w:val="clear" w:color="auto" w:fill="auto"/>
            <w:vAlign w:val="center"/>
          </w:tcPr>
          <w:p w14:paraId="4CFB3889">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投标（响应）供应商为大中型企业与小微企业组成联合体或者大中型企业向一家或者多家小微企业分包的，对于联合体协议或者分包意向协议约定小微企业的合同份额占到合同总金额30%以上</w:t>
            </w:r>
          </w:p>
        </w:tc>
        <w:tc>
          <w:tcPr>
            <w:tcW w:w="859" w:type="dxa"/>
            <w:shd w:val="clear" w:color="auto" w:fill="auto"/>
            <w:vAlign w:val="center"/>
          </w:tcPr>
          <w:p w14:paraId="0D7CB30E">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4706" w:type="dxa"/>
            <w:shd w:val="clear" w:color="auto" w:fill="auto"/>
            <w:vAlign w:val="center"/>
          </w:tcPr>
          <w:p w14:paraId="5339E74F">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大中型企业与小微企业组成联合体或者允许大中型企业向一家或者多家小微企业分包的采购项目，对于联合协议或者分包意向协议约定小微企业的合同份额占到合同总金额 30%以上的，报价给予价格扣除C1，即：评标价=投标报价×（1-C1）;监狱企业与残疾人福利性单位视同小型、微型企业，享受同等价格扣除，当企业属性重复时，不重复价格扣除。</w:t>
            </w:r>
          </w:p>
        </w:tc>
      </w:tr>
      <w:tr w14:paraId="31D9BE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641" w:type="dxa"/>
            <w:gridSpan w:val="5"/>
            <w:vAlign w:val="center"/>
          </w:tcPr>
          <w:p w14:paraId="13BCDFB3">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注：（1）上述评标价仅用于计算价格分，成交金额以实际投标价为准。 （2）组成联合体的大中型企业和其他自然人、法人或者其他组织、与小型、微型企业之间不得存在投资关系。</w:t>
            </w:r>
          </w:p>
        </w:tc>
      </w:tr>
    </w:tbl>
    <w:p w14:paraId="06C269D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C77A32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AA1178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（1）所称小型和微型企业应当符合以下条件：</w:t>
      </w:r>
    </w:p>
    <w:p w14:paraId="271599C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在中华人民共和国境内依法设立，依据国务院批准的中小企业划分标准确定的小型企业和微型企业，但与大企业的负责人为同一人，或者与大企业存在直接控股、管理关系的除外。</w:t>
      </w:r>
    </w:p>
    <w:p w14:paraId="2AF6BF3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符合中小企业划分标准的个体工商户，在政府采购活动中视同中小企业。</w:t>
      </w:r>
    </w:p>
    <w:p w14:paraId="6684A5A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提供本企业（属于小微企业）制造的货物或者提供其他小型或微型企业制造的货物/提供本企业（属于小微企业）承接的服务。</w:t>
      </w:r>
    </w:p>
    <w:p w14:paraId="0485FF0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14:paraId="7FE5EEE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说明：投标人应当对其出具的《中小企业声明函》真实性负责，投标人出具的《中小企业声明函》内容不实的，属于提供虚假材料谋取中标。</w:t>
      </w:r>
    </w:p>
    <w:p w14:paraId="24CCBA2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14:paraId="2987A403">
      <w:pPr>
        <w:pStyle w:val="18"/>
        <w:keepNext w:val="0"/>
        <w:keepLines w:val="0"/>
        <w:pageBreakBefore w:val="0"/>
        <w:widowControl/>
        <w:kinsoku/>
        <w:wordWrap/>
        <w:overflowPunct/>
        <w:topLinePunct w:val="0"/>
        <w:autoSpaceDE/>
        <w:autoSpaceDN/>
        <w:bidi w:val="0"/>
        <w:adjustRightInd/>
        <w:snapToGrid/>
        <w:spacing w:line="360" w:lineRule="auto"/>
        <w:textAlignment w:val="auto"/>
        <w:outlineLvl w:val="1"/>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87" w:name="_Toc12443"/>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三、评审程序</w:t>
      </w:r>
      <w:bookmarkEnd w:id="87"/>
    </w:p>
    <w:p w14:paraId="324B6256">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1.资格性审查和符合性审查</w:t>
      </w:r>
    </w:p>
    <w:p w14:paraId="54D59BE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资格性审查。公开招标采购项目开标结束后，采购人或采购代理机构应当依法对投标人的资格进行审查，以确定投标人是否具备投标资格。（详见后附表一资格性审查表）</w:t>
      </w:r>
    </w:p>
    <w:p w14:paraId="3DF466D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符合性审查。评标委员会依据招标文件的规定，从投标文件的有效性、完整性和对招标文件的响应程度进行审查，以确定是否对招标文件的实质性要求作出响应。（详见后附表二符合性审查表）</w:t>
      </w:r>
    </w:p>
    <w:p w14:paraId="383BA52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资格性审查和符合性审查中凡有其中任意一项未通过的，评审结果为未通过，未通过资格性审查、符合性审查的投标人按无效投标处理。</w:t>
      </w:r>
    </w:p>
    <w:p w14:paraId="553A4FC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对各投标人进行资格审查和符合性审查过程中，对初步被认定为无效投标者，由评标委员会组长或采购人代表将集体意见及时告知投标当事人。</w:t>
      </w:r>
    </w:p>
    <w:p w14:paraId="2294308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E6F604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合格投标人不足3家的，不得评标。</w:t>
      </w:r>
    </w:p>
    <w:p w14:paraId="52A0DEDD">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表一资格性审查表：</w:t>
      </w:r>
    </w:p>
    <w:p w14:paraId="698FFBE5">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采购包1(阳江市阳东区华南师范大学附属阳东小学食堂大宗食材配送服务采购项目)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bl>
      <w:tblPr>
        <w:tblStyle w:val="15"/>
        <w:tblW w:w="9509"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8"/>
        <w:gridCol w:w="2356"/>
        <w:gridCol w:w="6475"/>
      </w:tblGrid>
      <w:tr w14:paraId="772D83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6" w:hRule="atLeast"/>
          <w:jc w:val="center"/>
        </w:trPr>
        <w:tc>
          <w:tcPr>
            <w:tcW w:w="678" w:type="dxa"/>
            <w:vAlign w:val="center"/>
          </w:tcPr>
          <w:p w14:paraId="0B5FB8B0">
            <w:pPr>
              <w:pStyle w:val="18"/>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8831" w:type="dxa"/>
            <w:gridSpan w:val="2"/>
            <w:vAlign w:val="center"/>
          </w:tcPr>
          <w:p w14:paraId="7D81274E">
            <w:pPr>
              <w:pStyle w:val="18"/>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资格审查内容</w:t>
            </w:r>
          </w:p>
        </w:tc>
      </w:tr>
      <w:tr w14:paraId="62A282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78" w:type="dxa"/>
            <w:vAlign w:val="center"/>
          </w:tcPr>
          <w:p w14:paraId="11009C0C">
            <w:pPr>
              <w:pStyle w:val="18"/>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2356" w:type="dxa"/>
            <w:vAlign w:val="center"/>
          </w:tcPr>
          <w:p w14:paraId="4A4B94E8">
            <w:pPr>
              <w:pStyle w:val="18"/>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具有独立承担民事责任的能力</w:t>
            </w:r>
          </w:p>
        </w:tc>
        <w:tc>
          <w:tcPr>
            <w:tcW w:w="6475" w:type="dxa"/>
            <w:vAlign w:val="top"/>
          </w:tcPr>
          <w:p w14:paraId="612E80EC">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14:paraId="685EFE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78" w:type="dxa"/>
            <w:vAlign w:val="center"/>
          </w:tcPr>
          <w:p w14:paraId="4F18955E">
            <w:pPr>
              <w:pStyle w:val="18"/>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2356" w:type="dxa"/>
            <w:vAlign w:val="center"/>
          </w:tcPr>
          <w:p w14:paraId="6F0E634F">
            <w:pPr>
              <w:pStyle w:val="18"/>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有依法缴纳税收和社会保障资金的良好记录</w:t>
            </w:r>
          </w:p>
        </w:tc>
        <w:tc>
          <w:tcPr>
            <w:tcW w:w="6475" w:type="dxa"/>
            <w:vAlign w:val="top"/>
          </w:tcPr>
          <w:p w14:paraId="7CF795F7">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提供投标截止日前6个月内任意1个月依法缴纳税收和社会保障资金的相关材料或出具《承诺函》。如依法免税或不需要缴纳社会保障资金的，提供相应证明材料。</w:t>
            </w:r>
          </w:p>
        </w:tc>
      </w:tr>
      <w:tr w14:paraId="1D639F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78" w:type="dxa"/>
            <w:vAlign w:val="center"/>
          </w:tcPr>
          <w:p w14:paraId="6B114EC4">
            <w:pPr>
              <w:pStyle w:val="18"/>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2356" w:type="dxa"/>
            <w:vAlign w:val="center"/>
          </w:tcPr>
          <w:p w14:paraId="4D0A1858">
            <w:pPr>
              <w:pStyle w:val="18"/>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具有良好的商业信誉和健全的财务会计制度</w:t>
            </w:r>
          </w:p>
        </w:tc>
        <w:tc>
          <w:tcPr>
            <w:tcW w:w="6475" w:type="dxa"/>
            <w:vAlign w:val="top"/>
          </w:tcPr>
          <w:p w14:paraId="22414772">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投标人必须具有良好的商业信誉和健全的财务会计制度（提供202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年度财务状况报告或202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年至今任意一个月的财务报表或基本开户行出具的资信证明或出具《承诺函》）。</w:t>
            </w:r>
          </w:p>
        </w:tc>
      </w:tr>
      <w:tr w14:paraId="05EB48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78" w:type="dxa"/>
            <w:vAlign w:val="center"/>
          </w:tcPr>
          <w:p w14:paraId="1EEF0D3F">
            <w:pPr>
              <w:pStyle w:val="18"/>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2356" w:type="dxa"/>
            <w:vAlign w:val="center"/>
          </w:tcPr>
          <w:p w14:paraId="4E027860">
            <w:pPr>
              <w:pStyle w:val="18"/>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履行合同所必需的设备和专业技术能力</w:t>
            </w:r>
          </w:p>
        </w:tc>
        <w:tc>
          <w:tcPr>
            <w:tcW w:w="6475" w:type="dxa"/>
            <w:vAlign w:val="top"/>
          </w:tcPr>
          <w:p w14:paraId="5F483BF9">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提供</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设备及专业技术能力情况或出具《承诺函》。</w:t>
            </w:r>
          </w:p>
        </w:tc>
      </w:tr>
      <w:tr w14:paraId="06CCF8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78" w:type="dxa"/>
            <w:vAlign w:val="center"/>
          </w:tcPr>
          <w:p w14:paraId="4065FDB1">
            <w:pPr>
              <w:pStyle w:val="18"/>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p>
        </w:tc>
        <w:tc>
          <w:tcPr>
            <w:tcW w:w="2356" w:type="dxa"/>
            <w:vAlign w:val="center"/>
          </w:tcPr>
          <w:p w14:paraId="2714BA69">
            <w:pPr>
              <w:pStyle w:val="18"/>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参加采购活动前3年内，在经营活动中没有重大违法记录</w:t>
            </w:r>
          </w:p>
        </w:tc>
        <w:tc>
          <w:tcPr>
            <w:tcW w:w="6475" w:type="dxa"/>
            <w:vAlign w:val="top"/>
          </w:tcPr>
          <w:p w14:paraId="0AE770C6">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提供</w:t>
            </w:r>
            <w:r>
              <w:rPr>
                <w:rFonts w:ascii="宋体" w:hAnsi="宋体"/>
                <w:color w:val="000000" w:themeColor="text1"/>
                <w:sz w:val="21"/>
                <w:szCs w:val="21"/>
                <w:highlight w:val="none"/>
                <w14:textFill>
                  <w14:solidFill>
                    <w14:schemeClr w14:val="tx1"/>
                  </w14:solidFill>
                </w14:textFill>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11E3BC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78" w:type="dxa"/>
            <w:vAlign w:val="center"/>
          </w:tcPr>
          <w:p w14:paraId="18CDF0B2">
            <w:pPr>
              <w:pStyle w:val="18"/>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w:t>
            </w:r>
          </w:p>
        </w:tc>
        <w:tc>
          <w:tcPr>
            <w:tcW w:w="2356" w:type="dxa"/>
            <w:vAlign w:val="center"/>
          </w:tcPr>
          <w:p w14:paraId="7F80A966">
            <w:pPr>
              <w:pStyle w:val="18"/>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信用记录</w:t>
            </w:r>
          </w:p>
        </w:tc>
        <w:tc>
          <w:tcPr>
            <w:tcW w:w="6475" w:type="dxa"/>
            <w:vAlign w:val="top"/>
          </w:tcPr>
          <w:p w14:paraId="08330114">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14:paraId="3F854E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13" w:hRule="atLeast"/>
          <w:jc w:val="center"/>
        </w:trPr>
        <w:tc>
          <w:tcPr>
            <w:tcW w:w="678" w:type="dxa"/>
            <w:vAlign w:val="center"/>
          </w:tcPr>
          <w:p w14:paraId="0367624D">
            <w:pPr>
              <w:pStyle w:val="18"/>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w:t>
            </w:r>
          </w:p>
        </w:tc>
        <w:tc>
          <w:tcPr>
            <w:tcW w:w="2356" w:type="dxa"/>
            <w:vAlign w:val="center"/>
          </w:tcPr>
          <w:p w14:paraId="63095433">
            <w:pPr>
              <w:pStyle w:val="18"/>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供应商必须符合法律、行政法规规定的其他条件</w:t>
            </w:r>
          </w:p>
        </w:tc>
        <w:tc>
          <w:tcPr>
            <w:tcW w:w="6475" w:type="dxa"/>
            <w:vAlign w:val="top"/>
          </w:tcPr>
          <w:p w14:paraId="780A899B">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tc>
      </w:tr>
      <w:tr w14:paraId="175042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78" w:type="dxa"/>
            <w:vAlign w:val="center"/>
          </w:tcPr>
          <w:p w14:paraId="782037C8">
            <w:pPr>
              <w:pStyle w:val="18"/>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w:t>
            </w:r>
          </w:p>
        </w:tc>
        <w:tc>
          <w:tcPr>
            <w:tcW w:w="2356" w:type="dxa"/>
            <w:vAlign w:val="center"/>
          </w:tcPr>
          <w:p w14:paraId="214B283A">
            <w:pPr>
              <w:pStyle w:val="18"/>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特定资格要求</w:t>
            </w:r>
          </w:p>
        </w:tc>
        <w:tc>
          <w:tcPr>
            <w:tcW w:w="6475" w:type="dxa"/>
            <w:vAlign w:val="top"/>
          </w:tcPr>
          <w:p w14:paraId="03025C77">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投标</w:t>
            </w:r>
            <w:r>
              <w:rPr>
                <w:rFonts w:hint="eastAsia" w:ascii="宋体" w:hAnsi="宋体"/>
                <w:color w:val="000000" w:themeColor="text1"/>
                <w:sz w:val="21"/>
                <w:szCs w:val="21"/>
                <w:highlight w:val="none"/>
                <w:lang w:eastAsia="zh-CN"/>
                <w14:textFill>
                  <w14:solidFill>
                    <w14:schemeClr w14:val="tx1"/>
                  </w14:solidFill>
                </w14:textFill>
              </w:rPr>
              <w:t>人</w:t>
            </w:r>
            <w:r>
              <w:rPr>
                <w:rFonts w:hint="eastAsia" w:ascii="宋体" w:hAnsi="宋体"/>
                <w:color w:val="000000" w:themeColor="text1"/>
                <w:sz w:val="21"/>
                <w:szCs w:val="21"/>
                <w:highlight w:val="none"/>
                <w14:textFill>
                  <w14:solidFill>
                    <w14:schemeClr w14:val="tx1"/>
                  </w14:solidFill>
                </w14:textFill>
              </w:rPr>
              <w:t>须具有在有效期内的《食品经营许可证》，提供复印件加盖投标</w:t>
            </w:r>
            <w:r>
              <w:rPr>
                <w:rFonts w:hint="eastAsia" w:ascii="宋体" w:hAnsi="宋体"/>
                <w:color w:val="000000" w:themeColor="text1"/>
                <w:sz w:val="21"/>
                <w:szCs w:val="21"/>
                <w:highlight w:val="none"/>
                <w:lang w:eastAsia="zh-CN"/>
                <w14:textFill>
                  <w14:solidFill>
                    <w14:schemeClr w14:val="tx1"/>
                  </w14:solidFill>
                </w14:textFill>
              </w:rPr>
              <w:t>人</w:t>
            </w:r>
            <w:r>
              <w:rPr>
                <w:rFonts w:hint="eastAsia" w:ascii="宋体" w:hAnsi="宋体"/>
                <w:color w:val="000000" w:themeColor="text1"/>
                <w:sz w:val="21"/>
                <w:szCs w:val="21"/>
                <w:highlight w:val="none"/>
                <w14:textFill>
                  <w14:solidFill>
                    <w14:schemeClr w14:val="tx1"/>
                  </w14:solidFill>
                </w14:textFill>
              </w:rPr>
              <w:t>公章；</w:t>
            </w:r>
          </w:p>
        </w:tc>
      </w:tr>
      <w:tr w14:paraId="7D2013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78" w:type="dxa"/>
            <w:vAlign w:val="center"/>
          </w:tcPr>
          <w:p w14:paraId="65702283">
            <w:pPr>
              <w:pStyle w:val="18"/>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9</w:t>
            </w:r>
          </w:p>
        </w:tc>
        <w:tc>
          <w:tcPr>
            <w:tcW w:w="2356" w:type="dxa"/>
            <w:vAlign w:val="center"/>
          </w:tcPr>
          <w:p w14:paraId="539E701B">
            <w:pPr>
              <w:keepNext w:val="0"/>
              <w:keepLines w:val="0"/>
              <w:pageBreakBefore w:val="0"/>
              <w:kinsoku/>
              <w:wordWrap/>
              <w:overflowPunct/>
              <w:topLinePunct w:val="0"/>
              <w:autoSpaceDE/>
              <w:autoSpaceDN/>
              <w:bidi w:val="0"/>
              <w:adjustRightInd/>
              <w:snapToGrid/>
              <w:spacing w:line="320" w:lineRule="exact"/>
              <w:jc w:val="both"/>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特定资格要求</w:t>
            </w:r>
          </w:p>
        </w:tc>
        <w:tc>
          <w:tcPr>
            <w:tcW w:w="6475" w:type="dxa"/>
            <w:vAlign w:val="top"/>
          </w:tcPr>
          <w:p w14:paraId="221EE513">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经营场所、仓库距离粪坑、污水池、暴露垃圾场（站）、旱厕等污染源25米以上，不得设置在粉尘、有害气体、放射性物质和其他扩散性污染源的影响范围之内。（提供承诺函，格式自拟）</w:t>
            </w:r>
          </w:p>
        </w:tc>
      </w:tr>
      <w:tr w14:paraId="3C1787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78" w:type="dxa"/>
            <w:vAlign w:val="center"/>
          </w:tcPr>
          <w:p w14:paraId="0FEA17C3">
            <w:pPr>
              <w:pStyle w:val="18"/>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10</w:t>
            </w:r>
          </w:p>
        </w:tc>
        <w:tc>
          <w:tcPr>
            <w:tcW w:w="2356" w:type="dxa"/>
            <w:vAlign w:val="center"/>
          </w:tcPr>
          <w:p w14:paraId="5B10D0AD">
            <w:pPr>
              <w:keepNext w:val="0"/>
              <w:keepLines w:val="0"/>
              <w:pageBreakBefore w:val="0"/>
              <w:kinsoku/>
              <w:wordWrap/>
              <w:overflowPunct/>
              <w:topLinePunct w:val="0"/>
              <w:autoSpaceDE/>
              <w:autoSpaceDN/>
              <w:bidi w:val="0"/>
              <w:adjustRightInd/>
              <w:snapToGrid/>
              <w:spacing w:line="320" w:lineRule="exact"/>
              <w:jc w:val="both"/>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特定资格要求</w:t>
            </w:r>
          </w:p>
        </w:tc>
        <w:tc>
          <w:tcPr>
            <w:tcW w:w="6475" w:type="dxa"/>
            <w:vAlign w:val="top"/>
          </w:tcPr>
          <w:p w14:paraId="77EDD0DF">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建立良好的食品安全管理体系，建立食品安全管理架构和相关食品安全管理制度，建立“日管控、周排查、月调度”食品安全自查制度，食品采购、贮存、加工、运输符合相关法律法规要求。（提供承诺函，格式自拟）</w:t>
            </w:r>
          </w:p>
        </w:tc>
      </w:tr>
      <w:tr w14:paraId="7A9BE0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78" w:type="dxa"/>
            <w:vAlign w:val="center"/>
          </w:tcPr>
          <w:p w14:paraId="3FF1B3F2">
            <w:pPr>
              <w:pStyle w:val="18"/>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11</w:t>
            </w:r>
          </w:p>
        </w:tc>
        <w:tc>
          <w:tcPr>
            <w:tcW w:w="2356" w:type="dxa"/>
            <w:vAlign w:val="center"/>
          </w:tcPr>
          <w:p w14:paraId="2D67D7EF">
            <w:pPr>
              <w:keepNext w:val="0"/>
              <w:keepLines w:val="0"/>
              <w:pageBreakBefore w:val="0"/>
              <w:kinsoku/>
              <w:wordWrap/>
              <w:overflowPunct/>
              <w:topLinePunct w:val="0"/>
              <w:autoSpaceDE/>
              <w:autoSpaceDN/>
              <w:bidi w:val="0"/>
              <w:adjustRightInd/>
              <w:snapToGrid/>
              <w:spacing w:line="320" w:lineRule="exact"/>
              <w:jc w:val="both"/>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特定资格要求</w:t>
            </w:r>
          </w:p>
        </w:tc>
        <w:tc>
          <w:tcPr>
            <w:tcW w:w="6475" w:type="dxa"/>
            <w:vAlign w:val="top"/>
          </w:tcPr>
          <w:p w14:paraId="2942B064">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建有监控系统，能够保存15天或以上的食品贮存、加工过程视频监控。（提供承诺函，格式自拟）</w:t>
            </w:r>
          </w:p>
        </w:tc>
      </w:tr>
      <w:tr w14:paraId="744E95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78" w:type="dxa"/>
            <w:vAlign w:val="center"/>
          </w:tcPr>
          <w:p w14:paraId="251C804B">
            <w:pPr>
              <w:pStyle w:val="18"/>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12</w:t>
            </w:r>
          </w:p>
        </w:tc>
        <w:tc>
          <w:tcPr>
            <w:tcW w:w="2356" w:type="dxa"/>
            <w:vAlign w:val="center"/>
          </w:tcPr>
          <w:p w14:paraId="33F920A2">
            <w:pPr>
              <w:pStyle w:val="18"/>
              <w:keepNext w:val="0"/>
              <w:keepLines w:val="0"/>
              <w:pageBreakBefore w:val="0"/>
              <w:kinsoku/>
              <w:wordWrap/>
              <w:overflowPunct/>
              <w:topLinePunct w:val="0"/>
              <w:autoSpaceDE/>
              <w:autoSpaceDN/>
              <w:bidi w:val="0"/>
              <w:adjustRightInd/>
              <w:snapToGrid/>
              <w:spacing w:line="320" w:lineRule="exact"/>
              <w:jc w:val="both"/>
              <w:textAlignment w:val="auto"/>
              <w:rPr>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本项目不接受联合体投标</w:t>
            </w:r>
          </w:p>
        </w:tc>
        <w:tc>
          <w:tcPr>
            <w:tcW w:w="6475" w:type="dxa"/>
            <w:vAlign w:val="top"/>
          </w:tcPr>
          <w:p w14:paraId="4460D8EC">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本项目不接受联合体投标</w:t>
            </w:r>
          </w:p>
        </w:tc>
      </w:tr>
      <w:tr w14:paraId="434437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78" w:type="dxa"/>
            <w:vAlign w:val="center"/>
          </w:tcPr>
          <w:p w14:paraId="607D8B82">
            <w:pPr>
              <w:pStyle w:val="18"/>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13</w:t>
            </w:r>
          </w:p>
        </w:tc>
        <w:tc>
          <w:tcPr>
            <w:tcW w:w="2356" w:type="dxa"/>
            <w:vAlign w:val="center"/>
          </w:tcPr>
          <w:p w14:paraId="5A2D504B">
            <w:pPr>
              <w:pStyle w:val="18"/>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宋体"/>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本采购包专门面向中小企业采购</w:t>
            </w:r>
          </w:p>
        </w:tc>
        <w:tc>
          <w:tcPr>
            <w:tcW w:w="6475" w:type="dxa"/>
            <w:vAlign w:val="top"/>
          </w:tcPr>
          <w:p w14:paraId="31B5E972">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参与的供应商（联合体）服务全部由符合政策要求的</w:t>
            </w:r>
            <w:r>
              <w:rPr>
                <w:rFonts w:hint="eastAsia"/>
                <w:color w:val="000000" w:themeColor="text1"/>
                <w:sz w:val="21"/>
                <w:szCs w:val="21"/>
                <w:highlight w:val="none"/>
                <w:lang w:val="en-US" w:eastAsia="zh-CN"/>
                <w14:textFill>
                  <w14:solidFill>
                    <w14:schemeClr w14:val="tx1"/>
                  </w14:solidFill>
                </w14:textFill>
              </w:rPr>
              <w:t>中小</w:t>
            </w:r>
            <w:r>
              <w:rPr>
                <w:color w:val="000000" w:themeColor="text1"/>
                <w:sz w:val="21"/>
                <w:szCs w:val="21"/>
                <w:highlight w:val="none"/>
                <w14:textFill>
                  <w14:solidFill>
                    <w14:schemeClr w14:val="tx1"/>
                  </w14:solidFill>
                </w14:textFill>
              </w:rPr>
              <w:t>企业承接</w:t>
            </w:r>
          </w:p>
        </w:tc>
      </w:tr>
    </w:tbl>
    <w:p w14:paraId="7B2E0FC0">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F65CF13">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表二符合性审查表：</w:t>
      </w:r>
    </w:p>
    <w:p w14:paraId="6FFA9222">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采购包1(阳江市阳东区华南师范大学附属阳东小学食堂大宗食材配送服务采购项目)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bl>
      <w:tblPr>
        <w:tblStyle w:val="15"/>
        <w:tblW w:w="948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60"/>
        <w:gridCol w:w="2355"/>
        <w:gridCol w:w="6471"/>
      </w:tblGrid>
      <w:tr w14:paraId="227198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15" w:hRule="atLeast"/>
          <w:jc w:val="center"/>
        </w:trPr>
        <w:tc>
          <w:tcPr>
            <w:tcW w:w="660" w:type="dxa"/>
            <w:vAlign w:val="center"/>
          </w:tcPr>
          <w:p w14:paraId="2BB47D41">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2355" w:type="dxa"/>
            <w:vAlign w:val="center"/>
          </w:tcPr>
          <w:p w14:paraId="0C08A8BF">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评审点要求概况</w:t>
            </w:r>
          </w:p>
        </w:tc>
        <w:tc>
          <w:tcPr>
            <w:tcW w:w="6471" w:type="dxa"/>
            <w:vAlign w:val="center"/>
          </w:tcPr>
          <w:p w14:paraId="51898E1C">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评审点具体描述</w:t>
            </w:r>
          </w:p>
        </w:tc>
      </w:tr>
      <w:tr w14:paraId="2EF3C2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3" w:hRule="atLeast"/>
          <w:jc w:val="center"/>
        </w:trPr>
        <w:tc>
          <w:tcPr>
            <w:tcW w:w="660" w:type="dxa"/>
            <w:vAlign w:val="center"/>
          </w:tcPr>
          <w:p w14:paraId="38475FD3">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355" w:type="dxa"/>
            <w:shd w:val="clear" w:color="auto" w:fill="auto"/>
            <w:vAlign w:val="center"/>
          </w:tcPr>
          <w:p w14:paraId="1C769C7B">
            <w:pPr>
              <w:pStyle w:val="18"/>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须满足带“★”号要求</w:t>
            </w:r>
          </w:p>
        </w:tc>
        <w:tc>
          <w:tcPr>
            <w:tcW w:w="6471" w:type="dxa"/>
            <w:shd w:val="clear" w:color="auto" w:fill="auto"/>
            <w:vAlign w:val="center"/>
          </w:tcPr>
          <w:p w14:paraId="3110DB97">
            <w:pPr>
              <w:pStyle w:val="18"/>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★所有食材要求为非转基因食品。</w:t>
            </w:r>
          </w:p>
        </w:tc>
      </w:tr>
      <w:tr w14:paraId="7A04C5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10" w:hRule="atLeast"/>
          <w:jc w:val="center"/>
        </w:trPr>
        <w:tc>
          <w:tcPr>
            <w:tcW w:w="660" w:type="dxa"/>
            <w:vAlign w:val="center"/>
          </w:tcPr>
          <w:p w14:paraId="7F2EB742">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2355" w:type="dxa"/>
            <w:shd w:val="clear" w:color="auto" w:fill="auto"/>
            <w:vAlign w:val="center"/>
          </w:tcPr>
          <w:p w14:paraId="5DB4DDB2">
            <w:pPr>
              <w:pStyle w:val="18"/>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服务期须满足要求</w:t>
            </w:r>
          </w:p>
        </w:tc>
        <w:tc>
          <w:tcPr>
            <w:tcW w:w="6471" w:type="dxa"/>
            <w:shd w:val="clear" w:color="auto" w:fill="auto"/>
            <w:vAlign w:val="center"/>
          </w:tcPr>
          <w:p w14:paraId="3FE0AEDC">
            <w:pPr>
              <w:pStyle w:val="18"/>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2026年9月1日至2027年8月31日（为期壹年）。（超出该服务期作无效投标处理）</w:t>
            </w:r>
          </w:p>
        </w:tc>
      </w:tr>
      <w:tr w14:paraId="0CABC8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60" w:type="dxa"/>
            <w:vAlign w:val="center"/>
          </w:tcPr>
          <w:p w14:paraId="7872C613">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2355" w:type="dxa"/>
            <w:shd w:val="clear" w:color="auto" w:fill="auto"/>
            <w:vAlign w:val="center"/>
          </w:tcPr>
          <w:p w14:paraId="50FF4EA4">
            <w:pPr>
              <w:pStyle w:val="18"/>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投标报价未超出报价上限</w:t>
            </w:r>
          </w:p>
        </w:tc>
        <w:tc>
          <w:tcPr>
            <w:tcW w:w="6471" w:type="dxa"/>
            <w:shd w:val="clear" w:color="auto" w:fill="auto"/>
            <w:vAlign w:val="center"/>
          </w:tcPr>
          <w:p w14:paraId="1D98FD60">
            <w:pPr>
              <w:pStyle w:val="18"/>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w:t>
            </w:r>
            <w:r>
              <w:rPr>
                <w:rFonts w:hint="eastAsia" w:ascii="宋体" w:hAnsi="宋体" w:eastAsia="宋体" w:cs="宋体"/>
                <w:color w:val="000000" w:themeColor="text1"/>
                <w:sz w:val="21"/>
                <w:szCs w:val="21"/>
                <w:highlight w:val="none"/>
                <w:lang w:val="en-US" w:eastAsia="zh-CN"/>
                <w14:textFill>
                  <w14:solidFill>
                    <w14:schemeClr w14:val="tx1"/>
                  </w14:solidFill>
                </w14:textFill>
              </w:rPr>
              <w:t>折扣率</w:t>
            </w:r>
            <w:r>
              <w:rPr>
                <w:rFonts w:hint="eastAsia" w:ascii="宋体" w:hAnsi="宋体" w:eastAsia="宋体" w:cs="宋体"/>
                <w:color w:val="000000" w:themeColor="text1"/>
                <w:sz w:val="21"/>
                <w:szCs w:val="21"/>
                <w:highlight w:val="none"/>
                <w14:textFill>
                  <w14:solidFill>
                    <w14:schemeClr w14:val="tx1"/>
                  </w14:solidFill>
                </w14:textFill>
              </w:rPr>
              <w:t>报价</w:t>
            </w:r>
            <w:r>
              <w:rPr>
                <w:rFonts w:hint="eastAsia" w:ascii="宋体" w:hAnsi="宋体" w:eastAsia="宋体" w:cs="宋体"/>
                <w:color w:val="000000" w:themeColor="text1"/>
                <w:sz w:val="21"/>
                <w:szCs w:val="21"/>
                <w:highlight w:val="none"/>
                <w:lang w:val="en-US" w:eastAsia="zh-CN"/>
                <w14:textFill>
                  <w14:solidFill>
                    <w14:schemeClr w14:val="tx1"/>
                  </w14:solidFill>
                </w14:textFill>
              </w:rPr>
              <w:t>（0%-100%）</w:t>
            </w:r>
          </w:p>
        </w:tc>
      </w:tr>
      <w:tr w14:paraId="67F8E5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40" w:hRule="atLeast"/>
          <w:jc w:val="center"/>
        </w:trPr>
        <w:tc>
          <w:tcPr>
            <w:tcW w:w="660" w:type="dxa"/>
            <w:vAlign w:val="center"/>
          </w:tcPr>
          <w:p w14:paraId="0D7A1AC4">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2355" w:type="dxa"/>
            <w:shd w:val="clear" w:color="auto" w:fill="auto"/>
            <w:vAlign w:val="center"/>
          </w:tcPr>
          <w:p w14:paraId="5C821EBF">
            <w:pPr>
              <w:pStyle w:val="18"/>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法定代表人/负责人资格证明书及授权委托书</w:t>
            </w:r>
          </w:p>
        </w:tc>
        <w:tc>
          <w:tcPr>
            <w:tcW w:w="6471" w:type="dxa"/>
            <w:shd w:val="clear" w:color="auto" w:fill="auto"/>
            <w:vAlign w:val="center"/>
          </w:tcPr>
          <w:p w14:paraId="513E8DB4">
            <w:pPr>
              <w:pStyle w:val="18"/>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提供法定代表人/负责人资格证明书及授权委托书</w:t>
            </w:r>
          </w:p>
        </w:tc>
      </w:tr>
      <w:tr w14:paraId="5AC162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8" w:hRule="atLeast"/>
          <w:jc w:val="center"/>
        </w:trPr>
        <w:tc>
          <w:tcPr>
            <w:tcW w:w="660" w:type="dxa"/>
            <w:vAlign w:val="center"/>
          </w:tcPr>
          <w:p w14:paraId="6F3986B6">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2355" w:type="dxa"/>
            <w:shd w:val="clear" w:color="auto" w:fill="auto"/>
            <w:vAlign w:val="center"/>
          </w:tcPr>
          <w:p w14:paraId="3094222C">
            <w:pPr>
              <w:pStyle w:val="18"/>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其他要求</w:t>
            </w:r>
          </w:p>
        </w:tc>
        <w:tc>
          <w:tcPr>
            <w:tcW w:w="6471" w:type="dxa"/>
            <w:shd w:val="clear" w:color="auto" w:fill="auto"/>
            <w:vAlign w:val="top"/>
          </w:tcPr>
          <w:p w14:paraId="7F045C7A">
            <w:pPr>
              <w:pStyle w:val="18"/>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按投标资料清单中规定提供“必须提交”的文件资料</w:t>
            </w:r>
          </w:p>
        </w:tc>
      </w:tr>
    </w:tbl>
    <w:p w14:paraId="5CA20E7F">
      <w:pPr>
        <w:rPr>
          <w:rFonts w:hint="eastAsia"/>
          <w:color w:val="000000" w:themeColor="text1"/>
          <w:highlight w:val="none"/>
          <w14:textFill>
            <w14:solidFill>
              <w14:schemeClr w14:val="tx1"/>
            </w14:solidFill>
          </w14:textFill>
        </w:rPr>
      </w:pPr>
    </w:p>
    <w:p w14:paraId="3E4A5873">
      <w:pPr>
        <w:rPr>
          <w:rFonts w:hint="eastAsia"/>
          <w:color w:val="000000" w:themeColor="text1"/>
          <w:highlight w:val="none"/>
          <w14:textFill>
            <w14:solidFill>
              <w14:schemeClr w14:val="tx1"/>
            </w14:solidFill>
          </w14:textFill>
        </w:rPr>
      </w:pPr>
    </w:p>
    <w:p w14:paraId="17A0B365">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2.投标文件澄清</w:t>
      </w:r>
    </w:p>
    <w:p w14:paraId="076E4B1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2.1对于投标文件中含义不明确、同类问题表述不一致或者有明显文字和计算错误的内容，评标委员会应当在评审过程中发起澄清，要求投标人针对价格或内容做出必要的澄清、说明或补正。</w:t>
      </w:r>
    </w:p>
    <w:p w14:paraId="133DACA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投标人需在规定时间内完成澄清（响应），并加盖</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章。</w:t>
      </w:r>
    </w:p>
    <w:p w14:paraId="58573AB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若因投标人联系方式错误未接收短信、未接听电话或超时未进行澄清（响应）造成的不利后果由供应商自行承担。投标人的澄清、说明或者补正不得超出投标文件的范围或者改变投标文件的实质性内容。</w:t>
      </w:r>
    </w:p>
    <w:p w14:paraId="32803D7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2.2评标委员会不接受投标人主动提出的澄清、说明或补正。</w:t>
      </w:r>
    </w:p>
    <w:p w14:paraId="311E22C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2.3评标委员会对投标人提交的澄清、说明或补正有疑问的，可以要求投标人进一步澄清、说明或补正。</w:t>
      </w:r>
    </w:p>
    <w:p w14:paraId="32DB6408">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3.详细评审</w:t>
      </w:r>
    </w:p>
    <w:p w14:paraId="1E3E99BB">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color w:val="000000" w:themeColor="text1"/>
          <w:sz w:val="21"/>
          <w:szCs w:val="21"/>
          <w:highlight w:val="none"/>
          <w:lang w:val="en-US" w:eastAsia="zh-CN"/>
          <w14:textFill>
            <w14:solidFill>
              <w14:schemeClr w14:val="tx1"/>
            </w14:solidFill>
          </w14:textFill>
        </w:rPr>
        <w:t>阳江市阳东区华南师范大学附属阳东小学食堂大宗食材配送服务采购项目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bl>
      <w:tblPr>
        <w:tblStyle w:val="15"/>
        <w:tblW w:w="9405" w:type="dxa"/>
        <w:tblInd w:w="-109"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00"/>
        <w:gridCol w:w="1875"/>
        <w:gridCol w:w="6330"/>
      </w:tblGrid>
      <w:tr w14:paraId="1FDC82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420" w:hRule="atLeast"/>
        </w:trPr>
        <w:tc>
          <w:tcPr>
            <w:tcW w:w="1200" w:type="dxa"/>
          </w:tcPr>
          <w:p w14:paraId="0BC6A75B">
            <w:pPr>
              <w:pStyle w:val="18"/>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评审因素</w:t>
            </w:r>
          </w:p>
        </w:tc>
        <w:tc>
          <w:tcPr>
            <w:tcW w:w="8205" w:type="dxa"/>
            <w:gridSpan w:val="2"/>
          </w:tcPr>
          <w:p w14:paraId="00F0C1CB">
            <w:pPr>
              <w:pStyle w:val="18"/>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5BC055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0" w:type="dxa"/>
          </w:tcPr>
          <w:p w14:paraId="60851FA0">
            <w:pPr>
              <w:pStyle w:val="18"/>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分值构成</w:t>
            </w:r>
          </w:p>
        </w:tc>
        <w:tc>
          <w:tcPr>
            <w:tcW w:w="8205" w:type="dxa"/>
            <w:gridSpan w:val="2"/>
          </w:tcPr>
          <w:p w14:paraId="6A055B21">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商务部分55.0分</w:t>
            </w:r>
          </w:p>
          <w:p w14:paraId="3B2432B6">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技术部分35.0分</w:t>
            </w:r>
          </w:p>
          <w:p w14:paraId="60711B70">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报价得分10.0分</w:t>
            </w:r>
          </w:p>
        </w:tc>
      </w:tr>
      <w:tr w14:paraId="53C115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0" w:type="dxa"/>
            <w:vMerge w:val="restart"/>
          </w:tcPr>
          <w:p w14:paraId="61A43135">
            <w:pPr>
              <w:pStyle w:val="18"/>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技术部分</w:t>
            </w:r>
          </w:p>
        </w:tc>
        <w:tc>
          <w:tcPr>
            <w:tcW w:w="1875" w:type="dxa"/>
          </w:tcPr>
          <w:p w14:paraId="32DFB62C">
            <w:pPr>
              <w:pStyle w:val="18"/>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食品质量保证方案 (10.0分)</w:t>
            </w:r>
          </w:p>
        </w:tc>
        <w:tc>
          <w:tcPr>
            <w:tcW w:w="6330" w:type="dxa"/>
          </w:tcPr>
          <w:p w14:paraId="4626EE1B">
            <w:pPr>
              <w:pStyle w:val="18"/>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对投标文件中的质量控制方案进行评分（根据投标货物的来源、加工、包装、保存、运输各环节的质量保证及食品安全措施进行评价）：</w:t>
            </w:r>
          </w:p>
          <w:p w14:paraId="787757B7">
            <w:pPr>
              <w:pStyle w:val="18"/>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方案合理完整，内容有针对性，优于或完全满足采购需求的，得10分； </w:t>
            </w:r>
          </w:p>
          <w:p w14:paraId="0285CCE5">
            <w:pPr>
              <w:pStyle w:val="18"/>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方案较合理、较完整，内容有一定的针对性，基本满足采购需求的，得7分； </w:t>
            </w:r>
          </w:p>
          <w:p w14:paraId="37E8FCDE">
            <w:pPr>
              <w:pStyle w:val="18"/>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3.方案一般，部分满足采购需求的，得4分；</w:t>
            </w:r>
          </w:p>
          <w:p w14:paraId="646AF0F0">
            <w:pPr>
              <w:pStyle w:val="18"/>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4.方案简单，内容没有针对性，基本不能满足采购需求的，得1分</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747FC9E3">
            <w:pPr>
              <w:pStyle w:val="18"/>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不提供不得分。</w:t>
            </w:r>
          </w:p>
        </w:tc>
      </w:tr>
      <w:tr w14:paraId="425A85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0" w:type="dxa"/>
            <w:vMerge w:val="continue"/>
          </w:tcPr>
          <w:p w14:paraId="15507997">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875" w:type="dxa"/>
          </w:tcPr>
          <w:p w14:paraId="5D9F5AFE">
            <w:pPr>
              <w:pStyle w:val="18"/>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配送方案 (10.0分)</w:t>
            </w:r>
          </w:p>
        </w:tc>
        <w:tc>
          <w:tcPr>
            <w:tcW w:w="6330" w:type="dxa"/>
          </w:tcPr>
          <w:p w14:paraId="7C3F03F5">
            <w:pPr>
              <w:pStyle w:val="18"/>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从配送方案的全面性，可实施性，配送物流保障性，供应时效响应性等进行对比评价：</w:t>
            </w:r>
          </w:p>
          <w:p w14:paraId="295CC943">
            <w:pPr>
              <w:pStyle w:val="18"/>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配送方案全面，可实施性强，配送物流有保障，供应时效性高，优于采购需求的，得10分； </w:t>
            </w:r>
          </w:p>
          <w:p w14:paraId="056221E2">
            <w:pPr>
              <w:pStyle w:val="18"/>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 xml:space="preserve">配送方案较全面，可实施性较强，配送物流有保障，供应时效性符合要求，完全满足采购需求的，得7分； </w:t>
            </w:r>
          </w:p>
          <w:p w14:paraId="313D8D7F">
            <w:pPr>
              <w:pStyle w:val="18"/>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3.配送方案较全面，可实施性不强，配送物流有保障，供应时效性一般，基本满足采购需求的，得4分；</w:t>
            </w:r>
          </w:p>
          <w:p w14:paraId="52AFCF7E">
            <w:pPr>
              <w:pStyle w:val="18"/>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4.配送方案不够全面，可实施性不强，配送物流有保障，供应时效性不符合要求，基本不能满足采购需求的，得1分； </w:t>
            </w:r>
          </w:p>
          <w:p w14:paraId="46A2E246">
            <w:pPr>
              <w:pStyle w:val="18"/>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不提供不得分。</w:t>
            </w:r>
          </w:p>
        </w:tc>
      </w:tr>
      <w:tr w14:paraId="0458D5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0" w:type="dxa"/>
            <w:vMerge w:val="continue"/>
          </w:tcPr>
          <w:p w14:paraId="511CDFF2">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875" w:type="dxa"/>
          </w:tcPr>
          <w:p w14:paraId="229E5B1C">
            <w:pPr>
              <w:pStyle w:val="18"/>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特殊情况应急方案（应含食物中毒应急预案） (10.0分)</w:t>
            </w:r>
          </w:p>
        </w:tc>
        <w:tc>
          <w:tcPr>
            <w:tcW w:w="6330" w:type="dxa"/>
          </w:tcPr>
          <w:p w14:paraId="3CD89CC7">
            <w:pPr>
              <w:pStyle w:val="18"/>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对货物临时供应应急方案，特殊情况应急供应商方案，响应时间，方案全面度，应对措施详细度，是否可实施且能满足保障采购人要求等进行对比评价：</w:t>
            </w:r>
          </w:p>
          <w:p w14:paraId="7A5F7B33">
            <w:pPr>
              <w:pStyle w:val="18"/>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有完善的货物临时供应应急方案及特殊情况应急供应方案，承诺收到应急通知10分钟内响应，方案全面，应对措施详细，完全可实施且能完全保障采购人要求的，优于采购需求的，得10分； </w:t>
            </w:r>
          </w:p>
          <w:p w14:paraId="36436E6E">
            <w:pPr>
              <w:pStyle w:val="18"/>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 xml:space="preserve">有较完善的货物临时供应应急方案及特殊情况应急供应方案，承诺收到应急通知20分钟内响应，方案能满足保障采购人要求的，完全满足采购需求的，得7分； </w:t>
            </w:r>
          </w:p>
          <w:p w14:paraId="23FE55E4">
            <w:pPr>
              <w:pStyle w:val="18"/>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 xml:space="preserve">有货物临时供应应急方案及特殊情况应急供应方案，承诺收到应急通知30分钟内响应，方案基本能满足保障采购人要求的，基本满足采购需求的，得4分； </w:t>
            </w:r>
          </w:p>
          <w:p w14:paraId="17C1519D">
            <w:pPr>
              <w:pStyle w:val="18"/>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4.货物临时供应应急方案及特殊情况应急供应方案一般，应急响应时间超过30分钟，基本不能满足保障采购人要求的，基本不能满足采购需求的，得1分； </w:t>
            </w:r>
          </w:p>
          <w:p w14:paraId="49ABA9FD">
            <w:pPr>
              <w:pStyle w:val="18"/>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不提供不得分。</w:t>
            </w:r>
          </w:p>
        </w:tc>
      </w:tr>
      <w:tr w14:paraId="000060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0" w:type="dxa"/>
            <w:vMerge w:val="continue"/>
          </w:tcPr>
          <w:p w14:paraId="239EBA24">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875" w:type="dxa"/>
          </w:tcPr>
          <w:p w14:paraId="4FC6519D">
            <w:pPr>
              <w:pStyle w:val="18"/>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出现问题退换货承诺 (5.0分)</w:t>
            </w:r>
          </w:p>
        </w:tc>
        <w:tc>
          <w:tcPr>
            <w:tcW w:w="6330" w:type="dxa"/>
          </w:tcPr>
          <w:p w14:paraId="0DFC44F8">
            <w:pPr>
              <w:pStyle w:val="18"/>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投标人须承诺服务期内如提供不符合采购人质量或重量要求的货物，须按采购人要求以不影响伙食供应为前提，无条件尽快补送或退换货。 </w:t>
            </w:r>
          </w:p>
          <w:p w14:paraId="13AD87A3">
            <w:pPr>
              <w:pStyle w:val="18"/>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注：提供《承诺函》承诺，不提供不得分。</w:t>
            </w:r>
          </w:p>
        </w:tc>
      </w:tr>
      <w:tr w14:paraId="086B17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0" w:type="dxa"/>
            <w:vMerge w:val="restart"/>
          </w:tcPr>
          <w:p w14:paraId="190C6CC9">
            <w:pPr>
              <w:pStyle w:val="18"/>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商务部分</w:t>
            </w:r>
          </w:p>
        </w:tc>
        <w:tc>
          <w:tcPr>
            <w:tcW w:w="1875" w:type="dxa"/>
          </w:tcPr>
          <w:p w14:paraId="1D3B19C2">
            <w:pPr>
              <w:pStyle w:val="18"/>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同类项目业绩 (</w:t>
            </w:r>
            <w:r>
              <w:rPr>
                <w:rFonts w:hint="eastAsia" w:ascii="宋体" w:hAnsi="宋体" w:eastAsia="宋体" w:cs="宋体"/>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sz w:val="21"/>
                <w:szCs w:val="21"/>
                <w:highlight w:val="none"/>
                <w14:textFill>
                  <w14:solidFill>
                    <w14:schemeClr w14:val="tx1"/>
                  </w14:solidFill>
                </w14:textFill>
              </w:rPr>
              <w:t>.0分)</w:t>
            </w:r>
          </w:p>
        </w:tc>
        <w:tc>
          <w:tcPr>
            <w:tcW w:w="6330" w:type="dxa"/>
          </w:tcPr>
          <w:p w14:paraId="23AE005C">
            <w:pPr>
              <w:pStyle w:val="18"/>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提供2020年1月1日至今（以合同签订时间为准）的同类（指含有本次采购服务的同类）项目业绩，每个得</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分，最高得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226C7EF8">
            <w:pPr>
              <w:pStyle w:val="18"/>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注：提供项目的合同复印件加盖投标人公章，不提供不得分。</w:t>
            </w:r>
          </w:p>
        </w:tc>
      </w:tr>
      <w:tr w14:paraId="5B48EC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0" w:type="dxa"/>
            <w:vMerge w:val="continue"/>
          </w:tcPr>
          <w:p w14:paraId="5A3802BD">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875" w:type="dxa"/>
          </w:tcPr>
          <w:p w14:paraId="1A694D34">
            <w:pPr>
              <w:pStyle w:val="18"/>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检测能力 (6.0分)</w:t>
            </w:r>
          </w:p>
        </w:tc>
        <w:tc>
          <w:tcPr>
            <w:tcW w:w="6330" w:type="dxa"/>
          </w:tcPr>
          <w:p w14:paraId="32F70DEC">
            <w:pPr>
              <w:pStyle w:val="18"/>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提供农药残留检测仪，每台得1分，最高得2分； </w:t>
            </w:r>
          </w:p>
          <w:p w14:paraId="1E6EC299">
            <w:pPr>
              <w:pStyle w:val="18"/>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 xml:space="preserve">提供肉类综合检测仪，每台得1分，最高得1分。 </w:t>
            </w:r>
          </w:p>
          <w:p w14:paraId="671CF6AD">
            <w:pPr>
              <w:pStyle w:val="18"/>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注：提供食品检测仪器的购买发票复印件及仪器图片加盖投标人公章，如是租赁的还须提供以投标人名义（含法定代表人）签署的租赁合同复印件加盖投标人公章。提供不齐全不得分。 </w:t>
            </w:r>
          </w:p>
          <w:p w14:paraId="73FE9C01">
            <w:pPr>
              <w:pStyle w:val="18"/>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 xml:space="preserve">独立检测室，得3分。 </w:t>
            </w:r>
          </w:p>
          <w:p w14:paraId="4500B1E6">
            <w:pPr>
              <w:pStyle w:val="18"/>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注：提供产权证明复印件加盖投标人公章；如是租赁的须提供以投标人名义（含法定代表人）签署的租赁合同复印件加盖投标人公章。提供不齐全不得分。</w:t>
            </w:r>
          </w:p>
        </w:tc>
      </w:tr>
      <w:tr w14:paraId="441577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0" w:type="dxa"/>
            <w:vMerge w:val="continue"/>
          </w:tcPr>
          <w:p w14:paraId="10F4F941">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875" w:type="dxa"/>
          </w:tcPr>
          <w:p w14:paraId="7AD665B2">
            <w:pPr>
              <w:pStyle w:val="18"/>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企业管理能力及信誉 (3.0分)</w:t>
            </w:r>
          </w:p>
        </w:tc>
        <w:tc>
          <w:tcPr>
            <w:tcW w:w="6330" w:type="dxa"/>
          </w:tcPr>
          <w:p w14:paraId="1594B8AB">
            <w:pPr>
              <w:pStyle w:val="18"/>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获得质量管理体系认证ISO9001证书，得1分； </w:t>
            </w:r>
          </w:p>
          <w:p w14:paraId="3566661F">
            <w:pPr>
              <w:pStyle w:val="18"/>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 xml:space="preserve">获得职业健康安全管理体系认证ISO45001证书，得1分； </w:t>
            </w:r>
          </w:p>
          <w:p w14:paraId="28A1685C">
            <w:pPr>
              <w:pStyle w:val="18"/>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 xml:space="preserve">获得环境管理体系认证ISO14001证书，得1分； </w:t>
            </w:r>
          </w:p>
          <w:p w14:paraId="47C0F20C">
            <w:pPr>
              <w:pStyle w:val="18"/>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注：提供有效证书复印件加盖投标人公章，不提供不得分。如因投标人成立时间不足三个月，导致未能取得相关认证且提供书面说明的，可获得对应证书的分值，不提供不得分。</w:t>
            </w:r>
          </w:p>
        </w:tc>
      </w:tr>
      <w:tr w14:paraId="089A7E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0" w:type="dxa"/>
            <w:vMerge w:val="continue"/>
          </w:tcPr>
          <w:p w14:paraId="5A6F7C37">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875" w:type="dxa"/>
          </w:tcPr>
          <w:p w14:paraId="71E06A67">
            <w:pPr>
              <w:pStyle w:val="18"/>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项目团队人员实力 (</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.0分)</w:t>
            </w:r>
          </w:p>
        </w:tc>
        <w:tc>
          <w:tcPr>
            <w:tcW w:w="6330" w:type="dxa"/>
          </w:tcPr>
          <w:p w14:paraId="1D634376">
            <w:pPr>
              <w:pStyle w:val="18"/>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提供食品安全管理员考试合格证明或食品安全管理人员考试合格证明的，得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分，本项最高得</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3ADC3CC4">
            <w:pPr>
              <w:pStyle w:val="18"/>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注：提供证书复印件及投标截止日前6个月任意一个月的社保证明材料加盖投标人公章，不提供不得分。</w:t>
            </w:r>
          </w:p>
        </w:tc>
      </w:tr>
      <w:tr w14:paraId="7488FD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0" w:type="dxa"/>
            <w:vMerge w:val="continue"/>
          </w:tcPr>
          <w:p w14:paraId="7DD5431C">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875" w:type="dxa"/>
          </w:tcPr>
          <w:p w14:paraId="043EEF01">
            <w:pPr>
              <w:pStyle w:val="18"/>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食品安全责任险保障 (10.0分)</w:t>
            </w:r>
          </w:p>
        </w:tc>
        <w:tc>
          <w:tcPr>
            <w:tcW w:w="6330" w:type="dxa"/>
          </w:tcPr>
          <w:p w14:paraId="6D97761B">
            <w:pPr>
              <w:pStyle w:val="18"/>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提供食品安全责任险保障，保额壹仟万元及以上的，得3分；保额贰仟万元及以上的，得6分；保额伍仟万元及以上的，得10分，本项最高得10分。 </w:t>
            </w:r>
          </w:p>
          <w:p w14:paraId="2D93A32C">
            <w:pPr>
              <w:pStyle w:val="18"/>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提供上述有效的食品安全责任险保险单、发票的复印件并加盖投标人公章，保险额均以人民币计算。如投标时未购买食品安全责任险，投标人须承诺中标后签合同前投保。评审时根据承诺投保的保额得相应的分值，提供《承诺函》，格式自拟，不提供不得分。</w:t>
            </w:r>
          </w:p>
        </w:tc>
      </w:tr>
      <w:tr w14:paraId="1E3108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0" w:type="dxa"/>
            <w:vMerge w:val="continue"/>
          </w:tcPr>
          <w:p w14:paraId="5C153373">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875" w:type="dxa"/>
          </w:tcPr>
          <w:p w14:paraId="5C0466B9">
            <w:pPr>
              <w:pStyle w:val="18"/>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冷藏配送车 (</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.0分)</w:t>
            </w:r>
          </w:p>
        </w:tc>
        <w:tc>
          <w:tcPr>
            <w:tcW w:w="6330" w:type="dxa"/>
          </w:tcPr>
          <w:p w14:paraId="03AD8CE9">
            <w:pPr>
              <w:pStyle w:val="18"/>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投标人提供自有或租赁的冷藏配送车辆每台得</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分，最高得</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2F394CC6">
            <w:pPr>
              <w:pStyle w:val="18"/>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注： 1.所提供的车辆均须供有效的行驶证复印件或机动车登记证复印件及冷藏配送车辆的照片（须显示到车牌号，未上牌需显示与发票一致的车架号和发动机号码）。 2.所提供的车辆为租赁的还须提供以投标人名义（含法定代表人）签署的租赁合同复印件。 </w:t>
            </w:r>
          </w:p>
          <w:p w14:paraId="40AB0C46">
            <w:pPr>
              <w:pStyle w:val="18"/>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3.所提供的资料应清晰可辨，加盖投标人公章，否则不予计分。</w:t>
            </w:r>
          </w:p>
        </w:tc>
      </w:tr>
      <w:tr w14:paraId="27530B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0" w:type="dxa"/>
            <w:vMerge w:val="continue"/>
          </w:tcPr>
          <w:p w14:paraId="4AE11B55">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875" w:type="dxa"/>
          </w:tcPr>
          <w:p w14:paraId="5561AB23">
            <w:pPr>
              <w:pStyle w:val="18"/>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综合实力 (10.0分)</w:t>
            </w:r>
          </w:p>
        </w:tc>
        <w:tc>
          <w:tcPr>
            <w:tcW w:w="6330" w:type="dxa"/>
          </w:tcPr>
          <w:p w14:paraId="1DF9C774">
            <w:pPr>
              <w:pStyle w:val="18"/>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投标人提供自有或租赁的配送场地，得5分； </w:t>
            </w:r>
          </w:p>
          <w:p w14:paraId="5F605C0A">
            <w:pPr>
              <w:pStyle w:val="18"/>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投标人提供自有或租赁的冷藏库，得5分；</w:t>
            </w:r>
          </w:p>
          <w:p w14:paraId="6C273A91">
            <w:pPr>
              <w:pStyle w:val="18"/>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注：须提供产权证明复印件加盖投标人公章；如是租赁的须提供以投标人名义（含法定代表人）签署的租赁合同复印件加盖投标人公章</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不提供不得分。</w:t>
            </w:r>
          </w:p>
        </w:tc>
      </w:tr>
      <w:tr w14:paraId="0C2528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0" w:type="dxa"/>
          </w:tcPr>
          <w:p w14:paraId="74EAFB34">
            <w:pPr>
              <w:pStyle w:val="18"/>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投标报价</w:t>
            </w:r>
          </w:p>
        </w:tc>
        <w:tc>
          <w:tcPr>
            <w:tcW w:w="1875" w:type="dxa"/>
          </w:tcPr>
          <w:p w14:paraId="4D9971D2">
            <w:pPr>
              <w:pStyle w:val="18"/>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投标报价得分 (10.0分)</w:t>
            </w:r>
          </w:p>
        </w:tc>
        <w:tc>
          <w:tcPr>
            <w:tcW w:w="6330" w:type="dxa"/>
          </w:tcPr>
          <w:p w14:paraId="7654858D">
            <w:pPr>
              <w:pStyle w:val="18"/>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报价得分＝（评标基准价/投标报价）×价格分值（注：满足招标文件要求且投标价格最低的投标报价为评标基准价。）最低报价不是中标的唯一依据。【注：满足招标文件要求且“XXXX”报价最低的为评标基准价。如：投标报价XXXX 20%为报价最低，评标基准价为20%，得满分 】。因落实政府采购政策进行价格调整的，以调整后的价格计算评标基准价和投标报价。</w:t>
            </w:r>
          </w:p>
        </w:tc>
      </w:tr>
    </w:tbl>
    <w:p w14:paraId="3E5252AB">
      <w:pPr>
        <w:rPr>
          <w:rFonts w:hint="eastAsia"/>
          <w:color w:val="000000" w:themeColor="text1"/>
          <w:highlight w:val="none"/>
          <w14:textFill>
            <w14:solidFill>
              <w14:schemeClr w14:val="tx1"/>
            </w14:solidFill>
          </w14:textFill>
        </w:rPr>
      </w:pPr>
    </w:p>
    <w:p w14:paraId="35186A59">
      <w:pPr>
        <w:rPr>
          <w:rFonts w:hint="eastAsia"/>
          <w:color w:val="000000" w:themeColor="text1"/>
          <w:highlight w:val="none"/>
          <w14:textFill>
            <w14:solidFill>
              <w14:schemeClr w14:val="tx1"/>
            </w14:solidFill>
          </w14:textFill>
        </w:rPr>
      </w:pPr>
    </w:p>
    <w:p w14:paraId="1BF54002">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4.汇总、排序</w:t>
      </w:r>
    </w:p>
    <w:p w14:paraId="7ABD1889">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p>
    <w:p w14:paraId="4C3750AE">
      <w:pPr>
        <w:pStyle w:val="18"/>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w:t>
      </w:r>
    </w:p>
    <w:p w14:paraId="51F66E09">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5.中标价的确定</w:t>
      </w:r>
    </w:p>
    <w:p w14:paraId="5F2844F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除了按第四章第一点第7条修正并经投标人确认的投标报价作为中标价外，中标价以开标时公开唱标价为准。</w:t>
      </w:r>
    </w:p>
    <w:p w14:paraId="5B56DCAD">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6.其他无效投标的情形：</w:t>
      </w:r>
    </w:p>
    <w:p w14:paraId="4D3CC12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(1)评标期间，投标人没有按评标委员会的要求提交法定代表人或其委托代理人签字的澄清、说明、补正或改变了投标文件的实质性内容的。</w:t>
      </w:r>
    </w:p>
    <w:p w14:paraId="4670F02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(2)投标文件提供虚假材料的。</w:t>
      </w:r>
    </w:p>
    <w:p w14:paraId="4DDA656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(3)投标人以他人名义投标、串通投标、以行贿手段谋取中标或者以其他弄虚作假方式投标的。</w:t>
      </w:r>
    </w:p>
    <w:p w14:paraId="6655DCC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(4)投标人对采购人、采购代理机构、评标委员会及其工作人员施加影响，有碍招标公平、公正的。</w:t>
      </w:r>
    </w:p>
    <w:p w14:paraId="1DC00B4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(5)投标文件含有采购人不能接受的附加条件的。</w:t>
      </w:r>
    </w:p>
    <w:p w14:paraId="3EFB9CB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(6)法律、法规和招标文件规定的其他无效情形。</w:t>
      </w:r>
    </w:p>
    <w:p w14:paraId="47B02771">
      <w:pPr>
        <w:rPr>
          <w:rFonts w:hint="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6A79AE82">
      <w:pPr>
        <w:rPr>
          <w:rFonts w:hint="eastAsia"/>
          <w:color w:val="000000" w:themeColor="text1"/>
          <w:highlight w:val="none"/>
          <w14:textFill>
            <w14:solidFill>
              <w14:schemeClr w14:val="tx1"/>
            </w14:solidFill>
          </w14:textFill>
        </w:rPr>
      </w:pPr>
    </w:p>
    <w:p w14:paraId="56585744">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4390FAEA">
      <w:pPr>
        <w:pStyle w:val="18"/>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bookmarkStart w:id="88" w:name="_Toc31047"/>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第五章 合同</w:t>
      </w:r>
      <w:r>
        <w:rPr>
          <w:rFonts w:hint="eastAsia" w:asciiTheme="minorEastAsia" w:hAnsiTheme="minorEastAsia" w:cstheme="minorEastAsia"/>
          <w:b/>
          <w:color w:val="000000" w:themeColor="text1"/>
          <w:sz w:val="28"/>
          <w:szCs w:val="28"/>
          <w:highlight w:val="none"/>
          <w:lang w:val="en-US" w:eastAsia="zh-CN"/>
          <w14:textFill>
            <w14:solidFill>
              <w14:schemeClr w14:val="tx1"/>
            </w14:solidFill>
          </w14:textFill>
        </w:rPr>
        <w:t>范</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本</w:t>
      </w:r>
      <w:bookmarkEnd w:id="88"/>
    </w:p>
    <w:p w14:paraId="394825B3">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w:t>
      </w:r>
    </w:p>
    <w:p w14:paraId="18403ACD">
      <w:pPr>
        <w:pStyle w:val="18"/>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w:t>
      </w:r>
    </w:p>
    <w:p w14:paraId="70497923">
      <w:pPr>
        <w:pStyle w:val="18"/>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w:t>
      </w:r>
    </w:p>
    <w:p w14:paraId="497606F9">
      <w:pPr>
        <w:pStyle w:val="18"/>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7A29001">
      <w:pPr>
        <w:pStyle w:val="18"/>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3A7A59B">
      <w:pPr>
        <w:pStyle w:val="18"/>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w:t>
      </w:r>
    </w:p>
    <w:p w14:paraId="683E29E5">
      <w:pPr>
        <w:pStyle w:val="18"/>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44"/>
          <w:szCs w:val="44"/>
          <w:highlight w:val="none"/>
          <w14:textFill>
            <w14:solidFill>
              <w14:schemeClr w14:val="tx1"/>
            </w14:solidFill>
          </w14:textFill>
        </w:rPr>
        <w:t>合</w:t>
      </w:r>
      <w:r>
        <w:rPr>
          <w:rFonts w:hint="eastAsia" w:asciiTheme="minorEastAsia" w:hAnsiTheme="minorEastAsia" w:cstheme="minorEastAsia"/>
          <w:b/>
          <w:color w:val="000000" w:themeColor="text1"/>
          <w:sz w:val="44"/>
          <w:szCs w:val="4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44"/>
          <w:szCs w:val="44"/>
          <w:highlight w:val="none"/>
          <w14:textFill>
            <w14:solidFill>
              <w14:schemeClr w14:val="tx1"/>
            </w14:solidFill>
          </w14:textFill>
        </w:rPr>
        <w:t>　同　</w:t>
      </w:r>
      <w:r>
        <w:rPr>
          <w:rFonts w:hint="eastAsia" w:asciiTheme="minorEastAsia" w:hAnsiTheme="minorEastAsia" w:cstheme="minorEastAsia"/>
          <w:b/>
          <w:color w:val="000000" w:themeColor="text1"/>
          <w:sz w:val="44"/>
          <w:szCs w:val="4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44"/>
          <w:szCs w:val="44"/>
          <w:highlight w:val="none"/>
          <w14:textFill>
            <w14:solidFill>
              <w14:schemeClr w14:val="tx1"/>
            </w14:solidFill>
          </w14:textFill>
        </w:rPr>
        <w:t>书</w:t>
      </w:r>
    </w:p>
    <w:p w14:paraId="7763F208">
      <w:pPr>
        <w:pStyle w:val="18"/>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044FB8C7">
      <w:pPr>
        <w:pStyle w:val="18"/>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7C332AC">
      <w:pPr>
        <w:pStyle w:val="18"/>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D819311">
      <w:pPr>
        <w:pStyle w:val="18"/>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4EC5F0E">
      <w:pPr>
        <w:pStyle w:val="18"/>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936A794">
      <w:pPr>
        <w:pStyle w:val="18"/>
        <w:keepNext w:val="0"/>
        <w:keepLines w:val="0"/>
        <w:pageBreakBefore w:val="0"/>
        <w:kinsoku/>
        <w:wordWrap/>
        <w:overflowPunct/>
        <w:topLinePunct w:val="0"/>
        <w:autoSpaceDE/>
        <w:autoSpaceDN/>
        <w:bidi w:val="0"/>
        <w:adjustRightInd/>
        <w:snapToGrid/>
        <w:spacing w:before="150" w:after="15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0BB0B23C">
      <w:pPr>
        <w:pStyle w:val="18"/>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项目编号：</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p>
    <w:p w14:paraId="0BB764C6">
      <w:pPr>
        <w:pStyle w:val="18"/>
        <w:keepNext w:val="0"/>
        <w:keepLines w:val="0"/>
        <w:pageBreakBefore w:val="0"/>
        <w:kinsoku/>
        <w:wordWrap/>
        <w:overflowPunct/>
        <w:topLinePunct w:val="0"/>
        <w:autoSpaceDE/>
        <w:autoSpaceDN/>
        <w:bidi w:val="0"/>
        <w:adjustRightInd/>
        <w:snapToGrid/>
        <w:spacing w:before="150" w:after="15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5B58A1D3">
      <w:pPr>
        <w:pStyle w:val="18"/>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p>
    <w:p w14:paraId="64E0E203">
      <w:pPr>
        <w:pStyle w:val="18"/>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09195DC">
      <w:pPr>
        <w:pStyle w:val="18"/>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0C32DCB">
      <w:pPr>
        <w:pStyle w:val="18"/>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EFE97C6">
      <w:pPr>
        <w:pStyle w:val="18"/>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7DB46F2">
      <w:pPr>
        <w:pStyle w:val="18"/>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20B61CB">
      <w:pPr>
        <w:pStyle w:val="18"/>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14:paraId="3B6AE423">
      <w:pPr>
        <w:pStyle w:val="18"/>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b/>
          <w:color w:val="000000" w:themeColor="text1"/>
          <w:szCs w:val="21"/>
          <w:highlight w:val="none"/>
          <w14:textFill>
            <w14:solidFill>
              <w14:schemeClr w14:val="tx1"/>
            </w14:solidFill>
          </w14:textFill>
        </w:rPr>
      </w:pPr>
    </w:p>
    <w:p w14:paraId="06F65F5D">
      <w:pPr>
        <w:pStyle w:val="18"/>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b/>
          <w:color w:val="000000" w:themeColor="text1"/>
          <w:szCs w:val="21"/>
          <w:highlight w:val="none"/>
          <w14:textFill>
            <w14:solidFill>
              <w14:schemeClr w14:val="tx1"/>
            </w14:solidFill>
          </w14:textFill>
        </w:rPr>
      </w:pPr>
    </w:p>
    <w:p w14:paraId="7FF74961">
      <w:pP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br w:type="page"/>
      </w:r>
    </w:p>
    <w:p w14:paraId="0CD38092">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甲方：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1DAB7EEF">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电话：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传真 ：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地址：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6A712F23">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乙方：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44C4D873">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电话：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传真：</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地址：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1795ECC2">
      <w:pPr>
        <w:pStyle w:val="18"/>
        <w:keepNext w:val="0"/>
        <w:keepLines w:val="0"/>
        <w:pageBreakBefore w:val="0"/>
        <w:widowControl/>
        <w:shd w:val="clear" w:fill="FFFFFF"/>
        <w:kinsoku/>
        <w:wordWrap/>
        <w:overflowPunct/>
        <w:topLinePunct w:val="0"/>
        <w:autoSpaceDE/>
        <w:autoSpaceDN/>
        <w:bidi w:val="0"/>
        <w:adjustRightInd/>
        <w:snapToGrid/>
        <w:spacing w:before="150" w:after="15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06FD3488">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根据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项目 </w:t>
      </w:r>
      <w:r>
        <w:rPr>
          <w:rFonts w:hint="eastAsia" w:ascii="宋体" w:hAnsi="宋体" w:eastAsia="宋体" w:cs="宋体"/>
          <w:color w:val="000000" w:themeColor="text1"/>
          <w:sz w:val="21"/>
          <w:szCs w:val="21"/>
          <w:highlight w:val="none"/>
          <w14:textFill>
            <w14:solidFill>
              <w14:schemeClr w14:val="tx1"/>
            </w14:solidFill>
          </w14:textFill>
        </w:rPr>
        <w:t>的采购结果，按照《中华人民共和国政府采购法》，《中华人民共和国民法典(合同编)》的规定，经双方协商，本着平等互利和诚实信用的原则，一致同意遵守本合同如下。</w:t>
      </w:r>
    </w:p>
    <w:p w14:paraId="2324F150">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一、合同金额</w:t>
      </w:r>
    </w:p>
    <w:p w14:paraId="12F1A9F9">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合同金额为（大写）：_____________元（￥_________元）人民币。</w:t>
      </w:r>
    </w:p>
    <w:p w14:paraId="6F8E2368">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二、服务范围</w:t>
      </w:r>
    </w:p>
    <w:p w14:paraId="6F4026F5">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甲方聘请乙方提供以下服务：</w:t>
      </w:r>
    </w:p>
    <w:p w14:paraId="49C5CB8C">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w:t>
      </w:r>
      <w:r>
        <w:rPr>
          <w:rFonts w:hint="eastAsia" w:ascii="宋体" w:hAnsi="宋体" w:eastAsia="宋体" w:cs="宋体"/>
          <w:color w:val="000000" w:themeColor="text1"/>
          <w:sz w:val="21"/>
          <w:szCs w:val="21"/>
          <w:highlight w:val="none"/>
          <w:u w:val="single"/>
          <w14:textFill>
            <w14:solidFill>
              <w14:schemeClr w14:val="tx1"/>
            </w14:solidFill>
          </w14:textFill>
        </w:rPr>
        <w:t>　　　　　　　　　　　</w:t>
      </w:r>
      <w:r>
        <w:rPr>
          <w:rFonts w:hint="eastAsia" w:ascii="宋体" w:hAnsi="宋体" w:eastAsia="宋体" w:cs="宋体"/>
          <w:color w:val="000000" w:themeColor="text1"/>
          <w:sz w:val="21"/>
          <w:szCs w:val="21"/>
          <w:highlight w:val="none"/>
          <w14:textFill>
            <w14:solidFill>
              <w14:schemeClr w14:val="tx1"/>
            </w14:solidFill>
          </w14:textFill>
        </w:rPr>
        <w:t>。</w:t>
      </w:r>
    </w:p>
    <w:p w14:paraId="6A8EC229">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2．</w:t>
      </w:r>
      <w:r>
        <w:rPr>
          <w:rFonts w:hint="eastAsia" w:ascii="宋体" w:hAnsi="宋体" w:eastAsia="宋体" w:cs="宋体"/>
          <w:color w:val="000000" w:themeColor="text1"/>
          <w:sz w:val="21"/>
          <w:szCs w:val="21"/>
          <w:highlight w:val="none"/>
          <w:u w:val="single"/>
          <w14:textFill>
            <w14:solidFill>
              <w14:schemeClr w14:val="tx1"/>
            </w14:solidFill>
          </w14:textFill>
        </w:rPr>
        <w:t>　　　　　　　　　　　</w:t>
      </w:r>
    </w:p>
    <w:p w14:paraId="6035AABA">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14:paraId="2CBEAFCF">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三、甲方乙方的权利和义务</w:t>
      </w:r>
    </w:p>
    <w:p w14:paraId="5382EE8E">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1.甲方的权利和义务</w:t>
      </w:r>
    </w:p>
    <w:p w14:paraId="71AE3183">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2.乙方的权利和义务</w:t>
      </w:r>
    </w:p>
    <w:p w14:paraId="3F901FCD">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四、服务期间（项目完成期限）</w:t>
      </w:r>
    </w:p>
    <w:p w14:paraId="5742BF0E">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1.委托服务期间自______年______月至______年______月止。</w:t>
      </w:r>
    </w:p>
    <w:p w14:paraId="47DE0186">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五、付款方式</w:t>
      </w:r>
    </w:p>
    <w:p w14:paraId="5B08178E">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由甲方按下列程序在</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内付款：</w:t>
      </w:r>
    </w:p>
    <w:p w14:paraId="6FA0145E">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1.在合同实施及服务人员到达服务地后__天内，甲方应将第一次付　　款总服务费的__(-%)付给乙方。</w:t>
      </w:r>
    </w:p>
    <w:p w14:paraId="19109C31">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2.第二次付款额应为总服务费的__(-%)，甲方应在乙方已经准备好，并递交了服务报告及其它相关文件，而这些报告和文件符合合同附件上的要求并被甲方验收后付给乙方。</w:t>
      </w:r>
    </w:p>
    <w:p w14:paraId="4F2487BE">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3.最后一次付款额应为总服务费的__(-%)，甲方应在乙方递交了服务总结报告和说明并完全履行合同完毕_________日内付给乙方。</w:t>
      </w:r>
    </w:p>
    <w:p w14:paraId="3BE844F2">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4.对于满足合同约定支付条件的，甲方应当自收到发票后30日内将资金支付到合同约定的乙方账户，不得以机构变动、人员更替、政策调整等为由延迟付款，不得将采购文件和合同中未规定的义务作为向乙方付款的条件。</w:t>
      </w:r>
    </w:p>
    <w:p w14:paraId="0EEF401C">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六、知识产权归属</w:t>
      </w:r>
    </w:p>
    <w:p w14:paraId="34F13E19">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七、保密</w:t>
      </w:r>
    </w:p>
    <w:p w14:paraId="37C63FC3">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八、违约责任与赔偿损失</w:t>
      </w:r>
    </w:p>
    <w:p w14:paraId="7F86E758">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1.乙方提供的服务不符合本合同规定的，甲方有权拒收，并且乙方须向甲方方支付本合同总价5%的违约金。</w:t>
      </w:r>
    </w:p>
    <w:p w14:paraId="4CEC236A">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2.乙方未能按本合同规定的交货时间提供服务，从逾期之日起每日按本合同总价3‰的数额向甲方支付违约金；逾期半个月以上的，甲方有权终止合同，由此造成的甲方经济损失由乙方承担。</w:t>
      </w:r>
    </w:p>
    <w:p w14:paraId="73476790">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3.甲方无正当理由拒收接受服务，到期拒付服务款项的，甲方向乙方偿付本合同总的5%的违约金。甲方人逾期付款，则每日按本合同总价的3‰向乙方偿付违约金。</w:t>
      </w:r>
    </w:p>
    <w:p w14:paraId="2CF3F604">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4.对于因甲方原因导致变更、中止或者终止政府采购合同的，甲方应当依照以下合同约定对供应商受到的损失予以赔偿或者补偿：</w:t>
      </w:r>
    </w:p>
    <w:p w14:paraId="182A9AE2">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1B092939">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5.其它违约责任按《中华人民共和国民法典(合同编)》处理。</w:t>
      </w:r>
    </w:p>
    <w:p w14:paraId="70B7673F">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九、争议的解决</w:t>
      </w:r>
    </w:p>
    <w:p w14:paraId="51D9FA4D">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firstLine="4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合同执行过程中发生的任何争议，如双方不能通过友好协商解决，按相关法律法规处理。     </w:t>
      </w:r>
    </w:p>
    <w:p w14:paraId="65B74F9C">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十、不可抗力</w:t>
      </w:r>
    </w:p>
    <w:p w14:paraId="7D49E1F2">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0F418010">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十一、税费</w:t>
      </w:r>
    </w:p>
    <w:p w14:paraId="1955D3E5">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在中国境内、外发生的与本合同执行有关的一切税费均由乙方负担。</w:t>
      </w:r>
    </w:p>
    <w:p w14:paraId="620A70A1">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十二、其它</w:t>
      </w:r>
    </w:p>
    <w:p w14:paraId="23902ED4">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1.本合同所有附件、招标文件、投标文件、中标通知书均为合同的有效组成部分，与本合同具有同等法律效力。</w:t>
      </w:r>
    </w:p>
    <w:p w14:paraId="76BD4835">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2.在执行本合同的过程中，所有经双方签署确认的文件（包括会议纪要、补充协议、往来信函）即成为本合同的有效组成部分。</w:t>
      </w:r>
    </w:p>
    <w:p w14:paraId="2BA0FC86">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3.如一方地址、电话、传真号码有变更，应在变更当日内书面通知对方，否则，应承担相应责任。</w:t>
      </w:r>
    </w:p>
    <w:p w14:paraId="0F2F4687">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4.除甲方事先书面同意外，乙方不得部分或全部转让其应履行的合同项下的义务。</w:t>
      </w:r>
    </w:p>
    <w:p w14:paraId="1A49E2FA">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十三、合同生效</w:t>
      </w:r>
    </w:p>
    <w:p w14:paraId="7E6D7563">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1.本合同在甲乙双方法人代表或其授权代表签字盖章后生效。</w:t>
      </w:r>
    </w:p>
    <w:p w14:paraId="55A56898">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2.合同一式</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份。</w:t>
      </w:r>
    </w:p>
    <w:p w14:paraId="037F7ECA">
      <w:pPr>
        <w:pStyle w:val="18"/>
        <w:keepNext w:val="0"/>
        <w:keepLines w:val="0"/>
        <w:pageBreakBefore w:val="0"/>
        <w:widowControl/>
        <w:shd w:val="clear" w:fill="FFFFFF"/>
        <w:kinsoku/>
        <w:wordWrap/>
        <w:overflowPunct/>
        <w:topLinePunct w:val="0"/>
        <w:autoSpaceDE/>
        <w:autoSpaceDN/>
        <w:bidi w:val="0"/>
        <w:adjustRightInd/>
        <w:snapToGrid/>
        <w:spacing w:before="150" w:after="15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6BFC5027">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甲方（盖章）：                </w:t>
      </w:r>
      <w:r>
        <w:rPr>
          <w:rFonts w:hint="eastAsia" w:ascii="宋体" w:hAnsi="宋体" w:eastAsia="宋体" w:cs="宋体"/>
          <w:b/>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乙方（盖章）：</w:t>
      </w:r>
    </w:p>
    <w:p w14:paraId="531CA014">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代表：                       </w:t>
      </w:r>
      <w:r>
        <w:rPr>
          <w:rFonts w:hint="eastAsia" w:ascii="宋体" w:hAnsi="宋体" w:eastAsia="宋体" w:cs="宋体"/>
          <w:b/>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代表：</w:t>
      </w:r>
    </w:p>
    <w:p w14:paraId="5D83F218">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签订地点：</w:t>
      </w:r>
    </w:p>
    <w:p w14:paraId="428FEB98">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签订日期：　　　年　　月　　日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签订日期：　　　年　　月　　日</w:t>
      </w:r>
    </w:p>
    <w:p w14:paraId="6344F802">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p>
    <w:p w14:paraId="785E5D1D">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银行帐号：</w:t>
      </w:r>
    </w:p>
    <w:p w14:paraId="3AFAF099">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 户 行：</w:t>
      </w:r>
    </w:p>
    <w:p w14:paraId="12F609AB">
      <w:pPr>
        <w:pStyle w:val="18"/>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12C56C0">
      <w:pPr>
        <w:pStyle w:val="18"/>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44E4054">
      <w:pPr>
        <w:pStyle w:val="18"/>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F0A7D4F">
      <w:pPr>
        <w:pStyle w:val="18"/>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F09875B">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37BA1F71">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0B60BD1B">
      <w:pPr>
        <w:pStyle w:val="18"/>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bookmarkStart w:id="89" w:name="_Toc287"/>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第六章 投标文件格式与要求</w:t>
      </w:r>
      <w:bookmarkEnd w:id="89"/>
    </w:p>
    <w:p w14:paraId="59B65CA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投标人应提交证明其有资格参加投标和中标后有能力履行合同的相关文件，并作为其投标文件的一部分，所有文件必须真实可靠、不得伪造，否则将按相关规定予以处罚。</w:t>
      </w:r>
    </w:p>
    <w:p w14:paraId="5250715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1.法人或者其他组织的营业执照等证明文件，自然人的身份证明：</w:t>
      </w:r>
    </w:p>
    <w:p w14:paraId="0341DFB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14:paraId="586B715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14:paraId="7279FFC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2.财务状况报告，依法缴纳税收和社会保障资金的相关材料（详见资格性审查表要求）</w:t>
      </w:r>
    </w:p>
    <w:p w14:paraId="275C3E5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3.具有履行合同所必需的设备和专业技术能力的声明。</w:t>
      </w:r>
    </w:p>
    <w:p w14:paraId="189B0BD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4.投标人参加政府采购前三年内在经营活动中没有重大违法记录书面声明函。</w:t>
      </w:r>
    </w:p>
    <w:p w14:paraId="1E23D19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5.信用记录查询</w:t>
      </w:r>
    </w:p>
    <w:p w14:paraId="11D365D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（1）查询渠道：通过“信用中国”网站(www.creditchina.gov.cn)和“中国政府采购网”（www.ccgp.gov.cn）进行查询；</w:t>
      </w:r>
    </w:p>
    <w:p w14:paraId="0E59593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（2）查询截止时点：提交投标文件截止日当天；</w:t>
      </w:r>
    </w:p>
    <w:p w14:paraId="69C4EEA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（3）查询记录：对列入失信被执行人、重大税收违法案件当事人名单、政府采购严重违法失信行为记录名单、信用报告进行查询；</w:t>
      </w:r>
    </w:p>
    <w:p w14:paraId="2447CF4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14:paraId="6C66CCE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 按照招标文件要求，投标人应当提交的资格、资信证明文件。</w:t>
      </w:r>
    </w:p>
    <w:p w14:paraId="0ACEEA15">
      <w:pPr>
        <w:rPr>
          <w:rFonts w:hint="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br w:type="textWrapping"/>
      </w:r>
    </w:p>
    <w:p w14:paraId="52F7002C">
      <w:pPr>
        <w:rPr>
          <w:rFonts w:hint="eastAsia"/>
          <w:color w:val="000000" w:themeColor="text1"/>
          <w:highlight w:val="none"/>
          <w14:textFill>
            <w14:solidFill>
              <w14:schemeClr w14:val="tx1"/>
            </w14:solidFill>
          </w14:textFill>
        </w:rPr>
      </w:pPr>
    </w:p>
    <w:p w14:paraId="1811C776">
      <w:pPr>
        <w:rPr>
          <w:rFonts w:hint="eastAsia"/>
          <w:color w:val="000000" w:themeColor="text1"/>
          <w:highlight w:val="none"/>
          <w14:textFill>
            <w14:solidFill>
              <w14:schemeClr w14:val="tx1"/>
            </w14:solidFill>
          </w14:textFill>
        </w:rPr>
      </w:pPr>
    </w:p>
    <w:p w14:paraId="37621915">
      <w:pPr>
        <w:rPr>
          <w:rFonts w:hint="eastAsia"/>
          <w:color w:val="000000" w:themeColor="text1"/>
          <w:highlight w:val="none"/>
          <w14:textFill>
            <w14:solidFill>
              <w14:schemeClr w14:val="tx1"/>
            </w14:solidFill>
          </w14:textFill>
        </w:rPr>
      </w:pPr>
    </w:p>
    <w:p w14:paraId="6BC4B0FE">
      <w:pP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br w:type="page"/>
      </w:r>
    </w:p>
    <w:p w14:paraId="2E230EA7">
      <w:pPr>
        <w:pStyle w:val="18"/>
        <w:keepNext w:val="0"/>
        <w:keepLines w:val="0"/>
        <w:pageBreakBefore w:val="0"/>
        <w:widowControl/>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bookmarkStart w:id="90" w:name="_Toc12657"/>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t>投标文件封面</w:t>
      </w:r>
      <w:bookmarkEnd w:id="90"/>
    </w:p>
    <w:p w14:paraId="207F05C8">
      <w:pPr>
        <w:pStyle w:val="18"/>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t>（项目名称）</w:t>
      </w:r>
    </w:p>
    <w:p w14:paraId="581D03B8">
      <w:pPr>
        <w:pStyle w:val="18"/>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p>
    <w:p w14:paraId="4CA4AA58">
      <w:pPr>
        <w:pStyle w:val="18"/>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t>投标文件封面</w:t>
      </w:r>
    </w:p>
    <w:p w14:paraId="2C30717E">
      <w:pPr>
        <w:pStyle w:val="18"/>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t>（正本/副本）</w:t>
      </w:r>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br w:type="textWrapping"/>
      </w:r>
      <w:r>
        <w:rPr>
          <w:rFonts w:hint="eastAsia" w:asciiTheme="minorEastAsia" w:hAnsiTheme="minorEastAsia" w:eastAsiaTheme="minorEastAsia" w:cstheme="minorEastAsia"/>
          <w:b/>
          <w:bCs w:val="0"/>
          <w:color w:val="000000" w:themeColor="text1"/>
          <w:sz w:val="32"/>
          <w:szCs w:val="32"/>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p>
    <w:p w14:paraId="45D736D4">
      <w:pPr>
        <w:pStyle w:val="18"/>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采购项目编号：</w:t>
      </w:r>
      <w:r>
        <w:rPr>
          <w:rFonts w:hint="eastAsia" w:asciiTheme="minorEastAsia" w:hAnsiTheme="minorEastAsia" w:cstheme="minorEastAsia"/>
          <w:b/>
          <w:color w:val="000000" w:themeColor="text1"/>
          <w:sz w:val="28"/>
          <w:szCs w:val="28"/>
          <w:highlight w:val="none"/>
          <w:lang w:eastAsia="zh-CN"/>
          <w14:textFill>
            <w14:solidFill>
              <w14:schemeClr w14:val="tx1"/>
            </w14:solidFill>
          </w14:textFill>
        </w:rPr>
        <w:t>YXCG-20260527</w:t>
      </w:r>
    </w:p>
    <w:p w14:paraId="7DF91495">
      <w:pPr>
        <w:pStyle w:val="18"/>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所投采购包：第 包</w:t>
      </w:r>
    </w:p>
    <w:p w14:paraId="21D3472F">
      <w:pPr>
        <w:pStyle w:val="18"/>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（投标人名称）</w:t>
      </w:r>
    </w:p>
    <w:p w14:paraId="3B29383D">
      <w:pPr>
        <w:pStyle w:val="18"/>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年</w:t>
      </w:r>
      <w:r>
        <w:rPr>
          <w:rFonts w:hint="eastAsia" w:asciiTheme="minorEastAsia" w:hAnsiTheme="minorEastAsia" w:cstheme="minorEastAsia"/>
          <w:b/>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 xml:space="preserve"> 月</w:t>
      </w:r>
      <w:r>
        <w:rPr>
          <w:rFonts w:hint="eastAsia" w:asciiTheme="minorEastAsia" w:hAnsiTheme="minorEastAsia" w:cstheme="minorEastAsia"/>
          <w:b/>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 xml:space="preserve"> 日</w:t>
      </w:r>
    </w:p>
    <w:p w14:paraId="1AE15594">
      <w:pPr>
        <w:rPr>
          <w:rFonts w:hint="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356A6030">
      <w:pPr>
        <w:rPr>
          <w:rFonts w:hint="eastAsia"/>
          <w:color w:val="000000" w:themeColor="text1"/>
          <w:highlight w:val="none"/>
          <w14:textFill>
            <w14:solidFill>
              <w14:schemeClr w14:val="tx1"/>
            </w14:solidFill>
          </w14:textFill>
        </w:rPr>
      </w:pPr>
    </w:p>
    <w:p w14:paraId="64F73DD1">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4BD54478">
      <w:pPr>
        <w:pStyle w:val="18"/>
        <w:keepNext w:val="0"/>
        <w:keepLines w:val="0"/>
        <w:pageBreakBefore w:val="0"/>
        <w:widowControl/>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bookmarkStart w:id="91" w:name="_Toc16540"/>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投标文件目录</w:t>
      </w:r>
      <w:bookmarkEnd w:id="91"/>
    </w:p>
    <w:p w14:paraId="74FFEE6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一、投标函</w:t>
      </w:r>
    </w:p>
    <w:p w14:paraId="2312AC0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二、开标一览表</w:t>
      </w:r>
    </w:p>
    <w:p w14:paraId="64F5FA0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三、分项报价表</w:t>
      </w:r>
    </w:p>
    <w:p w14:paraId="13AC119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四、政策适用性说明</w:t>
      </w:r>
    </w:p>
    <w:p w14:paraId="08140FE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五、关于符合本国产品标准的声明函等有关证明文件</w:t>
      </w:r>
    </w:p>
    <w:p w14:paraId="2B4D583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六、法定代表人证明书</w:t>
      </w:r>
    </w:p>
    <w:p w14:paraId="1D45EC9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七、法定代表人授权书</w:t>
      </w:r>
    </w:p>
    <w:p w14:paraId="03ECA84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八、投标保证金</w:t>
      </w:r>
    </w:p>
    <w:p w14:paraId="46B63BA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九、提供具有独立承担民事责任的能力的证明材料</w:t>
      </w:r>
    </w:p>
    <w:p w14:paraId="77B46A9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十、资格性审查要求的其他资质证明文件</w:t>
      </w:r>
    </w:p>
    <w:p w14:paraId="3566B3F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十一、承诺函</w:t>
      </w:r>
    </w:p>
    <w:p w14:paraId="7779079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十二、中小企业声明函</w:t>
      </w:r>
    </w:p>
    <w:p w14:paraId="6C3F54D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十三、监狱企业</w:t>
      </w:r>
    </w:p>
    <w:p w14:paraId="55754EE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十四、残疾人福利性单位声明函</w:t>
      </w:r>
    </w:p>
    <w:p w14:paraId="5E38791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十五、联合体共同投标协议书</w:t>
      </w:r>
    </w:p>
    <w:p w14:paraId="54D3976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十六、投标人业绩情况表</w:t>
      </w:r>
    </w:p>
    <w:p w14:paraId="1E5D1C9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十七、技术和服务要求响应表</w:t>
      </w:r>
    </w:p>
    <w:p w14:paraId="2528062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十八、商务条件响应表</w:t>
      </w:r>
    </w:p>
    <w:p w14:paraId="35AAEDA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十九、履约进度计划表</w:t>
      </w:r>
    </w:p>
    <w:p w14:paraId="0EF70B7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二十、各类证明材料</w:t>
      </w:r>
    </w:p>
    <w:p w14:paraId="0F49F83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二十一、采购代理服务费支付承诺书</w:t>
      </w:r>
    </w:p>
    <w:p w14:paraId="5B27CE0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二十二、需要采购人提供的附加条件</w:t>
      </w:r>
    </w:p>
    <w:p w14:paraId="76F293A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二十三、询问函、质疑函、投诉书格式</w:t>
      </w:r>
    </w:p>
    <w:p w14:paraId="04DFD32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二十四、项目实施方案、质量保证及售后服务承诺等</w:t>
      </w:r>
    </w:p>
    <w:p w14:paraId="1E9216E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525D72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7F8892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6C506B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603A62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6AFA925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560F86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100FD7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8A1016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926FE98">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92" w:name="_Toc2983"/>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格式一：投标函</w:t>
      </w:r>
      <w:bookmarkEnd w:id="92"/>
    </w:p>
    <w:p w14:paraId="0FB71F55">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投标函</w:t>
      </w:r>
    </w:p>
    <w:p w14:paraId="505DE0B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致：</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广东业信采购招标有限公司</w:t>
      </w:r>
    </w:p>
    <w:p w14:paraId="1342630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你方组织的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cstheme="minorEastAsia"/>
          <w:color w:val="000000" w:themeColor="text1"/>
          <w:sz w:val="21"/>
          <w:szCs w:val="21"/>
          <w:highlight w:val="none"/>
          <w:u w:val="single"/>
          <w:lang w:eastAsia="zh-CN"/>
          <w14:textFill>
            <w14:solidFill>
              <w14:schemeClr w14:val="tx1"/>
            </w14:solidFill>
          </w14:textFill>
        </w:rPr>
        <w:t>阳江市阳东区华南师范大学附属阳东小学食堂大宗食材配送服务采购项目</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项目的招标[采购项目编号为：</w:t>
      </w:r>
      <w:r>
        <w:rPr>
          <w:rFonts w:hint="eastAsia" w:asciiTheme="minorEastAsia" w:hAnsiTheme="minorEastAsia" w:cstheme="minorEastAsia"/>
          <w:color w:val="000000" w:themeColor="text1"/>
          <w:sz w:val="21"/>
          <w:szCs w:val="21"/>
          <w:highlight w:val="none"/>
          <w:u w:val="single"/>
          <w:lang w:eastAsia="zh-CN"/>
          <w14:textFill>
            <w14:solidFill>
              <w14:schemeClr w14:val="tx1"/>
            </w14:solidFill>
          </w14:textFill>
        </w:rPr>
        <w:t>YXCG-20260527</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]，我方愿参与投标。</w:t>
      </w:r>
    </w:p>
    <w:p w14:paraId="258D776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(投标人名称)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作为投标人正式授权</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(授权代表全名,职务)</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代表我方全权处理有关本投标的一切事宜。</w:t>
      </w:r>
    </w:p>
    <w:p w14:paraId="74E347C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我方确认收到贵方提供的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cstheme="minorEastAsia"/>
          <w:color w:val="000000" w:themeColor="text1"/>
          <w:sz w:val="21"/>
          <w:szCs w:val="21"/>
          <w:highlight w:val="none"/>
          <w:u w:val="single"/>
          <w:lang w:eastAsia="zh-CN"/>
          <w14:textFill>
            <w14:solidFill>
              <w14:schemeClr w14:val="tx1"/>
            </w14:solidFill>
          </w14:textFill>
        </w:rPr>
        <w:t>阳江市阳东区华南师范大学附属阳东小学食堂大宗食材配送服务采购项目</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项目的招标文件的全部内容。</w:t>
      </w:r>
    </w:p>
    <w:p w14:paraId="4F5C30B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我方已完全明白招标文件的所有条款要求，并申明如下：</w:t>
      </w:r>
    </w:p>
    <w:p w14:paraId="70E44C7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（一）按招标文件提供全部标的投标总价详见《开标一览表》。</w:t>
      </w:r>
    </w:p>
    <w:p w14:paraId="3A710DC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二）本投标文件的有效期为从提交投标（响应）文件的截止之日起90日历天。在此提交的资格证明文件均至投标截止日有效，如有在投标有效期内失效的，我方承诺在中标后补齐一切手续，保证所有资格证明文件直至采购合同终止日有效。</w:t>
      </w:r>
    </w:p>
    <w:p w14:paraId="590657C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（三）我方明白并同意，在规定的开标日之后，投标有效期之内撤销投标或中标后不按规定与采购人签订合同或不提交履约保证金, 则贵方将不予退还投标保证金。</w:t>
      </w:r>
    </w:p>
    <w:p w14:paraId="4AF3AA1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（四）我方愿意向贵方提供任何与本项报价有关的数据、情况和技术资料。若贵方需要，我方愿意提供我方作出的一切承诺的证明材料。</w:t>
      </w:r>
    </w:p>
    <w:p w14:paraId="49006BB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（五）我方理解贵方不一定接受最低投标价或任何贵方可能收到的投标。</w:t>
      </w:r>
    </w:p>
    <w:p w14:paraId="54107C9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（六）我方如果中标，将保证履行招标（采购）文件及其澄清、修改文件（如果有）以及投标（响应）文件中的全部责任和义务，按质、按量、按期完成《合同书》中的全部任务。</w:t>
      </w:r>
    </w:p>
    <w:p w14:paraId="04BF31E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（七）我方作为法律、财务和运作上独立于采购人、采购代理机构的投标人，在此保证所提交的所有文件和全部说明是真实的和正确的。</w:t>
      </w:r>
    </w:p>
    <w:p w14:paraId="1B55791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（八）我方投标报价已包含应向知识产权所有权人支付的所有相关税费，并保证采购人在中国使用我方提供的标的时，如有第三方提出侵犯其知识产权主张的，责任由我方承担。</w:t>
      </w:r>
    </w:p>
    <w:p w14:paraId="0A89EA3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（九）我方接受采购人委托向贵方支付代理服务费，项目总报价已包含代理服务费，如果被确定为中标人，承诺向贵方足额支付。（若采购人支付代理服务费，则此条不适用）</w:t>
      </w:r>
    </w:p>
    <w:p w14:paraId="48D8932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（十）我方与其他投标人不存在单位负责人为同一人或者存在直接控股、管理关系。</w:t>
      </w:r>
    </w:p>
    <w:p w14:paraId="0F2DC86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（十一）投标人未存在《政府采购法实施条例》第十八条第二款规定的情形：</w:t>
      </w:r>
    </w:p>
    <w:p w14:paraId="4DF2E18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（1）对于除整体设计、规范编制或者项目管理、监理、检测等服务以外的采购项目:即未为本项目提供整体设计、规范编制或者项目管理、监理、检测等服务；</w:t>
      </w:r>
    </w:p>
    <w:p w14:paraId="4C4AF6E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（2）对于整体设计、规范编制或者项目管理、监理、检测等服务的项目:即未成为本项目除前期整体设计、规范编制或者项目管理、监理、检测等服务以外的其它采购活动中标商(或成交商)；</w:t>
      </w:r>
    </w:p>
    <w:p w14:paraId="777C683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（3）对于设计施工一体化的项目:即未为本项目提供规范编制或者项目管理、监理、检测等服务。</w:t>
      </w:r>
    </w:p>
    <w:p w14:paraId="5183801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（十二）我方承诺遵守《中华人民共和国民法典》有关规定和《中华人民共和国妇女权益保障法》中关于“劳动和社会保障权益”的有关要求。</w:t>
      </w:r>
    </w:p>
    <w:p w14:paraId="6357B6F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（十三）我方具备《中华人民共和国政府采购法》第二十二条规定的条件，声明如下：</w:t>
      </w:r>
    </w:p>
    <w:p w14:paraId="77FE5DE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我方参加本项目政府采购活动前3年内在经营活动中没有以下违法记录；因违法经营被禁止参加政府采购活动的期限已届满；因违法经营受到刑事处罚或者责令停产停业、吊销许可证或者执照、较大数额罚款等行政处罚。</w:t>
      </w:r>
    </w:p>
    <w:p w14:paraId="46E5D54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（2）我方符合法律、行政法规规定的其他条件。</w:t>
      </w:r>
    </w:p>
    <w:p w14:paraId="507CF36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四）如我方中标，将保证投标文件所提供的材料（包括需要年审、继续教育等完成后才能执业的行政许可、人员证书等情形），如果有效期未能覆盖项目（包组）合同履行期的，将提前按规定办理延期手续，确保合同顺利履行。</w:t>
      </w:r>
    </w:p>
    <w:p w14:paraId="42669E7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（十五）我方对在本函及投标文件中所作的所有承诺承担法律责任。</w:t>
      </w:r>
    </w:p>
    <w:p w14:paraId="5C65754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（十六）以上内容如有虚假或与事实不符的，评标委员会可将我方做无效投标处理，我方愿意承担相应的法律责任。</w:t>
      </w:r>
    </w:p>
    <w:p w14:paraId="6E6A319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（十七）所有与本招标有关的函件请发往下列地址：</w:t>
      </w:r>
    </w:p>
    <w:p w14:paraId="626DD04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地 址：__________________邮政编码：__________________</w:t>
      </w:r>
    </w:p>
    <w:p w14:paraId="2F5E4C5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电 话：__________________</w:t>
      </w:r>
    </w:p>
    <w:p w14:paraId="30CD4C1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传 真：__________________电子邮箱：__________________</w:t>
      </w:r>
    </w:p>
    <w:p w14:paraId="0B1ACAA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代表姓名：__________________职 务：__________________</w:t>
      </w:r>
    </w:p>
    <w:p w14:paraId="2742A57A">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投标人法定代表人（或法定代表人授权代表）签字或盖章：__________________</w:t>
      </w:r>
    </w:p>
    <w:p w14:paraId="3A72D0BA">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投标人名称（盖章）：__________________</w:t>
      </w:r>
    </w:p>
    <w:p w14:paraId="2D0453C6">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5499545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A7110E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3192CDAE">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0707F08">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D305A8F">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01D9689">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FCF5025">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3BD6DEC">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61C1F62">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8BA5173">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2E74CD5">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40EBCF3">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93" w:name="_Toc30226"/>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格式二：开标一览表</w:t>
      </w:r>
      <w:bookmarkEnd w:id="93"/>
    </w:p>
    <w:p w14:paraId="2CAA51BF">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B6CB393">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开标一览表</w:t>
      </w:r>
    </w:p>
    <w:p w14:paraId="7C4FADF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2AF0BC8A">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采购项目编号：</w:t>
      </w:r>
    </w:p>
    <w:p w14:paraId="6113A8E1">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w:t>
      </w:r>
    </w:p>
    <w:p w14:paraId="7631E8F8">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投标人名称：</w:t>
      </w:r>
    </w:p>
    <w:p w14:paraId="2FE8CE32">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bl>
      <w:tblPr>
        <w:tblStyle w:val="15"/>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76"/>
        <w:gridCol w:w="2010"/>
        <w:gridCol w:w="2062"/>
        <w:gridCol w:w="1357"/>
        <w:gridCol w:w="1331"/>
        <w:gridCol w:w="1235"/>
      </w:tblGrid>
      <w:tr w14:paraId="336624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11" w:type="dxa"/>
            <w:vAlign w:val="center"/>
          </w:tcPr>
          <w:p w14:paraId="6DBCE695">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1888" w:type="dxa"/>
            <w:vAlign w:val="center"/>
          </w:tcPr>
          <w:p w14:paraId="7D51176B">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采购项目名称/采购包名称</w:t>
            </w:r>
          </w:p>
        </w:tc>
        <w:tc>
          <w:tcPr>
            <w:tcW w:w="1937" w:type="dxa"/>
            <w:vAlign w:val="center"/>
          </w:tcPr>
          <w:p w14:paraId="35D83993">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投标报价</w:t>
            </w:r>
          </w:p>
          <w:p w14:paraId="3C7EAB36">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（元/%）</w:t>
            </w:r>
          </w:p>
        </w:tc>
        <w:tc>
          <w:tcPr>
            <w:tcW w:w="1275" w:type="dxa"/>
            <w:vAlign w:val="center"/>
          </w:tcPr>
          <w:p w14:paraId="0F9C693F">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交货或服务期</w:t>
            </w:r>
          </w:p>
        </w:tc>
        <w:tc>
          <w:tcPr>
            <w:tcW w:w="1250" w:type="dxa"/>
            <w:vAlign w:val="center"/>
          </w:tcPr>
          <w:p w14:paraId="0579F15B">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交货或服务地点</w:t>
            </w:r>
          </w:p>
        </w:tc>
        <w:tc>
          <w:tcPr>
            <w:tcW w:w="1159" w:type="dxa"/>
            <w:vAlign w:val="center"/>
          </w:tcPr>
          <w:p w14:paraId="4B8CE764">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备注</w:t>
            </w:r>
          </w:p>
        </w:tc>
      </w:tr>
      <w:tr w14:paraId="72C966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30" w:hRule="atLeast"/>
          <w:jc w:val="center"/>
        </w:trPr>
        <w:tc>
          <w:tcPr>
            <w:tcW w:w="1011" w:type="dxa"/>
          </w:tcPr>
          <w:p w14:paraId="5F877529">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p>
        </w:tc>
        <w:tc>
          <w:tcPr>
            <w:tcW w:w="1888" w:type="dxa"/>
          </w:tcPr>
          <w:p w14:paraId="503B6F7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937" w:type="dxa"/>
          </w:tcPr>
          <w:p w14:paraId="0A8FABC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75" w:type="dxa"/>
          </w:tcPr>
          <w:p w14:paraId="777D5DB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50" w:type="dxa"/>
          </w:tcPr>
          <w:p w14:paraId="6B30AC0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59" w:type="dxa"/>
          </w:tcPr>
          <w:p w14:paraId="75ED46C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7B8EF32F">
      <w:pPr>
        <w:numPr>
          <w:ilvl w:val="0"/>
          <w:numId w:val="0"/>
        </w:numPr>
        <w:tabs>
          <w:tab w:val="left" w:pos="1365"/>
        </w:tabs>
        <w:spacing w:line="360" w:lineRule="auto"/>
        <w:ind w:leftChars="0"/>
        <w:rPr>
          <w:rFonts w:hint="eastAsia" w:ascii="宋体" w:hAnsi="宋体"/>
          <w:bCs/>
          <w:color w:val="000000" w:themeColor="text1"/>
          <w:highlight w:val="none"/>
          <w:lang w:val="en-US" w:eastAsia="zh-CN"/>
          <w14:textFill>
            <w14:solidFill>
              <w14:schemeClr w14:val="tx1"/>
            </w14:solidFill>
          </w14:textFill>
        </w:rPr>
      </w:pPr>
    </w:p>
    <w:p w14:paraId="0C6F0EE3">
      <w:pPr>
        <w:numPr>
          <w:ilvl w:val="0"/>
          <w:numId w:val="0"/>
        </w:numPr>
        <w:tabs>
          <w:tab w:val="left" w:pos="1365"/>
        </w:tabs>
        <w:spacing w:line="360" w:lineRule="auto"/>
        <w:ind w:leftChars="0"/>
        <w:rPr>
          <w:rFonts w:hint="eastAsia" w:ascii="宋体" w:hAnsi="宋体" w:eastAsia="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注：</w:t>
      </w:r>
    </w:p>
    <w:p w14:paraId="2262AA0D">
      <w:pPr>
        <w:numPr>
          <w:ilvl w:val="0"/>
          <w:numId w:val="3"/>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投标人填写此表时不得改变表格的形式。</w:t>
      </w:r>
    </w:p>
    <w:p w14:paraId="2C43B35C">
      <w:pPr>
        <w:numPr>
          <w:ilvl w:val="0"/>
          <w:numId w:val="3"/>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14:paraId="65C142DA">
      <w:pPr>
        <w:numPr>
          <w:ilvl w:val="0"/>
          <w:numId w:val="3"/>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14:paraId="5BD009C5">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5BF2929">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39DC8A6">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258D8E4">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0A9D151">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8DD118B">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投标人签章：__________________</w:t>
      </w:r>
    </w:p>
    <w:p w14:paraId="190DC319">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日期： 年 月 日</w:t>
      </w:r>
    </w:p>
    <w:p w14:paraId="6D5F644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1FD495AC">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1E50609">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E8F2C06">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5DE8CF1">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F1108C8">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CF292A1">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F7EB1DB">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04E1967">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94" w:name="_Toc29849"/>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格式三：分项报价表</w:t>
      </w:r>
      <w:bookmarkEnd w:id="94"/>
    </w:p>
    <w:p w14:paraId="37A6BA22">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310D23A">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分项报价表</w:t>
      </w:r>
    </w:p>
    <w:p w14:paraId="3F3B137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2588169E">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采购项目编号：</w:t>
      </w:r>
    </w:p>
    <w:p w14:paraId="1E3DE2E5">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w:t>
      </w:r>
    </w:p>
    <w:p w14:paraId="22540ED6">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投标人名称：</w:t>
      </w:r>
    </w:p>
    <w:p w14:paraId="78216295">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w:t>
      </w:r>
    </w:p>
    <w:p w14:paraId="5BB12837">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货币及单位：人民币/元</w:t>
      </w:r>
    </w:p>
    <w:tbl>
      <w:tblPr>
        <w:tblStyle w:val="15"/>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7"/>
        <w:gridCol w:w="907"/>
        <w:gridCol w:w="907"/>
        <w:gridCol w:w="907"/>
        <w:gridCol w:w="907"/>
        <w:gridCol w:w="907"/>
        <w:gridCol w:w="907"/>
        <w:gridCol w:w="907"/>
        <w:gridCol w:w="907"/>
        <w:gridCol w:w="908"/>
      </w:tblGrid>
      <w:tr w14:paraId="79D9EA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vAlign w:val="top"/>
          </w:tcPr>
          <w:p w14:paraId="31BD213A">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品目号</w:t>
            </w:r>
          </w:p>
        </w:tc>
        <w:tc>
          <w:tcPr>
            <w:tcW w:w="831" w:type="dxa"/>
            <w:vAlign w:val="top"/>
          </w:tcPr>
          <w:p w14:paraId="3A3594B5">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序号</w:t>
            </w:r>
          </w:p>
        </w:tc>
        <w:tc>
          <w:tcPr>
            <w:tcW w:w="831" w:type="dxa"/>
            <w:vAlign w:val="top"/>
          </w:tcPr>
          <w:p w14:paraId="39B54D94">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货物名称</w:t>
            </w:r>
          </w:p>
        </w:tc>
        <w:tc>
          <w:tcPr>
            <w:tcW w:w="831" w:type="dxa"/>
            <w:vAlign w:val="top"/>
          </w:tcPr>
          <w:p w14:paraId="76BB816D">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规格型号</w:t>
            </w:r>
          </w:p>
        </w:tc>
        <w:tc>
          <w:tcPr>
            <w:tcW w:w="831" w:type="dxa"/>
            <w:vAlign w:val="top"/>
          </w:tcPr>
          <w:p w14:paraId="642EBBAB">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品牌</w:t>
            </w:r>
          </w:p>
        </w:tc>
        <w:tc>
          <w:tcPr>
            <w:tcW w:w="831" w:type="dxa"/>
            <w:vAlign w:val="top"/>
          </w:tcPr>
          <w:p w14:paraId="3DB52DDD">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产地</w:t>
            </w:r>
          </w:p>
        </w:tc>
        <w:tc>
          <w:tcPr>
            <w:tcW w:w="831" w:type="dxa"/>
            <w:vAlign w:val="top"/>
          </w:tcPr>
          <w:p w14:paraId="4D6A3D48">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制造商名称</w:t>
            </w:r>
          </w:p>
        </w:tc>
        <w:tc>
          <w:tcPr>
            <w:tcW w:w="831" w:type="dxa"/>
            <w:vAlign w:val="top"/>
          </w:tcPr>
          <w:p w14:paraId="56F5585E">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单价</w:t>
            </w:r>
          </w:p>
        </w:tc>
        <w:tc>
          <w:tcPr>
            <w:tcW w:w="831" w:type="dxa"/>
            <w:vAlign w:val="top"/>
          </w:tcPr>
          <w:p w14:paraId="3681A876">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数量</w:t>
            </w:r>
          </w:p>
        </w:tc>
        <w:tc>
          <w:tcPr>
            <w:tcW w:w="831" w:type="dxa"/>
            <w:vAlign w:val="top"/>
          </w:tcPr>
          <w:p w14:paraId="06D7ECF4">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总价</w:t>
            </w:r>
          </w:p>
        </w:tc>
      </w:tr>
      <w:tr w14:paraId="4232AF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vAlign w:val="top"/>
          </w:tcPr>
          <w:p w14:paraId="118089E9">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p>
        </w:tc>
        <w:tc>
          <w:tcPr>
            <w:tcW w:w="831" w:type="dxa"/>
            <w:vAlign w:val="top"/>
          </w:tcPr>
          <w:p w14:paraId="588EDB9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31" w:type="dxa"/>
            <w:vAlign w:val="top"/>
          </w:tcPr>
          <w:p w14:paraId="744CF0F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31" w:type="dxa"/>
            <w:vAlign w:val="top"/>
          </w:tcPr>
          <w:p w14:paraId="39B5971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31" w:type="dxa"/>
            <w:vAlign w:val="top"/>
          </w:tcPr>
          <w:p w14:paraId="43F060B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31" w:type="dxa"/>
            <w:vAlign w:val="top"/>
          </w:tcPr>
          <w:p w14:paraId="1DEB586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31" w:type="dxa"/>
            <w:vAlign w:val="top"/>
          </w:tcPr>
          <w:p w14:paraId="5F99BC3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31" w:type="dxa"/>
            <w:vAlign w:val="top"/>
          </w:tcPr>
          <w:p w14:paraId="715CE6B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31" w:type="dxa"/>
            <w:vAlign w:val="top"/>
          </w:tcPr>
          <w:p w14:paraId="71C072E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31" w:type="dxa"/>
            <w:vAlign w:val="top"/>
          </w:tcPr>
          <w:p w14:paraId="1A770C8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18B47CA2">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p>
    <w:tbl>
      <w:tblPr>
        <w:tblStyle w:val="15"/>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7"/>
        <w:gridCol w:w="907"/>
        <w:gridCol w:w="907"/>
        <w:gridCol w:w="907"/>
        <w:gridCol w:w="907"/>
        <w:gridCol w:w="907"/>
        <w:gridCol w:w="907"/>
        <w:gridCol w:w="907"/>
        <w:gridCol w:w="907"/>
        <w:gridCol w:w="908"/>
      </w:tblGrid>
      <w:tr w14:paraId="49C495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vAlign w:val="top"/>
          </w:tcPr>
          <w:p w14:paraId="1FF91BC6">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品目号</w:t>
            </w:r>
          </w:p>
        </w:tc>
        <w:tc>
          <w:tcPr>
            <w:tcW w:w="831" w:type="dxa"/>
            <w:vAlign w:val="top"/>
          </w:tcPr>
          <w:p w14:paraId="13880D61">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序号</w:t>
            </w:r>
          </w:p>
        </w:tc>
        <w:tc>
          <w:tcPr>
            <w:tcW w:w="831" w:type="dxa"/>
            <w:vAlign w:val="top"/>
          </w:tcPr>
          <w:p w14:paraId="35FCB66F">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服务名称</w:t>
            </w:r>
          </w:p>
        </w:tc>
        <w:tc>
          <w:tcPr>
            <w:tcW w:w="831" w:type="dxa"/>
            <w:vAlign w:val="top"/>
          </w:tcPr>
          <w:p w14:paraId="71DF3F09">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服务范围</w:t>
            </w:r>
          </w:p>
        </w:tc>
        <w:tc>
          <w:tcPr>
            <w:tcW w:w="831" w:type="dxa"/>
            <w:vAlign w:val="top"/>
          </w:tcPr>
          <w:p w14:paraId="2563134C">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服务要求</w:t>
            </w:r>
          </w:p>
        </w:tc>
        <w:tc>
          <w:tcPr>
            <w:tcW w:w="831" w:type="dxa"/>
            <w:vAlign w:val="top"/>
          </w:tcPr>
          <w:p w14:paraId="18232B0F">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服务时间</w:t>
            </w:r>
          </w:p>
        </w:tc>
        <w:tc>
          <w:tcPr>
            <w:tcW w:w="831" w:type="dxa"/>
            <w:vAlign w:val="top"/>
          </w:tcPr>
          <w:p w14:paraId="65A2EAB8">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服务标准</w:t>
            </w:r>
          </w:p>
        </w:tc>
        <w:tc>
          <w:tcPr>
            <w:tcW w:w="831" w:type="dxa"/>
            <w:vAlign w:val="top"/>
          </w:tcPr>
          <w:p w14:paraId="5EA7B408">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单价</w:t>
            </w:r>
          </w:p>
        </w:tc>
        <w:tc>
          <w:tcPr>
            <w:tcW w:w="831" w:type="dxa"/>
            <w:vAlign w:val="top"/>
          </w:tcPr>
          <w:p w14:paraId="50FCD224">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数量</w:t>
            </w:r>
          </w:p>
        </w:tc>
        <w:tc>
          <w:tcPr>
            <w:tcW w:w="831" w:type="dxa"/>
            <w:vAlign w:val="top"/>
          </w:tcPr>
          <w:p w14:paraId="32AE6148">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总价</w:t>
            </w:r>
          </w:p>
        </w:tc>
      </w:tr>
      <w:tr w14:paraId="217D6B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vAlign w:val="top"/>
          </w:tcPr>
          <w:p w14:paraId="7237AB0A">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p>
        </w:tc>
        <w:tc>
          <w:tcPr>
            <w:tcW w:w="831" w:type="dxa"/>
            <w:vAlign w:val="top"/>
          </w:tcPr>
          <w:p w14:paraId="7EDB831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31" w:type="dxa"/>
            <w:vAlign w:val="top"/>
          </w:tcPr>
          <w:p w14:paraId="36CB588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31" w:type="dxa"/>
            <w:vAlign w:val="top"/>
          </w:tcPr>
          <w:p w14:paraId="255E788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31" w:type="dxa"/>
            <w:vAlign w:val="top"/>
          </w:tcPr>
          <w:p w14:paraId="7439A61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31" w:type="dxa"/>
            <w:vAlign w:val="top"/>
          </w:tcPr>
          <w:p w14:paraId="2376D7B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31" w:type="dxa"/>
            <w:vAlign w:val="top"/>
          </w:tcPr>
          <w:p w14:paraId="11743CE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31" w:type="dxa"/>
            <w:vAlign w:val="top"/>
          </w:tcPr>
          <w:p w14:paraId="4819220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31" w:type="dxa"/>
            <w:vAlign w:val="top"/>
          </w:tcPr>
          <w:p w14:paraId="33C1C6D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31" w:type="dxa"/>
            <w:vAlign w:val="top"/>
          </w:tcPr>
          <w:p w14:paraId="3F9A962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1B0D79E6">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1ABAAF1">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DCE28D8">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投标人签章：__________________</w:t>
      </w:r>
    </w:p>
    <w:p w14:paraId="5A8923C0">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日期： 年 月 日</w:t>
      </w:r>
    </w:p>
    <w:p w14:paraId="6CB41F6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9FF21B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C64944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70CFE9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99C900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978354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608ABB4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1EAA59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55B7C912">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8D8B926">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CF62014">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BD6E0D4">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C6983AB">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95" w:name="_Toc7773"/>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格式四：政策适用性说明</w:t>
      </w:r>
      <w:bookmarkEnd w:id="95"/>
    </w:p>
    <w:p w14:paraId="2FDF0954">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7941943">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政策适用性说明</w:t>
      </w:r>
    </w:p>
    <w:p w14:paraId="35D1C30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按照政府采购有关政策的要求，在本次的技术方案中，采用符合政策的小型或微型企业产品、节能产品、环境标志产品，主要产品与核心技术介绍说明如下：</w:t>
      </w:r>
    </w:p>
    <w:tbl>
      <w:tblPr>
        <w:tblStyle w:val="15"/>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3"/>
        <w:gridCol w:w="1134"/>
        <w:gridCol w:w="1134"/>
        <w:gridCol w:w="1134"/>
        <w:gridCol w:w="1134"/>
        <w:gridCol w:w="1134"/>
        <w:gridCol w:w="1134"/>
        <w:gridCol w:w="1134"/>
      </w:tblGrid>
      <w:tr w14:paraId="5AD0FA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29FB75A2">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序号</w:t>
            </w:r>
          </w:p>
        </w:tc>
        <w:tc>
          <w:tcPr>
            <w:tcW w:w="1038" w:type="dxa"/>
            <w:vAlign w:val="top"/>
          </w:tcPr>
          <w:p w14:paraId="0DAF4076">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主要产品/技术名称（规格型号、注册商标）</w:t>
            </w:r>
          </w:p>
        </w:tc>
        <w:tc>
          <w:tcPr>
            <w:tcW w:w="1038" w:type="dxa"/>
            <w:vAlign w:val="top"/>
          </w:tcPr>
          <w:p w14:paraId="5231385F">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制造商(开发商)</w:t>
            </w:r>
          </w:p>
        </w:tc>
        <w:tc>
          <w:tcPr>
            <w:tcW w:w="1038" w:type="dxa"/>
            <w:vAlign w:val="top"/>
          </w:tcPr>
          <w:p w14:paraId="1EA245E1">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制造商企业类型</w:t>
            </w:r>
          </w:p>
        </w:tc>
        <w:tc>
          <w:tcPr>
            <w:tcW w:w="1038" w:type="dxa"/>
            <w:vAlign w:val="top"/>
          </w:tcPr>
          <w:p w14:paraId="4EEF8593">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节能产品</w:t>
            </w:r>
          </w:p>
        </w:tc>
        <w:tc>
          <w:tcPr>
            <w:tcW w:w="1038" w:type="dxa"/>
            <w:vAlign w:val="top"/>
          </w:tcPr>
          <w:p w14:paraId="7EC28D75">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环境标志产品</w:t>
            </w:r>
          </w:p>
        </w:tc>
        <w:tc>
          <w:tcPr>
            <w:tcW w:w="1038" w:type="dxa"/>
            <w:vAlign w:val="top"/>
          </w:tcPr>
          <w:p w14:paraId="6E3BE31C">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认证证书编号</w:t>
            </w:r>
          </w:p>
        </w:tc>
        <w:tc>
          <w:tcPr>
            <w:tcW w:w="1038" w:type="dxa"/>
            <w:vAlign w:val="top"/>
          </w:tcPr>
          <w:p w14:paraId="2D71ABA6">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该产品报价在总报价中占比（%）</w:t>
            </w:r>
          </w:p>
        </w:tc>
      </w:tr>
      <w:tr w14:paraId="26725D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5DF1C23F">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p>
        </w:tc>
        <w:tc>
          <w:tcPr>
            <w:tcW w:w="1038" w:type="dxa"/>
            <w:vAlign w:val="top"/>
          </w:tcPr>
          <w:p w14:paraId="505E6A2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70D2134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4F83985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8E1C81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39A5908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3321A1F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3881D2F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358332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46F81A36">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p>
        </w:tc>
        <w:tc>
          <w:tcPr>
            <w:tcW w:w="1038" w:type="dxa"/>
            <w:vAlign w:val="top"/>
          </w:tcPr>
          <w:p w14:paraId="7DB2F74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1395701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14B28FC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23A858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237C066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75A193A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0972677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3A857C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5B27F58C">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w:t>
            </w:r>
          </w:p>
        </w:tc>
        <w:tc>
          <w:tcPr>
            <w:tcW w:w="1038" w:type="dxa"/>
            <w:vAlign w:val="top"/>
          </w:tcPr>
          <w:p w14:paraId="103BB76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3265231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8DD207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7D251BE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2D12E7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2B99D78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3724628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36316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7B3FBDFE">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4</w:t>
            </w:r>
          </w:p>
        </w:tc>
        <w:tc>
          <w:tcPr>
            <w:tcW w:w="1038" w:type="dxa"/>
            <w:vAlign w:val="top"/>
          </w:tcPr>
          <w:p w14:paraId="53F9F44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97F842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740718C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964701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0194BF0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88E73A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1F65936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0C7570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69D053E9">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5</w:t>
            </w:r>
          </w:p>
        </w:tc>
        <w:tc>
          <w:tcPr>
            <w:tcW w:w="1038" w:type="dxa"/>
            <w:vAlign w:val="top"/>
          </w:tcPr>
          <w:p w14:paraId="62CF4E5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2BF9E3F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AD515E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366060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2B7442A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DBD846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17954DB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28EE9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1038" w:type="dxa"/>
            <w:vAlign w:val="top"/>
          </w:tcPr>
          <w:p w14:paraId="06F5DAFC">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1038" w:type="dxa"/>
            <w:vAlign w:val="top"/>
          </w:tcPr>
          <w:p w14:paraId="18F6A3E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990E1A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BA7C25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667B06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12BDBC6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437CC7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29CB72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01ED359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注：1.制造商为小型或微型企业时才需要填“制造商企业类型”栏,填写内容为“小型”或“微型”；</w:t>
      </w:r>
    </w:p>
    <w:p w14:paraId="3CF4B4A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2.“节能产品、环境标志产品”须填写认证证书编号，并在对应“节能产品”、“环境标志产品”栏中勾选，同时提供有效期内的证书复印件（加盖投标人公章）</w:t>
      </w:r>
    </w:p>
    <w:p w14:paraId="5F79B48A">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投标人名称（盖章）：__________________</w:t>
      </w:r>
    </w:p>
    <w:p w14:paraId="01022CC1">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日期： 年 月 日</w:t>
      </w:r>
    </w:p>
    <w:p w14:paraId="7079D75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5B52259D">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8DEC89A">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A3D5269">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A4DBEFA">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DF47656">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53714BF">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A22AC9B">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1E34C6E">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45DD96C">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B9BA808">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96" w:name="_Toc27043"/>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格式五：关于符合本国产品标准的声明函等有关证明文件（如适用）</w:t>
      </w:r>
      <w:bookmarkEnd w:id="96"/>
    </w:p>
    <w:p w14:paraId="29AEDC4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注：</w:t>
      </w:r>
    </w:p>
    <w:p w14:paraId="24C64BBC">
      <w:pPr>
        <w:pStyle w:val="18"/>
        <w:keepNext w:val="0"/>
        <w:keepLines w:val="0"/>
        <w:pageBreakBefore w:val="0"/>
        <w:kinsoku/>
        <w:wordWrap/>
        <w:overflowPunct/>
        <w:topLinePunct w:val="0"/>
        <w:autoSpaceDE/>
        <w:autoSpaceDN/>
        <w:bidi w:val="0"/>
        <w:adjustRightInd/>
        <w:snapToGrid/>
        <w:spacing w:before="120" w:after="120"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承诺函》（见下附件3，格式内容仅供参考）</w:t>
      </w:r>
    </w:p>
    <w:p w14:paraId="560B213F">
      <w:pPr>
        <w:pStyle w:val="18"/>
        <w:keepNext w:val="0"/>
        <w:keepLines w:val="0"/>
        <w:pageBreakBefore w:val="0"/>
        <w:kinsoku/>
        <w:wordWrap/>
        <w:overflowPunct/>
        <w:topLinePunct w:val="0"/>
        <w:autoSpaceDE/>
        <w:autoSpaceDN/>
        <w:bidi w:val="0"/>
        <w:adjustRightInd/>
        <w:snapToGrid/>
        <w:spacing w:before="120" w:after="120"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供应商提供虚假《声明函》、虚假证明文件谋取中标、成交的，依照政府采购法律法规规定追究相应责任。</w:t>
      </w:r>
    </w:p>
    <w:p w14:paraId="2FE3DB49">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B31E1C5">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B98273B">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89432FA">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AB45E5B">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D22439E">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C95D74D">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3F9261B">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945D784">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006D9EA">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C802E9E">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E2979D5">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262DCC4">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9CCCAC5">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72BDF0A">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D2E5204">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27F4E23">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A88DA17">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1900E4C">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FFB0D9A">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749CD3A">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7B87183">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9045178">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B90471A">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A2108A7">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C3D7C48">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附件1</w:t>
      </w:r>
    </w:p>
    <w:p w14:paraId="692840CC">
      <w:pPr>
        <w:pStyle w:val="18"/>
        <w:keepNext w:val="0"/>
        <w:keepLines w:val="0"/>
        <w:pageBreakBefore w:val="0"/>
        <w:kinsoku/>
        <w:wordWrap/>
        <w:overflowPunct/>
        <w:topLinePunct w:val="0"/>
        <w:autoSpaceDE/>
        <w:autoSpaceDN/>
        <w:bidi w:val="0"/>
        <w:adjustRightInd/>
        <w:snapToGrid/>
        <w:spacing w:before="120" w:after="240"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中国境内生产的组件成本核算基本规则</w:t>
      </w:r>
    </w:p>
    <w:p w14:paraId="6F7C472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555EDAD5">
      <w:pPr>
        <w:pStyle w:val="18"/>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产品的一级组件是指直接组成产品的组件。产品的二级组件是指直接组成产品一级组件的组件。一级组件不可分解的，视同二级组件。</w:t>
      </w:r>
    </w:p>
    <w:p w14:paraId="6E82E612">
      <w:pPr>
        <w:pStyle w:val="18"/>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二级组件在中国境内生产的，其全部成本计入中国境内生产的组件成本；二级组件不在中国境内生产的，其成本不计入中国境内生产的组件成本。</w:t>
      </w:r>
    </w:p>
    <w:p w14:paraId="7D5567BA">
      <w:pPr>
        <w:pStyle w:val="18"/>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产品总成本和组件成本以相关会计核算数据、采购合同、进货记录等为基础进行计算。</w:t>
      </w:r>
    </w:p>
    <w:p w14:paraId="3D470070">
      <w:pPr>
        <w:pStyle w:val="18"/>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 需要对成本核算规则予以进一步明确的其他有关事项，由财政部会同有关部门另行规定。</w:t>
      </w:r>
    </w:p>
    <w:p w14:paraId="51E5AE4E">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4D44722">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F66D4F1">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C71B3D8">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C92AC55">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9DA872B">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5AB997E">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6D1DEC">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B3C4CE4">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7CAAB6E">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4F56493">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E1A495B">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AAA6263">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2A29F58">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8B3C145">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FA5A8AC">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6F08155">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80B7340">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6A82652">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4E68DF3">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C90222C">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附件2</w:t>
      </w:r>
    </w:p>
    <w:p w14:paraId="5A417AAF">
      <w:pPr>
        <w:pStyle w:val="18"/>
        <w:keepNext w:val="0"/>
        <w:keepLines w:val="0"/>
        <w:pageBreakBefore w:val="0"/>
        <w:kinsoku/>
        <w:wordWrap/>
        <w:overflowPunct/>
        <w:topLinePunct w:val="0"/>
        <w:autoSpaceDE/>
        <w:autoSpaceDN/>
        <w:bidi w:val="0"/>
        <w:adjustRightInd/>
        <w:snapToGrid/>
        <w:spacing w:before="120" w:after="240"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关于符合本国产品标准的声明函</w:t>
      </w:r>
    </w:p>
    <w:p w14:paraId="0807FB0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14:paraId="724E6CC4">
      <w:pPr>
        <w:pStyle w:val="18"/>
        <w:keepNext w:val="0"/>
        <w:keepLines w:val="0"/>
        <w:pageBreakBefore w:val="0"/>
        <w:kinsoku/>
        <w:wordWrap/>
        <w:overflowPunct/>
        <w:topLinePunct w:val="0"/>
        <w:autoSpaceDE/>
        <w:autoSpaceDN/>
        <w:bidi w:val="0"/>
        <w:adjustRightInd/>
        <w:snapToGrid/>
        <w:spacing w:before="240" w:after="240" w:line="360" w:lineRule="auto"/>
        <w:ind w:firstLine="96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，生产厂为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（厂名）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，厂址为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（生产厂址）</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的中国境内生产的组件成本占比≥</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（规定比例）</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（关键组件）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在中国境内生产。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（关键工序）</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在中国境内完成。</w:t>
      </w:r>
    </w:p>
    <w:p w14:paraId="7CA04A87">
      <w:pPr>
        <w:pStyle w:val="18"/>
        <w:keepNext w:val="0"/>
        <w:keepLines w:val="0"/>
        <w:pageBreakBefore w:val="0"/>
        <w:kinsoku/>
        <w:wordWrap/>
        <w:overflowPunct/>
        <w:topLinePunct w:val="0"/>
        <w:autoSpaceDE/>
        <w:autoSpaceDN/>
        <w:bidi w:val="0"/>
        <w:adjustRightInd/>
        <w:snapToGrid/>
        <w:spacing w:before="240" w:after="240" w:line="360" w:lineRule="auto"/>
        <w:ind w:firstLine="96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，生产厂为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（厂名）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，厂址为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（生产厂址）</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的中国境内生产的组件成本占比≥</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（规定比例）</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（关键组件）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在中国境内生产。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（关键工序）</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在中国境内完成。</w:t>
      </w:r>
    </w:p>
    <w:p w14:paraId="21A4EC71">
      <w:pPr>
        <w:pStyle w:val="18"/>
        <w:keepNext w:val="0"/>
        <w:keepLines w:val="0"/>
        <w:pageBreakBefore w:val="0"/>
        <w:kinsoku/>
        <w:wordWrap/>
        <w:overflowPunct/>
        <w:topLinePunct w:val="0"/>
        <w:autoSpaceDE/>
        <w:autoSpaceDN/>
        <w:bidi w:val="0"/>
        <w:adjustRightInd/>
        <w:snapToGrid/>
        <w:spacing w:before="240" w:after="240" w:line="360" w:lineRule="auto"/>
        <w:ind w:firstLine="96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w:t>
      </w:r>
    </w:p>
    <w:p w14:paraId="0204E61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本公司（单位）对上述声明内容的真实性负责。如有虚假，愿承担相应法律责任。</w:t>
      </w:r>
    </w:p>
    <w:p w14:paraId="2F42D20E">
      <w:pPr>
        <w:pStyle w:val="18"/>
        <w:keepNext w:val="0"/>
        <w:keepLines w:val="0"/>
        <w:pageBreakBefore w:val="0"/>
        <w:kinsoku/>
        <w:wordWrap/>
        <w:overflowPunct/>
        <w:topLinePunct w:val="0"/>
        <w:autoSpaceDE/>
        <w:autoSpaceDN/>
        <w:bidi w:val="0"/>
        <w:adjustRightInd/>
        <w:snapToGrid/>
        <w:spacing w:before="720" w:line="360" w:lineRule="auto"/>
        <w:jc w:val="righ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公司（单位）名称（盖章）：</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__________________</w:t>
      </w:r>
    </w:p>
    <w:p w14:paraId="13727404">
      <w:pPr>
        <w:pStyle w:val="18"/>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日期：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______ 年 ______ 月 ______ 日</w:t>
      </w:r>
    </w:p>
    <w:p w14:paraId="2B5FF3FE">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注：</w:t>
      </w:r>
    </w:p>
    <w:p w14:paraId="70756702">
      <w:pPr>
        <w:pStyle w:val="18"/>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产品如有型号，请在“产品名称”栏一并填写。</w:t>
      </w:r>
    </w:p>
    <w:p w14:paraId="054B8F90">
      <w:pPr>
        <w:pStyle w:val="18"/>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生产厂名与厂址应与生产厂营业执照载明的相关信息保持一致。</w:t>
      </w:r>
    </w:p>
    <w:p w14:paraId="1DA666FD">
      <w:pPr>
        <w:pStyle w:val="18"/>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该产品的中国境内生产的组件成本占比相关要求实施前，"规定比例"栏可不填，下同。</w:t>
      </w:r>
    </w:p>
    <w:p w14:paraId="7961092A">
      <w:pPr>
        <w:pStyle w:val="18"/>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 该产品的关键组件要求实施前，"关键组件"栏可不填，下同。</w:t>
      </w:r>
    </w:p>
    <w:p w14:paraId="54854190">
      <w:pPr>
        <w:pStyle w:val="18"/>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 该产品的关键工序要求实施前，"关键工序"栏可不填，下同。</w:t>
      </w:r>
    </w:p>
    <w:p w14:paraId="00CDD3F9">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8CE310">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97D65A9">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C55A304">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9F0F05">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EBEACE8">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附件3（当采购项目或者采购包中含有多种产品的，供应商还应当提供本承诺函，格式内容仅供参考）</w:t>
      </w:r>
    </w:p>
    <w:p w14:paraId="1328A733">
      <w:pPr>
        <w:pStyle w:val="18"/>
        <w:keepNext w:val="0"/>
        <w:keepLines w:val="0"/>
        <w:pageBreakBefore w:val="0"/>
        <w:kinsoku/>
        <w:wordWrap/>
        <w:overflowPunct/>
        <w:topLinePunct w:val="0"/>
        <w:autoSpaceDE/>
        <w:autoSpaceDN/>
        <w:bidi w:val="0"/>
        <w:adjustRightInd/>
        <w:snapToGrid/>
        <w:spacing w:before="120" w:after="240"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关于本国产品比例的承诺函（如适用）</w:t>
      </w:r>
    </w:p>
    <w:p w14:paraId="68E901EE">
      <w:pPr>
        <w:pStyle w:val="18"/>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单位）郑重承诺，根据《国务院办公厅关于在政府采购中实施本国产品标准及相关政策的通知》（国办发〔2025〕34号）的规定，本公司（单位）提供的符合本国产品标准的产品成本之和占提供的全部产品成本之和的比例达到80%以上。</w:t>
      </w:r>
    </w:p>
    <w:p w14:paraId="43BDE0CE">
      <w:pPr>
        <w:pStyle w:val="18"/>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本公司（单位）对上述承诺内容的真实性负责。如有虚假，愿承担相应法律责任。</w:t>
      </w:r>
    </w:p>
    <w:p w14:paraId="063C4090">
      <w:pPr>
        <w:pStyle w:val="18"/>
        <w:keepNext w:val="0"/>
        <w:keepLines w:val="0"/>
        <w:pageBreakBefore w:val="0"/>
        <w:kinsoku/>
        <w:wordWrap/>
        <w:overflowPunct/>
        <w:topLinePunct w:val="0"/>
        <w:autoSpaceDE/>
        <w:autoSpaceDN/>
        <w:bidi w:val="0"/>
        <w:adjustRightInd/>
        <w:snapToGrid/>
        <w:spacing w:before="720" w:line="360" w:lineRule="auto"/>
        <w:jc w:val="right"/>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B00FC25">
      <w:pPr>
        <w:pStyle w:val="18"/>
        <w:keepNext w:val="0"/>
        <w:keepLines w:val="0"/>
        <w:pageBreakBefore w:val="0"/>
        <w:kinsoku/>
        <w:wordWrap/>
        <w:overflowPunct/>
        <w:topLinePunct w:val="0"/>
        <w:autoSpaceDE/>
        <w:autoSpaceDN/>
        <w:bidi w:val="0"/>
        <w:adjustRightInd/>
        <w:snapToGrid/>
        <w:spacing w:before="720" w:line="360" w:lineRule="auto"/>
        <w:jc w:val="righ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公司（单位）名称（盖章）：</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__________________</w:t>
      </w:r>
    </w:p>
    <w:p w14:paraId="200B4201">
      <w:pPr>
        <w:pStyle w:val="18"/>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日期：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______ 年 ______ 月 ______ 日</w:t>
      </w:r>
    </w:p>
    <w:p w14:paraId="4FE752F4">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7C06D7D">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7C46F0C">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854AFFA">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2AAC45A">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9247166">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3BDC218">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F02CE96">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F5B8D70">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325EA53">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103C7FD">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60F161F">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F2CA7D7">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7C4A417">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EBCF0A7">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819E4B3">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86386B7">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BC7FA05">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95109E2">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7737ED4">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附件4</w:t>
      </w:r>
    </w:p>
    <w:p w14:paraId="3EB8E87F">
      <w:pPr>
        <w:pStyle w:val="18"/>
        <w:keepNext w:val="0"/>
        <w:keepLines w:val="0"/>
        <w:pageBreakBefore w:val="0"/>
        <w:kinsoku/>
        <w:wordWrap/>
        <w:overflowPunct/>
        <w:topLinePunct w:val="0"/>
        <w:autoSpaceDE/>
        <w:autoSpaceDN/>
        <w:bidi w:val="0"/>
        <w:adjustRightInd/>
        <w:snapToGrid/>
        <w:spacing w:before="120" w:after="240"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本国产品标准有关证明材料（如适用）</w:t>
      </w:r>
    </w:p>
    <w:p w14:paraId="4A0B93DC">
      <w:pPr>
        <w:pStyle w:val="18"/>
        <w:keepNext w:val="0"/>
        <w:keepLines w:val="0"/>
        <w:pageBreakBefore w:val="0"/>
        <w:kinsoku/>
        <w:wordWrap/>
        <w:overflowPunct/>
        <w:topLinePunct w:val="0"/>
        <w:autoSpaceDE/>
        <w:autoSpaceDN/>
        <w:bidi w:val="0"/>
        <w:adjustRightInd/>
        <w:snapToGrid/>
        <w:spacing w:before="120" w:after="120" w:line="360" w:lineRule="auto"/>
        <w:ind w:firstLine="96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AF76FDD">
      <w:pPr>
        <w:pStyle w:val="18"/>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供应商认为需提供的其他资料。</w:t>
      </w:r>
    </w:p>
    <w:p w14:paraId="610A9504">
      <w:pPr>
        <w:pStyle w:val="18"/>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财政部会同有关部门规定的有关证明文件。</w:t>
      </w:r>
    </w:p>
    <w:p w14:paraId="001F5FA6">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1C28580">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82482FB">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3216AAB">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A203A98">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97BDDC5">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DEECC45">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A8870A4">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2AF2596">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810D042">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9E96325">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4AA2989">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FEB1E48">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31490A8">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1BA1820">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6D5BF3C">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C51E0F5">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84F3DBB">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601FB63">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8CFEFA2">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875AF1E">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E8446E9">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2FE9B85">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57B0D75">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662A5BE">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2FD036F">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AF780BE">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64943DC">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97" w:name="_Toc17826"/>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格式六：</w:t>
      </w:r>
      <w:r>
        <w:rPr>
          <w:rFonts w:hint="eastAsia" w:asciiTheme="minorEastAsia" w:hAnsiTheme="minorEastAsia" w:eastAsiaTheme="minorEastAsia" w:cstheme="minorEastAsia"/>
          <w:b/>
          <w:color w:val="000000" w:themeColor="text1"/>
          <w:sz w:val="21"/>
          <w:szCs w:val="21"/>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证明书</w:t>
      </w:r>
      <w:bookmarkEnd w:id="97"/>
    </w:p>
    <w:p w14:paraId="56B74E4E">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7E8601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（投标人可使用下述格式，也可使用广东省工商行政管理局统一印制的法定代表人证明书格式）</w:t>
      </w:r>
    </w:p>
    <w:p w14:paraId="1EF3D3E5">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b/>
          <w:color w:val="000000" w:themeColor="text1"/>
          <w:sz w:val="28"/>
          <w:szCs w:val="28"/>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证明书</w:t>
      </w:r>
    </w:p>
    <w:p w14:paraId="5572478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_____________现任我单位_____________职务，为</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，特此证明。</w:t>
      </w:r>
    </w:p>
    <w:p w14:paraId="60315CB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有效期限：__________________</w:t>
      </w:r>
    </w:p>
    <w:p w14:paraId="6459E46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附：代表人性别：_____年龄：_________ 身份证号码：__________________</w:t>
      </w:r>
    </w:p>
    <w:p w14:paraId="1ACFCA8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注册号码：____________________企业类型：____________________________</w:t>
      </w:r>
    </w:p>
    <w:p w14:paraId="57C2B25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经营范围：__________________________</w:t>
      </w:r>
    </w:p>
    <w:p w14:paraId="092DBC58">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投标人名称（盖章）：__________________</w:t>
      </w:r>
    </w:p>
    <w:p w14:paraId="10D354C6">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地址：__________________</w:t>
      </w:r>
    </w:p>
    <w:p w14:paraId="2A1BDA88">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（签字或盖章）：__________________</w:t>
      </w:r>
    </w:p>
    <w:p w14:paraId="2BAB97E7">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职务：__________________</w:t>
      </w:r>
    </w:p>
    <w:p w14:paraId="751FC1D2">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64A542A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3C59251">
      <w:pPr>
        <w:spacing w:line="48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03AA5191">
      <w:pPr>
        <w:spacing w:line="480" w:lineRule="exact"/>
        <w:ind w:firstLine="420" w:firstLineChars="200"/>
        <w:rPr>
          <w:rFonts w:ascii="宋体" w:hAnsi="宋体"/>
          <w:color w:val="000000" w:themeColor="text1"/>
          <w:highlight w:val="none"/>
          <w14:textFill>
            <w14:solidFill>
              <w14:schemeClr w14:val="tx1"/>
            </w14:solidFill>
          </w14:textFill>
        </w:rPr>
      </w:pPr>
    </w:p>
    <w:p w14:paraId="033D00DE">
      <w:pPr>
        <w:pStyle w:val="5"/>
        <w:rPr>
          <w:rFonts w:hAnsi="宋体"/>
          <w:color w:val="000000" w:themeColor="text1"/>
          <w:sz w:val="21"/>
          <w:highlight w:val="none"/>
          <w14:textFill>
            <w14:solidFill>
              <w14:schemeClr w14:val="tx1"/>
            </w14:solidFill>
          </w14:textFill>
        </w:rPr>
      </w:pPr>
    </w:p>
    <w:p w14:paraId="3B3AC4AB">
      <w:pPr>
        <w:pStyle w:val="5"/>
        <w:rPr>
          <w:color w:val="000000" w:themeColor="text1"/>
          <w:highlight w:val="none"/>
          <w14:textFill>
            <w14:solidFill>
              <w14:schemeClr w14:val="tx1"/>
            </w14:solidFill>
          </w14:textFill>
        </w:rPr>
        <w:sectPr>
          <w:headerReference r:id="rId3" w:type="first"/>
          <w:footerReference r:id="rId5" w:type="first"/>
          <w:footerReference r:id="rId4"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318770</wp:posOffset>
                </wp:positionH>
                <wp:positionV relativeFrom="paragraph">
                  <wp:posOffset>346710</wp:posOffset>
                </wp:positionV>
                <wp:extent cx="4933950" cy="2294255"/>
                <wp:effectExtent l="4445" t="5080" r="14605" b="5715"/>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4933950" cy="2294255"/>
                        </a:xfrm>
                        <a:prstGeom prst="flowChartAlternateProcess">
                          <a:avLst/>
                        </a:prstGeom>
                        <a:solidFill>
                          <a:srgbClr val="FFFFFF"/>
                        </a:solidFill>
                        <a:ln w="9525">
                          <a:solidFill>
                            <a:srgbClr val="000000"/>
                          </a:solidFill>
                          <a:miter lim="800000"/>
                        </a:ln>
                        <a:effectLst/>
                      </wps:spPr>
                      <wps:txbx>
                        <w:txbxContent>
                          <w:p w14:paraId="58FD5143"/>
                          <w:p w14:paraId="2A756232"/>
                          <w:p w14:paraId="14D61E7B">
                            <w:pPr>
                              <w:jc w:val="center"/>
                            </w:pPr>
                            <w:r>
                              <w:rPr>
                                <w:rFonts w:hint="eastAsia" w:asciiTheme="minorEastAsia" w:hAnsiTheme="minorEastAsia" w:eastAsiaTheme="minorEastAsia" w:cstheme="minorEastAsia"/>
                                <w:sz w:val="21"/>
                                <w:szCs w:val="21"/>
                              </w:rPr>
                              <w:t>法定代表人</w:t>
                            </w: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25.1pt;margin-top:27.3pt;height:180.65pt;width:388.5pt;z-index:251660288;mso-width-relative:page;mso-height-relative:page;" fillcolor="#FFFFFF" filled="t" stroked="t" coordsize="21600,21600" o:gfxdata="UEsDBAoAAAAAAIdO4kAAAAAAAAAAAAAAAAAEAAAAZHJzL1BLAwQUAAAACACHTuJAHHHsN9gAAAAJ&#10;AQAADwAAAGRycy9kb3ducmV2LnhtbE2PQU+EMBCF7yb+h2ZMvLktuMuySNkYjZ68iJt4LbRSIp0S&#10;Wlj01zue9DSZeS9vvlceVzewxUyh9ygh2QhgBluve+wknN6ebnJgISrUavBoJHyZAMfq8qJUhfZn&#10;fDVLHTtGIRgKJcHGOBach9Yap8LGjwZJ+/CTU5HWqeN6UmcKdwNPhci4Uz3SB6tG82BN+1nPTsL6&#10;8t0c5uekraPNs/377fJ4f+JSXl8l4g5YNGv8M8MvPqFDRUyNn1EHNkjYiZScNLcZMNLzdE+HRsI2&#10;2R2AVyX/36D6AVBLAwQUAAAACACHTuJAnCmQrVcCAACkBAAADgAAAGRycy9lMm9Eb2MueG1srVTB&#10;btQwEL0j8Q+W7zS76S50o2arVasipAKVCh/gdZyNhe0xY+9my4kb4hu4ceQf4G8qwV8wcdJlWzj0&#10;QA6RJzN+8+bNTI5PttawjcKgwZV8fDDiTDkJlXarkr99c/7kiLMQhauEAadKfq0CP5k/fnTc+kLl&#10;0ICpFDICcaFofcmbGH2RZUE2yopwAF45ctaAVkQycZVVKFpCtybLR6OnWQtYeQSpQqCvZ72TD4j4&#10;EECoay3VGci1VS72qKiMiFRSaLQPfJ7Y1rWS8XVdBxWZKTlVGtObktB52b2z+bEoVih8o+VAQTyE&#10;wr2arNCOku6gzkQUbI36LyirJUKAOh5IsFlfSFKEqhiP7mlz1QivUi0kdfA70cP/g5WvNpfIdFXy&#10;Q86csNTwn5++/fr4+ebLj5vvX1neKdT6UFDglb/ErsbgL0C+C8zBaSPcSi0QoW2UqIjXuIvP7lzo&#10;jEBX2bJ9CRUlEOsISaxtjbYDJBnYNvXketcTtY1M0sfJ7PBwNqV2SfLl+WyST6cphyhur3sM8bkC&#10;y7pDyWsDLRHDuDBRoRNRXfbTlnKKzUWIHUdR3N5LNYHR1bk2Jhm4Wp4aZBtBU3OeniFl2A8zjrUl&#10;n03zaUK+4wv7EKP0/AvCaqLIjLYlP9oPMq7jodIAD3xvZezbEbfL7dCZJVTXpC5CP9y02nRoAD9w&#10;1tJglzy8XwtUnJkXjjo0G08m3SYkYzJ9lpOB+57lvkc4SVAlj5z1x9PYb8/ao141lGmcinewoK7W&#10;OknbUe1ZDbNAw5sUHxat2459O0X9+bnM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ccew32AAA&#10;AAkBAAAPAAAAAAAAAAEAIAAAACIAAABkcnMvZG93bnJldi54bWxQSwECFAAUAAAACACHTuJAnCmQ&#10;rVcCAACkBAAADgAAAAAAAAABACAAAAAnAQAAZHJzL2Uyb0RvYy54bWxQSwUGAAAAAAYABgBZAQAA&#10;8AUAAAAA&#10;">
                <v:fill on="t" focussize="0,0"/>
                <v:stroke color="#000000" miterlimit="8" joinstyle="miter"/>
                <v:imagedata o:title=""/>
                <o:lock v:ext="edit" aspectratio="f"/>
                <v:textbox>
                  <w:txbxContent>
                    <w:p w14:paraId="58FD5143"/>
                    <w:p w14:paraId="2A756232"/>
                    <w:p w14:paraId="14D61E7B">
                      <w:pPr>
                        <w:jc w:val="center"/>
                      </w:pPr>
                      <w:r>
                        <w:rPr>
                          <w:rFonts w:hint="eastAsia" w:asciiTheme="minorEastAsia" w:hAnsiTheme="minorEastAsia" w:eastAsiaTheme="minorEastAsia" w:cstheme="minorEastAsia"/>
                          <w:sz w:val="21"/>
                          <w:szCs w:val="21"/>
                        </w:rPr>
                        <w:t>法定代表人</w:t>
                      </w:r>
                      <w:r>
                        <w:rPr>
                          <w:rFonts w:hint="eastAsia"/>
                        </w:rPr>
                        <w:t>身份证正反面复印件</w:t>
                      </w:r>
                    </w:p>
                  </w:txbxContent>
                </v:textbox>
              </v:shape>
            </w:pict>
          </mc:Fallback>
        </mc:AlternateContent>
      </w:r>
    </w:p>
    <w:p w14:paraId="003059D7">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98" w:name="_Toc22863"/>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格式七：</w:t>
      </w:r>
      <w:r>
        <w:rPr>
          <w:rFonts w:hint="eastAsia" w:asciiTheme="minorEastAsia" w:hAnsiTheme="minorEastAsia" w:eastAsiaTheme="minorEastAsia" w:cstheme="minorEastAsia"/>
          <w:b/>
          <w:color w:val="000000" w:themeColor="text1"/>
          <w:sz w:val="21"/>
          <w:szCs w:val="21"/>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授权书</w:t>
      </w:r>
      <w:bookmarkEnd w:id="98"/>
    </w:p>
    <w:p w14:paraId="202B1ADB">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9A847A8">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cstheme="minorEastAsia"/>
          <w:b/>
          <w:color w:val="000000" w:themeColor="text1"/>
          <w:sz w:val="28"/>
          <w:szCs w:val="28"/>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授权书格式</w:t>
      </w:r>
    </w:p>
    <w:p w14:paraId="6ECB4C8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（对于银行、保险、电信、邮政、铁路等行业以及获得总公司投标授权的分公司，可以提供投标分支机构负责人授权书）</w:t>
      </w:r>
    </w:p>
    <w:p w14:paraId="71BF3FC8">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cstheme="minorEastAsia"/>
          <w:b/>
          <w:color w:val="000000" w:themeColor="text1"/>
          <w:sz w:val="28"/>
          <w:szCs w:val="28"/>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授权书</w:t>
      </w:r>
    </w:p>
    <w:p w14:paraId="58AD744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致：</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p>
    <w:p w14:paraId="60FA6FD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本授权书声明：________是注册于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（国家或地区）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（投标人名称）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，现任________职务，有效证件号码：________________。现授权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（姓名、职务）</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作为我公司的全权代理人，就“</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阳江市阳东区华南师范大学附属阳东小学食堂大宗食材配送服务采购项目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”项目采购[采购项目编号为</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YXCG-20260527</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]的投标和合同执行，以我方的名义处理一切与之有关的事宜。</w:t>
      </w:r>
    </w:p>
    <w:p w14:paraId="0A0A0D5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本授权书于________年________月________日签字生效，特此声明。</w:t>
      </w:r>
    </w:p>
    <w:p w14:paraId="4E512140">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投标人（盖章）：__________________</w:t>
      </w:r>
    </w:p>
    <w:p w14:paraId="29615F87">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地址：__________________</w:t>
      </w:r>
    </w:p>
    <w:p w14:paraId="4582433A">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（签字或盖章）：__________________</w:t>
      </w:r>
    </w:p>
    <w:p w14:paraId="4B9F6E1B">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职务：__________________</w:t>
      </w:r>
    </w:p>
    <w:p w14:paraId="1822B017">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被授权人（签字或盖章）：__________________</w:t>
      </w:r>
    </w:p>
    <w:p w14:paraId="03750311">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职务：__________________</w:t>
      </w:r>
    </w:p>
    <w:p w14:paraId="4A665BE2">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78B0494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13BAA14">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5115ED6F">
      <w:pPr>
        <w:rPr>
          <w:color w:val="000000" w:themeColor="text1"/>
          <w:highlight w:val="none"/>
          <w14:textFill>
            <w14:solidFill>
              <w14:schemeClr w14:val="tx1"/>
            </w14:solidFill>
          </w14:textFill>
        </w:rPr>
      </w:pPr>
    </w:p>
    <w:p w14:paraId="15B53DA7">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210820</wp:posOffset>
                </wp:positionH>
                <wp:positionV relativeFrom="paragraph">
                  <wp:posOffset>1270</wp:posOffset>
                </wp:positionV>
                <wp:extent cx="4933950" cy="2294255"/>
                <wp:effectExtent l="4445" t="5080" r="14605" b="5715"/>
                <wp:wrapNone/>
                <wp:docPr id="4" name="自选图形 2"/>
                <wp:cNvGraphicFramePr/>
                <a:graphic xmlns:a="http://schemas.openxmlformats.org/drawingml/2006/main">
                  <a:graphicData uri="http://schemas.microsoft.com/office/word/2010/wordprocessingShape">
                    <wps:wsp>
                      <wps:cNvSpPr>
                        <a:spLocks noChangeArrowheads="1"/>
                      </wps:cNvSpPr>
                      <wps:spPr bwMode="auto">
                        <a:xfrm>
                          <a:off x="0" y="0"/>
                          <a:ext cx="4933950" cy="2294255"/>
                        </a:xfrm>
                        <a:prstGeom prst="flowChartAlternateProcess">
                          <a:avLst/>
                        </a:prstGeom>
                        <a:solidFill>
                          <a:srgbClr val="FFFFFF"/>
                        </a:solidFill>
                        <a:ln w="9525">
                          <a:solidFill>
                            <a:srgbClr val="000000"/>
                          </a:solidFill>
                          <a:miter lim="800000"/>
                        </a:ln>
                        <a:effectLst/>
                      </wps:spPr>
                      <wps:txbx>
                        <w:txbxContent>
                          <w:p w14:paraId="7FC5D2BE"/>
                          <w:p w14:paraId="274E674B"/>
                          <w:p w14:paraId="5891A548">
                            <w:pPr>
                              <w:jc w:val="center"/>
                            </w:pPr>
                            <w:r>
                              <w:rPr>
                                <w:rFonts w:hint="eastAsia" w:asciiTheme="minorEastAsia" w:hAnsiTheme="minorEastAsia" w:eastAsiaTheme="minorEastAsia" w:cstheme="minorEastAsia"/>
                                <w:sz w:val="21"/>
                                <w:szCs w:val="21"/>
                              </w:rPr>
                              <w:t>授权</w:t>
                            </w:r>
                            <w:r>
                              <w:rPr>
                                <w:rFonts w:hint="eastAsia" w:asciiTheme="minorEastAsia" w:hAnsiTheme="minorEastAsia" w:eastAsiaTheme="minorEastAsia" w:cstheme="minorEastAsia"/>
                                <w:sz w:val="21"/>
                                <w:szCs w:val="21"/>
                                <w:lang w:val="en-US" w:eastAsia="zh-CN"/>
                              </w:rPr>
                              <w:t>人</w:t>
                            </w: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16.6pt;margin-top:0.1pt;height:180.65pt;width:388.5pt;z-index:251661312;mso-width-relative:page;mso-height-relative:page;" fillcolor="#FFFFFF" filled="t" stroked="t" coordsize="21600,21600" o:gfxdata="UEsDBAoAAAAAAIdO4kAAAAAAAAAAAAAAAAAEAAAAZHJzL1BLAwQUAAAACACHTuJATb5+s9QAAAAH&#10;AQAADwAAAGRycy9kb3ducmV2LnhtbE2OQU+EMBCF7yb+h2ZMvLltl4iIlI3R6MmLuInXQkdKpC2h&#10;hUV/veNJL5OZeS/vfdVhcyNbcY5D8ArkTgBD3wUz+F7B8e3pqgAWk/ZGj8Gjgi+McKjPzypdmnDy&#10;r7g2qWcU4mOpFdiUppLz2Fl0Ou7ChJ60jzA7neice25mfaJwN/K9EDl3evDUYPWEDxa7z2ZxCraX&#10;7/Z2eZZdk2yR37xn6+P9kSt1eSHFHbCEW/ozwy8+oUNNTG1YvIlsVJBle3IqoElqIQUtLb1zeQ28&#10;rvh//voHUEsDBBQAAAAIAIdO4kAZT6w0VwIAAKQEAAAOAAAAZHJzL2Uyb0RvYy54bWytVMFu1DAQ&#10;vSPxD5bvNLvpLnSjZqtVqyKkApUKH+B1nI2F7TFj72bLiRviG7hx5B/gbyrBXzBx0mVbOPRADpEn&#10;M37z5s1Mjk+21rCNwqDBlXx8MOJMOQmVdquSv31z/uSIsxCFq4QBp0p+rQI/mT9+dNz6QuXQgKkU&#10;MgJxoWh9yZsYfZFlQTbKinAAXjly1oBWRDJxlVUoWkK3JstHo6dZC1h5BKlCoK9nvZMPiPgQQKhr&#10;LdUZyLVVLvaoqIyIVFJotA98ntjWtZLxdV0HFZkpOVUa05uS0HnZvbP5sShWKHyj5UBBPITCvZqs&#10;0I6S7qDORBRsjfovKKslQoA6HkiwWV9IUoSqGI/uaXPVCK9SLSR18DvRw/+Dla82l8h0VfIJZ05Y&#10;avjPT99+ffx88+XHzfevLO8Uan0oKPDKX2JXY/AXIN8F5uC0EW6lFojQNkpUxGvcxWd3LnRGoKts&#10;2b6EihKIdYQk1rZG2wGSDGybenK964naRibp42R2eDibUrsk+fJ8Nsmn05RDFLfXPYb4XIFl3aHk&#10;tYGWiGFcmKjQiagu+2lLOcXmIsSOoyhu76WawOjqXBuTDFwtTw2yjaCpOU/PkDLshxnH2pLPpvk0&#10;Id/xhX2IUXr+BWE1UWRG25If7QcZ1/FQaYAHvrcy9u2I2+V26MwSqmtSF6EfblptOjSAHzhrabBL&#10;Ht6vBSrOzAtHHZqNJ5NuE5IxmT7LycB9z3LfI5wkqJJHzvrjaey3Z+1RrxrKNE7FO1hQV2udpO2o&#10;9qyGWaDhTYoPi9Ztx76dov78XO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E2+frPUAAAABwEA&#10;AA8AAAAAAAAAAQAgAAAAIgAAAGRycy9kb3ducmV2LnhtbFBLAQIUABQAAAAIAIdO4kAZT6w0VwIA&#10;AKQEAAAOAAAAAAAAAAEAIAAAACMBAABkcnMvZTJvRG9jLnhtbFBLBQYAAAAABgAGAFkBAADsBQAA&#10;AAA=&#10;">
                <v:fill on="t" focussize="0,0"/>
                <v:stroke color="#000000" miterlimit="8" joinstyle="miter"/>
                <v:imagedata o:title=""/>
                <o:lock v:ext="edit" aspectratio="f"/>
                <v:textbox>
                  <w:txbxContent>
                    <w:p w14:paraId="7FC5D2BE"/>
                    <w:p w14:paraId="274E674B"/>
                    <w:p w14:paraId="5891A548">
                      <w:pPr>
                        <w:jc w:val="center"/>
                      </w:pPr>
                      <w:r>
                        <w:rPr>
                          <w:rFonts w:hint="eastAsia" w:asciiTheme="minorEastAsia" w:hAnsiTheme="minorEastAsia" w:eastAsiaTheme="minorEastAsia" w:cstheme="minorEastAsia"/>
                          <w:sz w:val="21"/>
                          <w:szCs w:val="21"/>
                        </w:rPr>
                        <w:t>授权</w:t>
                      </w:r>
                      <w:r>
                        <w:rPr>
                          <w:rFonts w:hint="eastAsia" w:asciiTheme="minorEastAsia" w:hAnsiTheme="minorEastAsia" w:eastAsiaTheme="minorEastAsia" w:cstheme="minorEastAsia"/>
                          <w:sz w:val="21"/>
                          <w:szCs w:val="21"/>
                          <w:lang w:val="en-US" w:eastAsia="zh-CN"/>
                        </w:rPr>
                        <w:t>人</w:t>
                      </w:r>
                      <w:r>
                        <w:rPr>
                          <w:rFonts w:hint="eastAsia"/>
                        </w:rPr>
                        <w:t>身份证正反面复印件</w:t>
                      </w:r>
                    </w:p>
                  </w:txbxContent>
                </v:textbox>
              </v:shape>
            </w:pict>
          </mc:Fallback>
        </mc:AlternateContent>
      </w:r>
    </w:p>
    <w:p w14:paraId="7BB6F9F7">
      <w:pPr>
        <w:rPr>
          <w:color w:val="000000" w:themeColor="text1"/>
          <w:highlight w:val="none"/>
          <w14:textFill>
            <w14:solidFill>
              <w14:schemeClr w14:val="tx1"/>
            </w14:solidFill>
          </w14:textFill>
        </w:rPr>
      </w:pPr>
    </w:p>
    <w:p w14:paraId="4B046B1A">
      <w:pPr>
        <w:rPr>
          <w:color w:val="000000" w:themeColor="text1"/>
          <w:highlight w:val="none"/>
          <w14:textFill>
            <w14:solidFill>
              <w14:schemeClr w14:val="tx1"/>
            </w14:solidFill>
          </w14:textFill>
        </w:rPr>
      </w:pPr>
    </w:p>
    <w:p w14:paraId="5387BD6C">
      <w:pPr>
        <w:rPr>
          <w:color w:val="000000" w:themeColor="text1"/>
          <w:highlight w:val="none"/>
          <w14:textFill>
            <w14:solidFill>
              <w14:schemeClr w14:val="tx1"/>
            </w14:solidFill>
          </w14:textFill>
        </w:rPr>
      </w:pPr>
    </w:p>
    <w:p w14:paraId="0792B6E5">
      <w:pPr>
        <w:rPr>
          <w:color w:val="000000" w:themeColor="text1"/>
          <w:highlight w:val="none"/>
          <w14:textFill>
            <w14:solidFill>
              <w14:schemeClr w14:val="tx1"/>
            </w14:solidFill>
          </w14:textFill>
        </w:rPr>
      </w:pPr>
    </w:p>
    <w:p w14:paraId="7855A2DE">
      <w:pPr>
        <w:rPr>
          <w:color w:val="000000" w:themeColor="text1"/>
          <w:highlight w:val="none"/>
          <w14:textFill>
            <w14:solidFill>
              <w14:schemeClr w14:val="tx1"/>
            </w14:solidFill>
          </w14:textFill>
        </w:rPr>
      </w:pPr>
    </w:p>
    <w:p w14:paraId="2371E52F">
      <w:pPr>
        <w:rPr>
          <w:color w:val="000000" w:themeColor="text1"/>
          <w:highlight w:val="none"/>
          <w14:textFill>
            <w14:solidFill>
              <w14:schemeClr w14:val="tx1"/>
            </w14:solidFill>
          </w14:textFill>
        </w:rPr>
      </w:pPr>
    </w:p>
    <w:p w14:paraId="56CF39DD">
      <w:pPr>
        <w:rPr>
          <w:color w:val="000000" w:themeColor="text1"/>
          <w:highlight w:val="none"/>
          <w14:textFill>
            <w14:solidFill>
              <w14:schemeClr w14:val="tx1"/>
            </w14:solidFill>
          </w14:textFill>
        </w:rPr>
      </w:pPr>
    </w:p>
    <w:p w14:paraId="4CB46427">
      <w:pPr>
        <w:rPr>
          <w:color w:val="000000" w:themeColor="text1"/>
          <w:highlight w:val="none"/>
          <w14:textFill>
            <w14:solidFill>
              <w14:schemeClr w14:val="tx1"/>
            </w14:solidFill>
          </w14:textFill>
        </w:rPr>
      </w:pPr>
    </w:p>
    <w:p w14:paraId="151D4935">
      <w:pPr>
        <w:rPr>
          <w:color w:val="000000" w:themeColor="text1"/>
          <w:highlight w:val="none"/>
          <w14:textFill>
            <w14:solidFill>
              <w14:schemeClr w14:val="tx1"/>
            </w14:solidFill>
          </w14:textFill>
        </w:rPr>
      </w:pPr>
    </w:p>
    <w:p w14:paraId="63198AFD">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99" w:name="_Toc1593"/>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格式八：投标保证金</w:t>
      </w:r>
      <w:bookmarkEnd w:id="99"/>
    </w:p>
    <w:p w14:paraId="04F03F9C">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BBA277D">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bCs w:val="0"/>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28"/>
          <w:szCs w:val="28"/>
          <w:highlight w:val="none"/>
          <w14:textFill>
            <w14:solidFill>
              <w14:schemeClr w14:val="tx1"/>
            </w14:solidFill>
          </w14:textFill>
        </w:rPr>
        <w:t>投标保证金</w:t>
      </w:r>
    </w:p>
    <w:p w14:paraId="11ED823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采购文件要求递交投标保证金的，投标人应在此提供保证金的凭证的复印件。</w:t>
      </w:r>
    </w:p>
    <w:p w14:paraId="598F2FE7">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2DCD9D88">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60358DB">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E2AED59">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7FD137E">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100" w:name="_Toc27357"/>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格式九：提供具有独立承担民事责任的能力的证明材料</w:t>
      </w:r>
      <w:bookmarkEnd w:id="100"/>
    </w:p>
    <w:p w14:paraId="16417D35">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69BB1581">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提供具有独立承担民事责任的能力的证明材料</w:t>
      </w:r>
    </w:p>
    <w:p w14:paraId="4E89DF6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4465B968">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71D670B">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EE51105">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D41B205">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101" w:name="_Toc20793"/>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格式十：资格性审查要求的其他资质证明文件</w:t>
      </w:r>
      <w:bookmarkEnd w:id="101"/>
    </w:p>
    <w:p w14:paraId="7A85E10D">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9E0ADD9">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资格性审查要求的其他资质证明文件</w:t>
      </w:r>
    </w:p>
    <w:p w14:paraId="55518FA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具有履行合同所必需的设备和专业技术能力</w:t>
      </w:r>
    </w:p>
    <w:p w14:paraId="75DBADCE">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6FDFBC05">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DEB6BD1">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CB4CD71">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4FDF2BB">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14561CF">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3C8E6B0">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BEDCDD0">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F99EEBA">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8212F19">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102" w:name="_Toc7678"/>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格式十一：承诺函</w:t>
      </w:r>
      <w:bookmarkEnd w:id="102"/>
    </w:p>
    <w:p w14:paraId="70BE8B75">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67F51F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（对于采购需求写明“提供承诺”的条款，供应商可参照以下格式提供承诺）</w:t>
      </w:r>
    </w:p>
    <w:p w14:paraId="5A558EDB">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承诺函</w:t>
      </w:r>
    </w:p>
    <w:p w14:paraId="38048E3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致：</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阳江市阳东区华南师范大学附属阳东小学</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p>
    <w:p w14:paraId="7D389E7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对于__________________项目（项目编号：__________________），我方郑重承诺如下：</w:t>
      </w:r>
    </w:p>
    <w:p w14:paraId="31599EB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如中标/成交，我方承诺严格落实采购文件以下条款：(建议逐条复制采购文件相关条款原文)</w:t>
      </w:r>
    </w:p>
    <w:p w14:paraId="6BC7486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（一）星号条款</w:t>
      </w:r>
    </w:p>
    <w:p w14:paraId="560F0C6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p w14:paraId="6D3F299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p w14:paraId="075A431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p w14:paraId="275C3E6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A21091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（二）三角号条款</w:t>
      </w:r>
    </w:p>
    <w:p w14:paraId="3D7536E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p w14:paraId="2E4AAB3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p w14:paraId="2C2A62E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p w14:paraId="163426F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20672F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（三）非星号、非三角号条款</w:t>
      </w:r>
    </w:p>
    <w:p w14:paraId="7EE59C7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p w14:paraId="3322B15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p w14:paraId="4CDE3BD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p w14:paraId="23873C0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p>
    <w:p w14:paraId="3A9F369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特此承诺。</w:t>
      </w:r>
    </w:p>
    <w:p w14:paraId="3B6C0169">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供应商名称（盖章）：__________________</w:t>
      </w:r>
    </w:p>
    <w:p w14:paraId="417C9801">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5895CC18">
      <w:pP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br w:type="page"/>
      </w:r>
    </w:p>
    <w:p w14:paraId="7DF92050">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103" w:name="_Toc16914"/>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格式十二：中小企业声明函</w:t>
      </w:r>
      <w:bookmarkEnd w:id="103"/>
    </w:p>
    <w:p w14:paraId="44FF4C1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36BDDD9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中小企业声明函（所投产品制造商为中小企业时提交本函，所属行业应符合采购文件中明确的本项目所属行业）</w:t>
      </w:r>
    </w:p>
    <w:p w14:paraId="425EE5C5">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中小企业声明函（货物）</w:t>
      </w:r>
    </w:p>
    <w:p w14:paraId="72A3B67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（单位名称）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（项目名称）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采购活动，提供的货物全部由符合政策要求的中小企业制造。相关企业（含联合体中的中小企业、签订分包意向协议的中小企业）的具体情况如下：</w:t>
      </w:r>
    </w:p>
    <w:p w14:paraId="5552D8E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（采购文件中明确的所属行业）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行业；制造商为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，从业人员__________________人，营业收入为__________________万元，资产总额为__________________万元1，属于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43B9C54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（采购文件中明确的所属行业）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行业；制造商为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，从业人员__________________人，营业收入为__________________万元，资产总额为__________________万元1，属于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65F6E0D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602955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以上企业，不属于大企业的分支机构，不存在控股股东为大企业的情形，也不存在与大企业的负责人为同一人的情形。</w:t>
      </w:r>
    </w:p>
    <w:p w14:paraId="6F4AC98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本企业对上述声明内容的真实性负责。如有虚假，将依法承担相应责任。</w:t>
      </w:r>
    </w:p>
    <w:p w14:paraId="5460B0F3">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企业名称（盖章）：__________________</w:t>
      </w:r>
    </w:p>
    <w:p w14:paraId="7B08A8D2">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2CF64D9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1：从业人员、营业收入、资产总额填报上一年度数据，无上一年度数据的新成立企业可不填报</w:t>
      </w:r>
    </w:p>
    <w:p w14:paraId="44FA9B5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14:paraId="5C95CF7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6DEE2D8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中小企业声明函（承建本项目工程为中小企业或者承接本项目服务为中小企业时提交本函，所属行业应符合采购文件中明确的本项目所属行业）</w:t>
      </w:r>
    </w:p>
    <w:p w14:paraId="7C729F3E">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2A3DABF7">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中小企业声明函（工程、服务）</w:t>
      </w:r>
    </w:p>
    <w:p w14:paraId="400D572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（单位名称）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（项目名称）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622102B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（采购文件中明确的所属行业）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行业；承建（承接）企业为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，从业人员__________________人，营业收入为__________________万元，资产总额为__________________万元1，属于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5BAAA3C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（采购文件中明确的所属行业）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行业；承建（承接）企业为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，从业人员__________________人，营业收入为__________________万元，资产总额为__________________万元1，属于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48F73FF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231A06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以上企业，不属于大企业的分支机构，不存在控股股东为大企业的情形，也不存在与大企业的负责人为同一人的情形。</w:t>
      </w:r>
    </w:p>
    <w:p w14:paraId="1F8A43B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本企业对上述声明内容的真实性负责。如有虚假，将依法承担相应责任。</w:t>
      </w:r>
    </w:p>
    <w:p w14:paraId="34AF79E3">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企业名称（盖章）：__________________</w:t>
      </w:r>
    </w:p>
    <w:p w14:paraId="422B80B7">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405E062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1：从业人员、营业收入、资产总额填报上一年度数据，无上一年度数据的新成立企业可不填报。</w:t>
      </w:r>
    </w:p>
    <w:p w14:paraId="5001642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2：投标人应当自行核实是否属于小微企业，并认真填写声明函，若有虚假将追究其责任。</w:t>
      </w:r>
    </w:p>
    <w:p w14:paraId="5894684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50F9704F">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B36F547">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88F006D">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FF7E5F7">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6EB418F">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362E41F">
      <w:pP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br w:type="page"/>
      </w:r>
    </w:p>
    <w:p w14:paraId="06082600">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104" w:name="_Toc22748"/>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格式十三：监狱企业</w:t>
      </w:r>
      <w:bookmarkEnd w:id="104"/>
    </w:p>
    <w:p w14:paraId="24D97FEC">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77BB8C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1124201E">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监狱企业</w:t>
      </w:r>
    </w:p>
    <w:p w14:paraId="6AD5909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提供由监狱管理局、戒毒管理局（含新疆生产建设兵团）出具的属于监狱企业的证明文件。</w:t>
      </w:r>
    </w:p>
    <w:p w14:paraId="67F2631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45CC167D">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EF8E0E2">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92C4D41">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518AAFF">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D5D3707">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BB7DBDB">
      <w:pP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br w:type="page"/>
      </w:r>
    </w:p>
    <w:p w14:paraId="356BCD42">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105" w:name="_Toc25815"/>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格式十四：残疾人福利性单位声明函</w:t>
      </w:r>
      <w:bookmarkEnd w:id="105"/>
    </w:p>
    <w:p w14:paraId="04DBCB83">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26C1E8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5766B78C">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残疾人福利性单位声明函</w:t>
      </w:r>
    </w:p>
    <w:p w14:paraId="6FB004D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64A93A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本单位对上述声明的真实性负责。如有虚假，将依法承担相应责任。</w:t>
      </w:r>
    </w:p>
    <w:p w14:paraId="674C9A9F">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单位名称（盖章）：__________________</w:t>
      </w:r>
    </w:p>
    <w:p w14:paraId="0641F506">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695A600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注：本函未填写或未勾选视作未做声明。</w:t>
      </w:r>
    </w:p>
    <w:p w14:paraId="0AE0D74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28D8F166">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D53AB39">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EB07A2E">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C14DBA1">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192E466">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BAC5C1F">
      <w:pP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br w:type="page"/>
      </w:r>
    </w:p>
    <w:p w14:paraId="71AE8D3D">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106" w:name="_Toc907"/>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格式十五：联合体共同投标协议书</w:t>
      </w:r>
      <w:bookmarkEnd w:id="106"/>
    </w:p>
    <w:p w14:paraId="36149AF3">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5B84E5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1EF75AE4">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联合体共同投标协议书</w:t>
      </w:r>
    </w:p>
    <w:p w14:paraId="5749025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立约方：</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（甲公司全称）</w:t>
      </w:r>
    </w:p>
    <w:p w14:paraId="48C04FB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（乙公司全称）</w:t>
      </w:r>
    </w:p>
    <w:p w14:paraId="1D4C12A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（……公司全称）</w:t>
      </w:r>
    </w:p>
    <w:p w14:paraId="0986236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（甲公司全称）、（乙公司全称）、（……公司全称）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自愿组成联合体，以一个投标人的身份共同参加（采购项目名称）（采购项目编号）的响应活动。经各方充分协商一致，就项目的响应和合同实施阶段的有关事务协商一致订立协议如下：</w:t>
      </w:r>
    </w:p>
    <w:p w14:paraId="208FB81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一、联合体各方关系</w:t>
      </w:r>
    </w:p>
    <w:p w14:paraId="6779C30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（甲公司全称）、（乙公司全称）、（……公司全称）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共同组成一个联合体，以一个投标人的身份共同参加本项目的响应。（甲公司全称）、（乙公司全称）、（……公司全称）作为联合体成员，若中标，联合体各方共同与（采购人）签订政府采购合同。</w:t>
      </w:r>
    </w:p>
    <w:p w14:paraId="6074623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二、联合体内部有关事项约定如下：</w:t>
      </w:r>
    </w:p>
    <w:p w14:paraId="7038DC7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1.（甲公司全称）作为联合体的牵头单位，代表联合体双方负责投标和合同实施阶段的主办、协调工作。</w:t>
      </w:r>
    </w:p>
    <w:p w14:paraId="222C44F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14:paraId="32264A6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3.如果本联合体中标，</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（甲公司全称）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负责本项目___________部分，</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（乙公司全称）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负责本项目___________部分。</w:t>
      </w:r>
    </w:p>
    <w:p w14:paraId="161BCDA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4.如中标，联合体各方共同与（采购人）签订合同书，并就中标项目向采购人负责有连带的和各自的法律责任；</w:t>
      </w:r>
    </w:p>
    <w:p w14:paraId="2CF18DB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5.联合体成员（公司全称）为（请填写：小型、微型）企业，将承担合同总金额_____%的工作内容（联合体成员中有小型、微型企业时适用）。</w:t>
      </w:r>
    </w:p>
    <w:p w14:paraId="0EE5278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14:paraId="2FA3888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四、联合体如因违约过失责任而导致采购人经济损失或被索赔时，本联合体任何一方均同意无条件优先清偿采购人的一切债务和经济赔偿。</w:t>
      </w:r>
    </w:p>
    <w:p w14:paraId="0727F6A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五、本协议在自签署之日起生效，有效期内有效，如获中标资格，合同有效期延续至合同履行完毕之日。</w:t>
      </w:r>
    </w:p>
    <w:p w14:paraId="77B0297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六、本协议书正本一式_____份，随投标文件装订_____份，送采购人_____份，联合体成员各一份；副本一式_____份，联合体成员各执_____份。</w:t>
      </w:r>
    </w:p>
    <w:p w14:paraId="3E863059">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甲公司全称：____（盖章）________，乙公司全称：____（盖章）________，……公司全称：____（盖章）________，</w:t>
      </w:r>
    </w:p>
    <w:p w14:paraId="08A5D7E2">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____年____月 ____日，____年____月____日，____年____月____日</w:t>
      </w:r>
    </w:p>
    <w:p w14:paraId="02CA499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注：1．联合响应时需签本协议，联合体各方成员应在本协议上共同盖章确认。</w:t>
      </w:r>
    </w:p>
    <w:p w14:paraId="4396A63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2．本协议内容不得擅自修改。此协议将作为签订合同的附件之一。</w:t>
      </w:r>
    </w:p>
    <w:p w14:paraId="78CD737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1ED75AE7">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729BEBD">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8E2A4DB">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087A5F5">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9CE9E8A">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424E0D6">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7BB1B4B">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84210AB">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3A69795">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897369C">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B89E845">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6C6368C">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A69C872">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467E7D2">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F641646">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7826FEC">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3E76279">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C1FDC13">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AF0EA2D">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107" w:name="_Toc1139"/>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格式十六：投标人业绩情况表</w:t>
      </w:r>
      <w:bookmarkEnd w:id="107"/>
    </w:p>
    <w:p w14:paraId="6B5970F8">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7122D5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3070A8D9">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投标人业绩情况表</w:t>
      </w:r>
    </w:p>
    <w:tbl>
      <w:tblPr>
        <w:tblStyle w:val="15"/>
        <w:tblW w:w="907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11"/>
        <w:gridCol w:w="1512"/>
        <w:gridCol w:w="1512"/>
        <w:gridCol w:w="1512"/>
        <w:gridCol w:w="1512"/>
        <w:gridCol w:w="1512"/>
      </w:tblGrid>
      <w:tr w14:paraId="5A7D1C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2C14C41F">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1384" w:type="dxa"/>
            <w:vAlign w:val="top"/>
          </w:tcPr>
          <w:p w14:paraId="03A7CA0C">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客户名称</w:t>
            </w:r>
          </w:p>
        </w:tc>
        <w:tc>
          <w:tcPr>
            <w:tcW w:w="1384" w:type="dxa"/>
            <w:vAlign w:val="top"/>
          </w:tcPr>
          <w:p w14:paraId="0510A9CE">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项目名称及合同金额（万元）</w:t>
            </w:r>
          </w:p>
        </w:tc>
        <w:tc>
          <w:tcPr>
            <w:tcW w:w="1384" w:type="dxa"/>
            <w:vAlign w:val="top"/>
          </w:tcPr>
          <w:p w14:paraId="45C6348A">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签订合同时间</w:t>
            </w:r>
          </w:p>
        </w:tc>
        <w:tc>
          <w:tcPr>
            <w:tcW w:w="1384" w:type="dxa"/>
            <w:vAlign w:val="top"/>
          </w:tcPr>
          <w:p w14:paraId="671566C7">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竣工验收报告时间</w:t>
            </w:r>
          </w:p>
        </w:tc>
        <w:tc>
          <w:tcPr>
            <w:tcW w:w="1384" w:type="dxa"/>
            <w:vAlign w:val="top"/>
          </w:tcPr>
          <w:p w14:paraId="7DA85975">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联系人及电话</w:t>
            </w:r>
          </w:p>
        </w:tc>
      </w:tr>
      <w:tr w14:paraId="5F812B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15DA551C">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384" w:type="dxa"/>
            <w:vAlign w:val="top"/>
          </w:tcPr>
          <w:p w14:paraId="7CD97DB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4DD9B77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5B72D09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5415082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39E1D0A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0E8AB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2761FC39">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p>
        </w:tc>
        <w:tc>
          <w:tcPr>
            <w:tcW w:w="1384" w:type="dxa"/>
            <w:vAlign w:val="top"/>
          </w:tcPr>
          <w:p w14:paraId="0899256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5ADE0D0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0BAE9BC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0802E08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6063758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006AC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24D28C7B">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w:t>
            </w:r>
          </w:p>
        </w:tc>
        <w:tc>
          <w:tcPr>
            <w:tcW w:w="1384" w:type="dxa"/>
            <w:vAlign w:val="top"/>
          </w:tcPr>
          <w:p w14:paraId="4558FF3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326189D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3FA2A6B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67ECB39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09B945B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67B5A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107F910E">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4</w:t>
            </w:r>
          </w:p>
        </w:tc>
        <w:tc>
          <w:tcPr>
            <w:tcW w:w="1384" w:type="dxa"/>
            <w:vAlign w:val="top"/>
          </w:tcPr>
          <w:p w14:paraId="062579A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12A4C4A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2596912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48B58F4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1BD1BC8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71725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5C64A5DB">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1384" w:type="dxa"/>
            <w:vAlign w:val="top"/>
          </w:tcPr>
          <w:p w14:paraId="37A4D09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2ECBCE6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4D9D2E6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4DBAD3F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522D5F0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7AF1758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根据上述业绩情况，按招标文件要求附销售或服务合同复印件及评审标准要求的证明材料。</w:t>
      </w:r>
    </w:p>
    <w:p w14:paraId="779783F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5E2C0687">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9F21742">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4B11C1D">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B7BA136">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6EFED6B">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59669D7">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A740952">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3F99991">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BB2EF35">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660BCFD">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41E95DD">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A1AAA9D">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62E7607">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88E81C9">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7561B17">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546BB51">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1A6FB05">
      <w:pP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br w:type="page"/>
      </w:r>
    </w:p>
    <w:p w14:paraId="109BFBB2">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108" w:name="_Toc15331"/>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格式十七：《技术和服务要求响应表》</w:t>
      </w:r>
      <w:bookmarkEnd w:id="108"/>
    </w:p>
    <w:p w14:paraId="7D98AD53">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1B75D11">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《技术和服务要求响应表》</w:t>
      </w:r>
    </w:p>
    <w:tbl>
      <w:tblPr>
        <w:tblStyle w:val="15"/>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7"/>
        <w:gridCol w:w="1008"/>
        <w:gridCol w:w="1008"/>
        <w:gridCol w:w="1008"/>
        <w:gridCol w:w="1008"/>
        <w:gridCol w:w="1008"/>
        <w:gridCol w:w="1008"/>
        <w:gridCol w:w="1008"/>
        <w:gridCol w:w="1008"/>
      </w:tblGrid>
      <w:tr w14:paraId="10A667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6A05AAE6">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923" w:type="dxa"/>
            <w:vAlign w:val="top"/>
          </w:tcPr>
          <w:p w14:paraId="0260620A">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标的名称</w:t>
            </w:r>
          </w:p>
        </w:tc>
        <w:tc>
          <w:tcPr>
            <w:tcW w:w="923" w:type="dxa"/>
            <w:vAlign w:val="top"/>
          </w:tcPr>
          <w:p w14:paraId="5E5058CC">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参数性质</w:t>
            </w:r>
          </w:p>
        </w:tc>
        <w:tc>
          <w:tcPr>
            <w:tcW w:w="923" w:type="dxa"/>
            <w:vAlign w:val="top"/>
          </w:tcPr>
          <w:p w14:paraId="4A01D66F">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采购文件规定的技术和服务要求</w:t>
            </w:r>
          </w:p>
        </w:tc>
        <w:tc>
          <w:tcPr>
            <w:tcW w:w="923" w:type="dxa"/>
            <w:vAlign w:val="top"/>
          </w:tcPr>
          <w:p w14:paraId="11344E41">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投标文件响应的具体内容</w:t>
            </w:r>
          </w:p>
        </w:tc>
        <w:tc>
          <w:tcPr>
            <w:tcW w:w="923" w:type="dxa"/>
            <w:vAlign w:val="top"/>
          </w:tcPr>
          <w:p w14:paraId="69D8CF6D">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型号</w:t>
            </w:r>
          </w:p>
        </w:tc>
        <w:tc>
          <w:tcPr>
            <w:tcW w:w="923" w:type="dxa"/>
            <w:vAlign w:val="top"/>
          </w:tcPr>
          <w:p w14:paraId="420F6436">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是否偏离</w:t>
            </w:r>
          </w:p>
        </w:tc>
        <w:tc>
          <w:tcPr>
            <w:tcW w:w="923" w:type="dxa"/>
            <w:vAlign w:val="top"/>
          </w:tcPr>
          <w:p w14:paraId="48F45EC5">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证明文件所在位置</w:t>
            </w:r>
          </w:p>
        </w:tc>
        <w:tc>
          <w:tcPr>
            <w:tcW w:w="923" w:type="dxa"/>
            <w:vAlign w:val="top"/>
          </w:tcPr>
          <w:p w14:paraId="01787CEF">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备注</w:t>
            </w:r>
          </w:p>
        </w:tc>
      </w:tr>
      <w:tr w14:paraId="1C0C91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652B1FE9">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923" w:type="dxa"/>
            <w:vAlign w:val="top"/>
          </w:tcPr>
          <w:p w14:paraId="7D07B78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CD64CE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70990C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004876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5A7EF2F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4F86A5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00C8923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91CAD6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25EB7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18CF1E14">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923" w:type="dxa"/>
            <w:vAlign w:val="top"/>
          </w:tcPr>
          <w:p w14:paraId="0EE8014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47E0BB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5C6A05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9F0699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9065C0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121095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0BB24A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698CE4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61742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71C4FDA8">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923" w:type="dxa"/>
            <w:vAlign w:val="top"/>
          </w:tcPr>
          <w:p w14:paraId="0F61C6F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19139D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01B6DB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A8E418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8ACCE3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05A4790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0DEE821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65BE83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859EF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40581F7D">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923" w:type="dxa"/>
            <w:vAlign w:val="top"/>
          </w:tcPr>
          <w:p w14:paraId="67CE6F3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087B92C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E5ECB6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29C67A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F375DA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9064D6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3084A6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2B4492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43FA3D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74D94077">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p>
        </w:tc>
        <w:tc>
          <w:tcPr>
            <w:tcW w:w="923" w:type="dxa"/>
            <w:vAlign w:val="top"/>
          </w:tcPr>
          <w:p w14:paraId="0F06BAD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AFEABE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8B0963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08EEAB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FECD5B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3FCAF8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E1C629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744A80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0BED8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2B05962F">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w:t>
            </w:r>
          </w:p>
        </w:tc>
        <w:tc>
          <w:tcPr>
            <w:tcW w:w="923" w:type="dxa"/>
            <w:vAlign w:val="top"/>
          </w:tcPr>
          <w:p w14:paraId="16E7607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53AB49F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3E243D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0FD194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5A0480E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6D5EC8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5D9CCA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59214E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F6A5B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63D2AC33">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c>
          <w:tcPr>
            <w:tcW w:w="923" w:type="dxa"/>
            <w:vAlign w:val="top"/>
          </w:tcPr>
          <w:p w14:paraId="108A934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5D8A33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38B2A9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D761B2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76DC59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8E16B5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E66744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3E8E5C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46D2139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w:t>
      </w:r>
    </w:p>
    <w:p w14:paraId="1838461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2CEEA00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5D20F8B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“是否偏离”项下应按下列规定填写：优于的，填写“正偏离”；符合的，填写“无偏离”；低于的，填写“负偏离”。</w:t>
      </w:r>
    </w:p>
    <w:p w14:paraId="03E36E3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4.“备注”处可填写偏离情况的说明。</w:t>
      </w:r>
    </w:p>
    <w:p w14:paraId="3EC6958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1C1A012D">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14644FC">
      <w:pP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br w:type="page"/>
      </w:r>
    </w:p>
    <w:p w14:paraId="1C230306">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109" w:name="_Toc13195"/>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格式十八：《商务条件响应表》</w:t>
      </w:r>
      <w:bookmarkEnd w:id="109"/>
    </w:p>
    <w:p w14:paraId="2E8288C5">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5C31EF5">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《商务条件响应表》</w:t>
      </w:r>
    </w:p>
    <w:tbl>
      <w:tblPr>
        <w:tblStyle w:val="15"/>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95"/>
        <w:gridCol w:w="1296"/>
        <w:gridCol w:w="1296"/>
        <w:gridCol w:w="1296"/>
        <w:gridCol w:w="1296"/>
        <w:gridCol w:w="1296"/>
        <w:gridCol w:w="1296"/>
      </w:tblGrid>
      <w:tr w14:paraId="73E7B2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3F69855D">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序号</w:t>
            </w:r>
          </w:p>
        </w:tc>
        <w:tc>
          <w:tcPr>
            <w:tcW w:w="1187" w:type="dxa"/>
            <w:vAlign w:val="top"/>
          </w:tcPr>
          <w:p w14:paraId="641AF8D2">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参数性质</w:t>
            </w:r>
          </w:p>
        </w:tc>
        <w:tc>
          <w:tcPr>
            <w:tcW w:w="1187" w:type="dxa"/>
            <w:vAlign w:val="top"/>
          </w:tcPr>
          <w:p w14:paraId="7B189195">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采购文件规定的商务条件</w:t>
            </w:r>
          </w:p>
        </w:tc>
        <w:tc>
          <w:tcPr>
            <w:tcW w:w="1187" w:type="dxa"/>
            <w:vAlign w:val="top"/>
          </w:tcPr>
          <w:p w14:paraId="56D6A0F0">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投标文件响应的具体内容</w:t>
            </w:r>
          </w:p>
        </w:tc>
        <w:tc>
          <w:tcPr>
            <w:tcW w:w="1187" w:type="dxa"/>
            <w:vAlign w:val="top"/>
          </w:tcPr>
          <w:p w14:paraId="17504B6B">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是否偏离</w:t>
            </w:r>
          </w:p>
        </w:tc>
        <w:tc>
          <w:tcPr>
            <w:tcW w:w="1187" w:type="dxa"/>
            <w:vAlign w:val="top"/>
          </w:tcPr>
          <w:p w14:paraId="7F05847A">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证明文件所在位置</w:t>
            </w:r>
          </w:p>
        </w:tc>
        <w:tc>
          <w:tcPr>
            <w:tcW w:w="1187" w:type="dxa"/>
            <w:vAlign w:val="top"/>
          </w:tcPr>
          <w:p w14:paraId="461AC48A">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备注</w:t>
            </w:r>
          </w:p>
        </w:tc>
      </w:tr>
      <w:tr w14:paraId="3E93BE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7D67B32F">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187" w:type="dxa"/>
            <w:vAlign w:val="top"/>
          </w:tcPr>
          <w:p w14:paraId="46B8EDE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31CF0FB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3AF30A7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249F3E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5009429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3082B00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040A83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22F572F8">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1187" w:type="dxa"/>
            <w:vAlign w:val="top"/>
          </w:tcPr>
          <w:p w14:paraId="391E69F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FF04FE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9FEE68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50542A6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885288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0A47E17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0DEC0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75B8F5DE">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1187" w:type="dxa"/>
            <w:vAlign w:val="top"/>
          </w:tcPr>
          <w:p w14:paraId="18BF886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1ADC51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F88A49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318EA2D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1C54C9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D2F658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C516C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62383257">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1187" w:type="dxa"/>
            <w:vAlign w:val="top"/>
          </w:tcPr>
          <w:p w14:paraId="5D9E275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08FD81A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34C5D9E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A3C82A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CF1CCE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53FF1BF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3F966B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4D95A4CE">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p>
        </w:tc>
        <w:tc>
          <w:tcPr>
            <w:tcW w:w="1187" w:type="dxa"/>
            <w:vAlign w:val="top"/>
          </w:tcPr>
          <w:p w14:paraId="3D18DF3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F0C7F3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0E2522F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30E13BA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503855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973BE1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49A2C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2F0902AE">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w:t>
            </w:r>
          </w:p>
        </w:tc>
        <w:tc>
          <w:tcPr>
            <w:tcW w:w="1187" w:type="dxa"/>
            <w:vAlign w:val="top"/>
          </w:tcPr>
          <w:p w14:paraId="78C7047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CF21CC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70AB42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19601A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E9D2DD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88D865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0D124F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5B401F3C">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w:t>
            </w:r>
          </w:p>
        </w:tc>
        <w:tc>
          <w:tcPr>
            <w:tcW w:w="1187" w:type="dxa"/>
            <w:vAlign w:val="top"/>
          </w:tcPr>
          <w:p w14:paraId="1063383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359F29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04E7AB7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E62E21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39DA68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690EC3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6339C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1A0671B6">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w:t>
            </w:r>
          </w:p>
        </w:tc>
        <w:tc>
          <w:tcPr>
            <w:tcW w:w="1187" w:type="dxa"/>
            <w:vAlign w:val="top"/>
          </w:tcPr>
          <w:p w14:paraId="4697ED5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55CF9C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DB81CB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5EB043F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9E54BF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07C1F15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36EABC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7863931D">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w:t>
            </w:r>
          </w:p>
        </w:tc>
        <w:tc>
          <w:tcPr>
            <w:tcW w:w="1187" w:type="dxa"/>
            <w:vAlign w:val="top"/>
          </w:tcPr>
          <w:p w14:paraId="57F19C7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D8E15A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C63914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01436D2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437EAD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9CFF92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44068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267B7013">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1187" w:type="dxa"/>
            <w:vAlign w:val="top"/>
          </w:tcPr>
          <w:p w14:paraId="5EA89C0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5B2C182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5E4A78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3365C0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764EB4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5D39727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636A358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w:t>
      </w:r>
    </w:p>
    <w:p w14:paraId="7CDC4AD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“采购文件规定的商务条件”项下填写的内容应与招标文件中采购需求的 “商务要求”的内容保持一致。</w:t>
      </w:r>
    </w:p>
    <w:p w14:paraId="30DC17A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73B2A2F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34467F3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 “是否偏离”项下应按下列规定填写：优于的，填写“正偏离”；符合的，填写“无偏离”；低于的，填写“负偏离”。</w:t>
      </w:r>
    </w:p>
    <w:p w14:paraId="67F0D95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5.“备注”处可填写偏离情况的说明。</w:t>
      </w:r>
    </w:p>
    <w:p w14:paraId="10A2E1B8">
      <w:pP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br w:type="page"/>
      </w:r>
    </w:p>
    <w:p w14:paraId="52E4F065">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110" w:name="_Toc19804"/>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格式十九：履约进度计划表</w:t>
      </w:r>
      <w:bookmarkEnd w:id="110"/>
    </w:p>
    <w:p w14:paraId="2ADA8905">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890D71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381CC649">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履约进度计划表</w:t>
      </w:r>
    </w:p>
    <w:tbl>
      <w:tblPr>
        <w:tblStyle w:val="15"/>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67"/>
        <w:gridCol w:w="2268"/>
        <w:gridCol w:w="2268"/>
        <w:gridCol w:w="2268"/>
      </w:tblGrid>
      <w:tr w14:paraId="527D57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vAlign w:val="top"/>
          </w:tcPr>
          <w:p w14:paraId="658D1BD9">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2076" w:type="dxa"/>
            <w:vAlign w:val="top"/>
          </w:tcPr>
          <w:p w14:paraId="1C97E9D2">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拟定时间安排</w:t>
            </w:r>
          </w:p>
        </w:tc>
        <w:tc>
          <w:tcPr>
            <w:tcW w:w="2076" w:type="dxa"/>
            <w:vAlign w:val="top"/>
          </w:tcPr>
          <w:p w14:paraId="46A12385">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计划完成的工作内容</w:t>
            </w:r>
          </w:p>
        </w:tc>
        <w:tc>
          <w:tcPr>
            <w:tcW w:w="2076" w:type="dxa"/>
            <w:vAlign w:val="top"/>
          </w:tcPr>
          <w:p w14:paraId="36F40E3A">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实施方建议或要求</w:t>
            </w:r>
          </w:p>
        </w:tc>
      </w:tr>
      <w:tr w14:paraId="1BE9B6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vAlign w:val="top"/>
          </w:tcPr>
          <w:p w14:paraId="277A56E1">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p>
        </w:tc>
        <w:tc>
          <w:tcPr>
            <w:tcW w:w="2076" w:type="dxa"/>
            <w:vAlign w:val="top"/>
          </w:tcPr>
          <w:p w14:paraId="76828CA2">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拟定___年___月___日</w:t>
            </w:r>
          </w:p>
        </w:tc>
        <w:tc>
          <w:tcPr>
            <w:tcW w:w="2076" w:type="dxa"/>
            <w:vAlign w:val="top"/>
          </w:tcPr>
          <w:p w14:paraId="5F90CF75">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签订合同并生效</w:t>
            </w:r>
          </w:p>
        </w:tc>
        <w:tc>
          <w:tcPr>
            <w:tcW w:w="2076" w:type="dxa"/>
            <w:vAlign w:val="top"/>
          </w:tcPr>
          <w:p w14:paraId="2E8D75B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36A9F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vAlign w:val="top"/>
          </w:tcPr>
          <w:p w14:paraId="487F17CF">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p>
        </w:tc>
        <w:tc>
          <w:tcPr>
            <w:tcW w:w="2076" w:type="dxa"/>
            <w:vAlign w:val="top"/>
          </w:tcPr>
          <w:p w14:paraId="5C2E52FB">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___月___日—___月___日</w:t>
            </w:r>
          </w:p>
        </w:tc>
        <w:tc>
          <w:tcPr>
            <w:tcW w:w="2076" w:type="dxa"/>
            <w:vAlign w:val="top"/>
          </w:tcPr>
          <w:p w14:paraId="7676957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076" w:type="dxa"/>
            <w:vAlign w:val="top"/>
          </w:tcPr>
          <w:p w14:paraId="14051E4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01CCAB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vAlign w:val="top"/>
          </w:tcPr>
          <w:p w14:paraId="31933785">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w:t>
            </w:r>
          </w:p>
        </w:tc>
        <w:tc>
          <w:tcPr>
            <w:tcW w:w="2076" w:type="dxa"/>
            <w:vAlign w:val="top"/>
          </w:tcPr>
          <w:p w14:paraId="12FE7FEB">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___月___日—___月___日</w:t>
            </w:r>
          </w:p>
        </w:tc>
        <w:tc>
          <w:tcPr>
            <w:tcW w:w="2076" w:type="dxa"/>
            <w:vAlign w:val="top"/>
          </w:tcPr>
          <w:p w14:paraId="4D0D493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076" w:type="dxa"/>
            <w:vAlign w:val="top"/>
          </w:tcPr>
          <w:p w14:paraId="1C2A653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04369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vAlign w:val="top"/>
          </w:tcPr>
          <w:p w14:paraId="05D1A834">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4</w:t>
            </w:r>
          </w:p>
        </w:tc>
        <w:tc>
          <w:tcPr>
            <w:tcW w:w="2076" w:type="dxa"/>
            <w:vAlign w:val="top"/>
          </w:tcPr>
          <w:p w14:paraId="54BAFAB2">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___月___日—___月___日</w:t>
            </w:r>
          </w:p>
        </w:tc>
        <w:tc>
          <w:tcPr>
            <w:tcW w:w="2076" w:type="dxa"/>
            <w:vAlign w:val="top"/>
          </w:tcPr>
          <w:p w14:paraId="4647645E">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质保期</w:t>
            </w:r>
          </w:p>
        </w:tc>
        <w:tc>
          <w:tcPr>
            <w:tcW w:w="2076" w:type="dxa"/>
            <w:vAlign w:val="top"/>
          </w:tcPr>
          <w:p w14:paraId="4EB475E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5CA58DD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2FFE9753">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78EE141">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0BC2639">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66A4173">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D6414C6">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111" w:name="_Toc11641"/>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格式二十：各类证明材料</w:t>
      </w:r>
      <w:bookmarkEnd w:id="111"/>
    </w:p>
    <w:p w14:paraId="680D6569">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4CFF80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344E6E7B">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各类证明材料</w:t>
      </w:r>
    </w:p>
    <w:p w14:paraId="690C057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1.招标文件要求提供的其他资料。</w:t>
      </w:r>
    </w:p>
    <w:p w14:paraId="4C000BA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2.投标人认为需提供的其他资料。</w:t>
      </w:r>
    </w:p>
    <w:p w14:paraId="03BC0F9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7DB9EAF3">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ABFAC86">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7A6C88A">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E569B07">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0BFB19F">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112" w:name="_Toc13480"/>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格式二十一：采购代理服务费支付承诺书</w:t>
      </w:r>
      <w:bookmarkEnd w:id="112"/>
    </w:p>
    <w:p w14:paraId="318DA6DC">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8798B7D">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采购代理服务费支付承诺书</w:t>
      </w:r>
    </w:p>
    <w:p w14:paraId="467F7B6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致：</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p>
    <w:p w14:paraId="66C8C5A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如果我方在贵采购代理机构组织的</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阳江市阳东区华南师范大学附属阳东小学食堂大宗食材配送服务采购项目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招标中获中标（采购项目编号：</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YXCG-20260527</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），我方保证在收取《中标通知书》</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，按招标文件对代理服务费支付方式的约定，承担本项目代理服务费。</w:t>
      </w:r>
    </w:p>
    <w:p w14:paraId="3528372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我方如违约，</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愿</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承担</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贵单位</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为维护权益向</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我</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方追偿的一切费用（包括但不限于律师费、诉讼费、保全费、交通费、差旅费、鉴定费等）均由违约方承担。</w:t>
      </w:r>
    </w:p>
    <w:p w14:paraId="1480248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以下联系地址可作为送达催款函、对账单、法院送达诉讼文书的地址。因联系地址有误或未及时告知变更后的地址，导致相关文书及诉讼文书未能实际被接收或邮寄送达的，相关文书及诉讼文书退回之日即视为送达之日。</w:t>
      </w:r>
    </w:p>
    <w:p w14:paraId="5CEE59F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特此承诺！</w:t>
      </w:r>
    </w:p>
    <w:p w14:paraId="49C500A4">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投标人法定名称（公章）；_____________________</w:t>
      </w:r>
    </w:p>
    <w:p w14:paraId="36D19643">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投标人法定地址：_____________________</w:t>
      </w:r>
    </w:p>
    <w:p w14:paraId="2CA0898A">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投标人授权代表（签字或盖章）：_____________________</w:t>
      </w:r>
    </w:p>
    <w:p w14:paraId="671934E8">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 话：_____________________</w:t>
      </w:r>
    </w:p>
    <w:p w14:paraId="7462B3D9">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传 真：_____________________</w:t>
      </w:r>
    </w:p>
    <w:p w14:paraId="050E88E6">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承诺日期：_____________________</w:t>
      </w:r>
    </w:p>
    <w:p w14:paraId="44E8E64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255A70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00B32F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BE2235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7B13B9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CDCD4F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A53832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ADC448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FAE2DA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BF6B25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613650BA">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113" w:name="_Toc22522"/>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格式二十二：需要采购人提供的附加条件</w:t>
      </w:r>
      <w:bookmarkEnd w:id="113"/>
    </w:p>
    <w:p w14:paraId="7E0B9B4C">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D892B8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6A0EBEFD">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需要采购人提供的附加条件</w:t>
      </w:r>
    </w:p>
    <w:tbl>
      <w:tblPr>
        <w:tblStyle w:val="15"/>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35"/>
        <w:gridCol w:w="4536"/>
      </w:tblGrid>
      <w:tr w14:paraId="0F2DBB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top"/>
          </w:tcPr>
          <w:p w14:paraId="2FFE4CB6">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4153" w:type="dxa"/>
            <w:vAlign w:val="top"/>
          </w:tcPr>
          <w:p w14:paraId="5E5AECF9">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投标人需要采购人提供的附加条件</w:t>
            </w:r>
          </w:p>
        </w:tc>
      </w:tr>
      <w:tr w14:paraId="6EB126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top"/>
          </w:tcPr>
          <w:p w14:paraId="01DA34F7">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p>
        </w:tc>
        <w:tc>
          <w:tcPr>
            <w:tcW w:w="4153" w:type="dxa"/>
            <w:vAlign w:val="top"/>
          </w:tcPr>
          <w:p w14:paraId="0356A76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29470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top"/>
          </w:tcPr>
          <w:p w14:paraId="64BF4F3B">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p>
        </w:tc>
        <w:tc>
          <w:tcPr>
            <w:tcW w:w="4153" w:type="dxa"/>
            <w:vAlign w:val="top"/>
          </w:tcPr>
          <w:p w14:paraId="2278FB6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39B44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top"/>
          </w:tcPr>
          <w:p w14:paraId="62B19BF0">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w:t>
            </w:r>
          </w:p>
        </w:tc>
        <w:tc>
          <w:tcPr>
            <w:tcW w:w="4153" w:type="dxa"/>
            <w:vAlign w:val="top"/>
          </w:tcPr>
          <w:p w14:paraId="10BC875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342F17F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注：投标人完成本项目需要采购人配合或提供的条件必须在上表列出，否则将视为投标人同意按现有条件完成本项目。如上表所列附加条件含有采购人不能接受的，将被视为投标无效。</w:t>
      </w:r>
    </w:p>
    <w:p w14:paraId="39BCE1E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6FF8D32E">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81F5560">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116194A">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C096DBC">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1169F5D">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0293A54">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64FC11">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4B66767">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8758A2F">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4EC1371">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69B8BB6">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47274EB">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405721E">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57F5ABC">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FD340F2">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88E2C47">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BAF0D30">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233F911">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E4A53D3">
      <w:pP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br w:type="page"/>
      </w:r>
    </w:p>
    <w:p w14:paraId="4B8A73A9">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114" w:name="_Toc29970"/>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格式二十三：询问函、质疑函、投诉书格式</w:t>
      </w:r>
      <w:bookmarkEnd w:id="114"/>
    </w:p>
    <w:p w14:paraId="433BE800">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45FB1D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10643D9B">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询问函、质疑函、投诉书格式</w:t>
      </w:r>
    </w:p>
    <w:p w14:paraId="6E4A486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说明：本部分格式为投标人提交询问函、质疑函、投诉函时使用，不属于投标文件格式的组成部分。</w:t>
      </w:r>
    </w:p>
    <w:p w14:paraId="2B2C3D16">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询问函</w:t>
      </w:r>
    </w:p>
    <w:p w14:paraId="0DCE3861">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p>
    <w:p w14:paraId="3E34DEB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我单位已登记并准备参与“</w:t>
      </w:r>
      <w:r>
        <w:rPr>
          <w:rFonts w:hint="eastAsia" w:asciiTheme="minorEastAsia" w:hAnsi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”项目（采购项目编号：</w:t>
      </w:r>
      <w:r>
        <w:rPr>
          <w:rFonts w:hint="eastAsia" w:asciiTheme="minorEastAsia" w:hAnsi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）的投标活动，现有以下几个内容（或条款）存在疑问（或无法理解），特提出询问。</w:t>
      </w:r>
    </w:p>
    <w:p w14:paraId="089A892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一、_____________________（事项一）</w:t>
      </w:r>
    </w:p>
    <w:p w14:paraId="3435C8E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（1）____________________（问题或条款内容）</w:t>
      </w:r>
    </w:p>
    <w:p w14:paraId="37D6828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（2）____________________（说明疑问或无法理解原因）</w:t>
      </w:r>
    </w:p>
    <w:p w14:paraId="2F159E5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（3）____________________（建议）</w:t>
      </w:r>
    </w:p>
    <w:p w14:paraId="0668558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二、_____________________（事项二）</w:t>
      </w:r>
    </w:p>
    <w:p w14:paraId="10722D9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56BFAB9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随附相关证明材料如下：（目录）</w:t>
      </w:r>
    </w:p>
    <w:p w14:paraId="074D9459">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询问人（公章）：_____________________</w:t>
      </w:r>
    </w:p>
    <w:p w14:paraId="6186A9A2">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法定代表人或授权代表（签字或盖章）：_____________________</w:t>
      </w:r>
    </w:p>
    <w:p w14:paraId="3A0321E7">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地址/邮编：_____________________</w:t>
      </w:r>
    </w:p>
    <w:p w14:paraId="2DBAC336">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电话/传真：_____________________</w:t>
      </w:r>
    </w:p>
    <w:p w14:paraId="777FB67E">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044E94D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641F9BA1">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0E3BAC3">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0DA2A8D">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A549E8F">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164F8B5">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6D6C8EA">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643B9BE">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754B8C7C">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质疑函</w:t>
      </w:r>
    </w:p>
    <w:p w14:paraId="7E5B99F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一、质疑供应商基本信息</w:t>
      </w:r>
    </w:p>
    <w:p w14:paraId="0A671E7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质疑供应商：</w:t>
      </w:r>
    </w:p>
    <w:p w14:paraId="7469D32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地址：_____________________邮编：_____________________</w:t>
      </w:r>
    </w:p>
    <w:p w14:paraId="4CFC337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联系：_____________________联系电话：_____________________</w:t>
      </w:r>
    </w:p>
    <w:p w14:paraId="041073C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授权代表：_____________________</w:t>
      </w:r>
    </w:p>
    <w:p w14:paraId="1A1BCCB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联系电话：_____________________</w:t>
      </w:r>
    </w:p>
    <w:p w14:paraId="5940BAA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地址：_____________________邮编：_____________________</w:t>
      </w:r>
    </w:p>
    <w:p w14:paraId="6515654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二、质疑项目基本情况</w:t>
      </w:r>
    </w:p>
    <w:p w14:paraId="57E227F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质疑项目的名称：_____________________</w:t>
      </w:r>
    </w:p>
    <w:p w14:paraId="4E94A4F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质疑项目的编号：_____________________ 包号：_____________________</w:t>
      </w:r>
    </w:p>
    <w:p w14:paraId="180BF71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采购人名称：_____________________</w:t>
      </w:r>
    </w:p>
    <w:p w14:paraId="548A5F3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采购文件获取日期：_____________________</w:t>
      </w:r>
    </w:p>
    <w:p w14:paraId="0B7BC2B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三、质疑事项具体内容</w:t>
      </w:r>
    </w:p>
    <w:p w14:paraId="47B7DC8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质疑事项1：_____________________</w:t>
      </w:r>
    </w:p>
    <w:p w14:paraId="5F8F559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事实依据：_____________________</w:t>
      </w:r>
    </w:p>
    <w:p w14:paraId="4E3EA1F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法律依据：_____________________</w:t>
      </w:r>
    </w:p>
    <w:p w14:paraId="1730463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质疑事项2：_____________________</w:t>
      </w:r>
    </w:p>
    <w:p w14:paraId="34382F3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5F79725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四、与质疑事项相关的质疑请求</w:t>
      </w:r>
    </w:p>
    <w:p w14:paraId="6AA6DFA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请求：__________________________________________</w:t>
      </w:r>
    </w:p>
    <w:p w14:paraId="40E11EB5">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签字(签章)：_____________________ 公章：_____________________</w:t>
      </w:r>
    </w:p>
    <w:p w14:paraId="1B482472">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10B51D8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质疑函制作说明：</w:t>
      </w:r>
    </w:p>
    <w:p w14:paraId="575A628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1.供应商提出质疑时，应提交质疑函和必要的证明材料。</w:t>
      </w:r>
    </w:p>
    <w:p w14:paraId="432D437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6A66F9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3.质疑供应商若对项目的某一分包进行质疑，质疑函中应列明具体采购包号。</w:t>
      </w:r>
    </w:p>
    <w:p w14:paraId="14C4A32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4.质疑函的质疑事项应具体、明确，并有必要的事实依据和法律依据。</w:t>
      </w:r>
    </w:p>
    <w:p w14:paraId="07EF5A8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5.质疑函的质疑请求应与质疑事项相关。</w:t>
      </w:r>
    </w:p>
    <w:p w14:paraId="2738688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0AF9B3B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1931245F">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8DCC14C">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7C8AF0A">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49E5149">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925723A">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43A9294">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69EA163">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356E5E">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EBAE932">
      <w:pP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br w:type="page"/>
      </w:r>
    </w:p>
    <w:p w14:paraId="2278F227">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115" w:name="_Toc13201"/>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格式二十四：项目实施方案、质量保证及售后服务承诺等内容和格式自拟</w:t>
      </w:r>
      <w:bookmarkEnd w:id="115"/>
    </w:p>
    <w:p w14:paraId="0E4751E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488286C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项目实施方案、质量保证及售后服务承诺等内容和格式自拟。</w:t>
      </w:r>
    </w:p>
    <w:p w14:paraId="2D201C3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6CD069BC">
      <w:pPr>
        <w:pStyle w:val="18"/>
        <w:rPr>
          <w:rFonts w:hint="eastAsia"/>
          <w:color w:val="000000" w:themeColor="text1"/>
          <w:highlight w:val="none"/>
          <w:lang w:val="en-US" w:eastAsia="zh-Hans"/>
          <w14:textFill>
            <w14:solidFill>
              <w14:schemeClr w14:val="tx1"/>
            </w14:solidFill>
          </w14:textFill>
        </w:rPr>
      </w:pPr>
    </w:p>
    <w:p w14:paraId="708D0FA9">
      <w:pPr>
        <w:pStyle w:val="18"/>
        <w:rPr>
          <w:rFonts w:hint="eastAsia"/>
          <w:color w:val="000000" w:themeColor="text1"/>
          <w:highlight w:val="none"/>
          <w:lang w:val="en-US" w:eastAsia="zh-Hans"/>
          <w14:textFill>
            <w14:solidFill>
              <w14:schemeClr w14:val="tx1"/>
            </w14:solidFill>
          </w14:textFill>
        </w:rPr>
      </w:pPr>
    </w:p>
    <w:p w14:paraId="334AC9EE">
      <w:pPr>
        <w:pStyle w:val="18"/>
        <w:rPr>
          <w:rFonts w:hint="eastAsia"/>
          <w:color w:val="000000" w:themeColor="text1"/>
          <w:highlight w:val="none"/>
          <w:lang w:val="en-US" w:eastAsia="zh-Hans"/>
          <w14:textFill>
            <w14:solidFill>
              <w14:schemeClr w14:val="tx1"/>
            </w14:solidFill>
          </w14:textFill>
        </w:rPr>
      </w:pPr>
    </w:p>
    <w:p w14:paraId="1CE47668">
      <w:pPr>
        <w:pStyle w:val="18"/>
        <w:rPr>
          <w:rFonts w:hint="eastAsia"/>
          <w:color w:val="000000" w:themeColor="text1"/>
          <w:highlight w:val="none"/>
          <w:lang w:val="en-US" w:eastAsia="zh-Hans"/>
          <w14:textFill>
            <w14:solidFill>
              <w14:schemeClr w14:val="tx1"/>
            </w14:solidFill>
          </w14:textFill>
        </w:rPr>
      </w:pPr>
    </w:p>
    <w:p w14:paraId="1BC77DC0">
      <w:pPr>
        <w:pStyle w:val="18"/>
        <w:rPr>
          <w:rFonts w:hint="eastAsia"/>
          <w:color w:val="000000" w:themeColor="text1"/>
          <w:highlight w:val="none"/>
          <w:lang w:val="en-US" w:eastAsia="zh-Hans"/>
          <w14:textFill>
            <w14:solidFill>
              <w14:schemeClr w14:val="tx1"/>
            </w14:solidFill>
          </w14:textFill>
        </w:rPr>
      </w:pPr>
    </w:p>
    <w:p w14:paraId="0DD684D0">
      <w:pPr>
        <w:pStyle w:val="18"/>
        <w:rPr>
          <w:rFonts w:hint="eastAsia"/>
          <w:color w:val="000000" w:themeColor="text1"/>
          <w:highlight w:val="none"/>
          <w:lang w:val="en-US" w:eastAsia="zh-Hans"/>
          <w14:textFill>
            <w14:solidFill>
              <w14:schemeClr w14:val="tx1"/>
            </w14:solidFill>
          </w14:textFill>
        </w:rPr>
      </w:pPr>
    </w:p>
    <w:p w14:paraId="23118824">
      <w:pPr>
        <w:pStyle w:val="18"/>
        <w:rPr>
          <w:rFonts w:hint="eastAsia"/>
          <w:color w:val="000000" w:themeColor="text1"/>
          <w:highlight w:val="none"/>
          <w:lang w:val="en-US" w:eastAsia="zh-Hans"/>
          <w14:textFill>
            <w14:solidFill>
              <w14:schemeClr w14:val="tx1"/>
            </w14:solidFill>
          </w14:textFill>
        </w:rPr>
      </w:pPr>
    </w:p>
    <w:p w14:paraId="39A3EB57">
      <w:pPr>
        <w:pStyle w:val="18"/>
        <w:rPr>
          <w:rFonts w:hint="eastAsia"/>
          <w:color w:val="000000" w:themeColor="text1"/>
          <w:highlight w:val="none"/>
          <w:lang w:val="en-US" w:eastAsia="zh-Hans"/>
          <w14:textFill>
            <w14:solidFill>
              <w14:schemeClr w14:val="tx1"/>
            </w14:solidFill>
          </w14:textFill>
        </w:rPr>
      </w:pPr>
    </w:p>
    <w:p w14:paraId="3A82B74E">
      <w:pPr>
        <w:pStyle w:val="18"/>
        <w:rPr>
          <w:rFonts w:hint="eastAsia"/>
          <w:color w:val="000000" w:themeColor="text1"/>
          <w:highlight w:val="none"/>
          <w:lang w:val="en-US" w:eastAsia="zh-Hans"/>
          <w14:textFill>
            <w14:solidFill>
              <w14:schemeClr w14:val="tx1"/>
            </w14:solidFill>
          </w14:textFill>
        </w:rPr>
      </w:pPr>
    </w:p>
    <w:p w14:paraId="5D04EF79">
      <w:pPr>
        <w:pStyle w:val="18"/>
        <w:rPr>
          <w:rFonts w:hint="eastAsia"/>
          <w:color w:val="000000" w:themeColor="text1"/>
          <w:highlight w:val="none"/>
          <w:lang w:val="en-US" w:eastAsia="zh-Hans"/>
          <w14:textFill>
            <w14:solidFill>
              <w14:schemeClr w14:val="tx1"/>
            </w14:solidFill>
          </w14:textFill>
        </w:rPr>
      </w:pPr>
    </w:p>
    <w:p w14:paraId="740D9E95">
      <w:pPr>
        <w:pStyle w:val="18"/>
        <w:rPr>
          <w:rFonts w:hint="eastAsia"/>
          <w:color w:val="000000" w:themeColor="text1"/>
          <w:highlight w:val="none"/>
          <w:lang w:val="en-US" w:eastAsia="zh-Hans"/>
          <w14:textFill>
            <w14:solidFill>
              <w14:schemeClr w14:val="tx1"/>
            </w14:solidFill>
          </w14:textFill>
        </w:rPr>
      </w:pPr>
    </w:p>
    <w:p w14:paraId="6F2EADD6">
      <w:pPr>
        <w:pStyle w:val="18"/>
        <w:rPr>
          <w:rFonts w:hint="eastAsia"/>
          <w:color w:val="000000" w:themeColor="text1"/>
          <w:highlight w:val="none"/>
          <w:lang w:val="en-US" w:eastAsia="zh-Hans"/>
          <w14:textFill>
            <w14:solidFill>
              <w14:schemeClr w14:val="tx1"/>
            </w14:solidFill>
          </w14:textFill>
        </w:rPr>
      </w:pPr>
    </w:p>
    <w:p w14:paraId="237296C9">
      <w:pPr>
        <w:pStyle w:val="18"/>
        <w:rPr>
          <w:rFonts w:hint="eastAsia"/>
          <w:color w:val="000000" w:themeColor="text1"/>
          <w:highlight w:val="none"/>
          <w:lang w:val="en-US" w:eastAsia="zh-Hans"/>
          <w14:textFill>
            <w14:solidFill>
              <w14:schemeClr w14:val="tx1"/>
            </w14:solidFill>
          </w14:textFill>
        </w:rPr>
      </w:pPr>
    </w:p>
    <w:p w14:paraId="6F7079CA">
      <w:pPr>
        <w:pStyle w:val="18"/>
        <w:rPr>
          <w:rFonts w:hint="eastAsia"/>
          <w:color w:val="000000" w:themeColor="text1"/>
          <w:highlight w:val="none"/>
          <w:lang w:val="en-US" w:eastAsia="zh-Hans"/>
          <w14:textFill>
            <w14:solidFill>
              <w14:schemeClr w14:val="tx1"/>
            </w14:solidFill>
          </w14:textFill>
        </w:rPr>
      </w:pPr>
    </w:p>
    <w:p w14:paraId="25E036EE">
      <w:pPr>
        <w:pStyle w:val="18"/>
        <w:rPr>
          <w:rFonts w:hint="eastAsia"/>
          <w:color w:val="000000" w:themeColor="text1"/>
          <w:highlight w:val="none"/>
          <w:lang w:val="en-US" w:eastAsia="zh-Hans"/>
          <w14:textFill>
            <w14:solidFill>
              <w14:schemeClr w14:val="tx1"/>
            </w14:solidFill>
          </w14:textFill>
        </w:rPr>
      </w:pPr>
    </w:p>
    <w:p w14:paraId="1AE79E39">
      <w:pPr>
        <w:pStyle w:val="18"/>
        <w:rPr>
          <w:rFonts w:hint="eastAsia"/>
          <w:color w:val="000000" w:themeColor="text1"/>
          <w:highlight w:val="none"/>
          <w:lang w:val="en-US" w:eastAsia="zh-Hans"/>
          <w14:textFill>
            <w14:solidFill>
              <w14:schemeClr w14:val="tx1"/>
            </w14:solidFill>
          </w14:textFill>
        </w:rPr>
      </w:pPr>
    </w:p>
    <w:p w14:paraId="2D455EC8">
      <w:pPr>
        <w:pStyle w:val="18"/>
        <w:rPr>
          <w:rFonts w:hint="eastAsia"/>
          <w:color w:val="000000" w:themeColor="text1"/>
          <w:highlight w:val="none"/>
          <w:lang w:val="en-US" w:eastAsia="zh-Hans"/>
          <w14:textFill>
            <w14:solidFill>
              <w14:schemeClr w14:val="tx1"/>
            </w14:solidFill>
          </w14:textFill>
        </w:rPr>
      </w:pPr>
    </w:p>
    <w:p w14:paraId="4ADD1D89">
      <w:pPr>
        <w:pStyle w:val="18"/>
        <w:rPr>
          <w:rFonts w:hint="eastAsia"/>
          <w:color w:val="000000" w:themeColor="text1"/>
          <w:highlight w:val="none"/>
          <w:lang w:val="en-US" w:eastAsia="zh-Hans"/>
          <w14:textFill>
            <w14:solidFill>
              <w14:schemeClr w14:val="tx1"/>
            </w14:solidFill>
          </w14:textFill>
        </w:rPr>
      </w:pPr>
    </w:p>
    <w:p w14:paraId="4EFF1FE8">
      <w:pPr>
        <w:pStyle w:val="18"/>
        <w:rPr>
          <w:rFonts w:hint="eastAsia"/>
          <w:color w:val="000000" w:themeColor="text1"/>
          <w:highlight w:val="none"/>
          <w:lang w:val="en-US" w:eastAsia="zh-Hans"/>
          <w14:textFill>
            <w14:solidFill>
              <w14:schemeClr w14:val="tx1"/>
            </w14:solidFill>
          </w14:textFill>
        </w:rPr>
      </w:pPr>
    </w:p>
    <w:p w14:paraId="6ED66D9A">
      <w:pPr>
        <w:rPr>
          <w:rFonts w:hint="eastAsia"/>
          <w:color w:val="000000" w:themeColor="text1"/>
          <w:sz w:val="32"/>
          <w:szCs w:val="20"/>
          <w:highlight w:val="none"/>
          <w14:textFill>
            <w14:solidFill>
              <w14:schemeClr w14:val="tx1"/>
            </w14:solidFill>
          </w14:textFill>
        </w:rPr>
      </w:pPr>
      <w:r>
        <w:rPr>
          <w:rFonts w:hint="eastAsia"/>
          <w:color w:val="000000" w:themeColor="text1"/>
          <w:sz w:val="32"/>
          <w:szCs w:val="20"/>
          <w:highlight w:val="none"/>
          <w14:textFill>
            <w14:solidFill>
              <w14:schemeClr w14:val="tx1"/>
            </w14:solidFill>
          </w14:textFill>
        </w:rPr>
        <w:br w:type="page"/>
      </w:r>
    </w:p>
    <w:p w14:paraId="74F96EEC">
      <w:pPr>
        <w:keepNext w:val="0"/>
        <w:keepLines w:val="0"/>
        <w:pageBreakBefore w:val="0"/>
        <w:widowControl w:val="0"/>
        <w:kinsoku/>
        <w:wordWrap/>
        <w:overflowPunct/>
        <w:topLinePunct w:val="0"/>
        <w:autoSpaceDE/>
        <w:autoSpaceDN/>
        <w:bidi w:val="0"/>
        <w:adjustRightInd/>
        <w:snapToGrid/>
        <w:textAlignment w:val="auto"/>
        <w:outlineLvl w:val="0"/>
        <w:rPr>
          <w:rFonts w:hint="eastAsia"/>
          <w:b/>
          <w:bCs/>
          <w:color w:val="000000" w:themeColor="text1"/>
          <w:sz w:val="28"/>
          <w:szCs w:val="28"/>
          <w:highlight w:val="none"/>
          <w14:textFill>
            <w14:solidFill>
              <w14:schemeClr w14:val="tx1"/>
            </w14:solidFill>
          </w14:textFill>
        </w:rPr>
      </w:pPr>
      <w:bookmarkStart w:id="116" w:name="_Toc30194"/>
      <w:r>
        <w:rPr>
          <w:rFonts w:hint="eastAsia"/>
          <w:b/>
          <w:bCs/>
          <w:color w:val="000000" w:themeColor="text1"/>
          <w:sz w:val="28"/>
          <w:szCs w:val="28"/>
          <w:highlight w:val="none"/>
          <w14:textFill>
            <w14:solidFill>
              <w14:schemeClr w14:val="tx1"/>
            </w14:solidFill>
          </w14:textFill>
        </w:rPr>
        <w:t>附件</w:t>
      </w:r>
      <w:bookmarkEnd w:id="116"/>
    </w:p>
    <w:p w14:paraId="29047022">
      <w:pPr>
        <w:keepNext w:val="0"/>
        <w:keepLines w:val="0"/>
        <w:pageBreakBefore w:val="0"/>
        <w:widowControl w:val="0"/>
        <w:kinsoku/>
        <w:wordWrap/>
        <w:overflowPunct/>
        <w:topLinePunct w:val="0"/>
        <w:autoSpaceDE/>
        <w:autoSpaceDN/>
        <w:bidi w:val="0"/>
        <w:adjustRightInd/>
        <w:snapToGrid/>
        <w:jc w:val="center"/>
        <w:textAlignment w:val="auto"/>
        <w:outlineLvl w:val="1"/>
        <w:rPr>
          <w:rFonts w:ascii="宋体" w:hAnsi="宋体" w:cs="宋体"/>
          <w:b/>
          <w:bCs/>
          <w:color w:val="000000" w:themeColor="text1"/>
          <w:kern w:val="0"/>
          <w:sz w:val="32"/>
          <w:szCs w:val="32"/>
          <w:highlight w:val="none"/>
          <w14:textFill>
            <w14:solidFill>
              <w14:schemeClr w14:val="tx1"/>
            </w14:solidFill>
          </w14:textFill>
        </w:rPr>
      </w:pPr>
      <w:bookmarkStart w:id="117" w:name="_Toc14244"/>
      <w:r>
        <w:rPr>
          <w:rFonts w:hint="eastAsia" w:ascii="宋体" w:hAnsi="宋体" w:cs="宋体"/>
          <w:b/>
          <w:bCs/>
          <w:color w:val="000000" w:themeColor="text1"/>
          <w:kern w:val="0"/>
          <w:sz w:val="32"/>
          <w:szCs w:val="32"/>
          <w:highlight w:val="none"/>
          <w14:textFill>
            <w14:solidFill>
              <w14:schemeClr w14:val="tx1"/>
            </w14:solidFill>
          </w14:textFill>
        </w:rPr>
        <w:t>阳江市政府采购供应商资格信用承诺函</w:t>
      </w:r>
      <w:bookmarkEnd w:id="117"/>
    </w:p>
    <w:p w14:paraId="7B77D1B2">
      <w:pPr>
        <w:jc w:val="center"/>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(样本)</w:t>
      </w:r>
    </w:p>
    <w:p w14:paraId="6B00B6A2">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31979689">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1.具有良好的商业信誉和健全的财务会计制度;</w:t>
      </w:r>
    </w:p>
    <w:p w14:paraId="6CFD6170">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2.具有履行合同所必需的设备和专业技术能力;</w:t>
      </w:r>
    </w:p>
    <w:p w14:paraId="6A97A64D">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3.具有依法缴纳税收和社会保障资金的良好记录;</w:t>
      </w:r>
    </w:p>
    <w:p w14:paraId="4CB32EE3">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4.参加政府采购活动前三年内，在经营活动中没有重大违法记录。</w:t>
      </w:r>
    </w:p>
    <w:p w14:paraId="5E364361">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405ED2E8">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特此承诺。</w:t>
      </w:r>
    </w:p>
    <w:p w14:paraId="75E8CE58">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供应商名称(公章):</w:t>
      </w:r>
    </w:p>
    <w:p w14:paraId="3E913E2E">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统一社会信用代码:</w:t>
      </w:r>
    </w:p>
    <w:p w14:paraId="08FEBD3C">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法定代表人或授权代表(签名):</w:t>
      </w:r>
    </w:p>
    <w:p w14:paraId="25536BC7">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日期:   年  月  日</w:t>
      </w:r>
    </w:p>
    <w:p w14:paraId="622F7ECE">
      <w:pPr>
        <w:keepNext w:val="0"/>
        <w:keepLines w:val="0"/>
        <w:pageBreakBefore w:val="0"/>
        <w:widowControl w:val="0"/>
        <w:kinsoku/>
        <w:wordWrap/>
        <w:overflowPunct/>
        <w:topLinePunct w:val="0"/>
        <w:autoSpaceDE/>
        <w:autoSpaceDN/>
        <w:bidi w:val="0"/>
        <w:adjustRightInd/>
        <w:snapToGrid/>
        <w:spacing w:line="600" w:lineRule="exact"/>
        <w:ind w:right="-168" w:rightChars="-8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注:供应商的法定代表人(其他组织的为负责人)或者授权代表的签名或盖章应真实、有效，如由授权代表签名或盖章的，应提供“法定代表人授权书”</w:t>
      </w:r>
    </w:p>
    <w:p w14:paraId="04C2C2D7">
      <w:pPr>
        <w:rPr>
          <w:rFonts w:ascii="宋体" w:hAnsi="宋体"/>
          <w:color w:val="000000" w:themeColor="text1"/>
          <w:highlight w:val="none"/>
          <w14:textFill>
            <w14:solidFill>
              <w14:schemeClr w14:val="tx1"/>
            </w14:solidFill>
          </w14:textFill>
        </w:rPr>
      </w:pPr>
    </w:p>
    <w:p w14:paraId="0EF0C47A">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b/>
          <w:bCs/>
          <w:color w:val="000000" w:themeColor="text1"/>
          <w:sz w:val="44"/>
          <w:szCs w:val="44"/>
          <w:highlight w:val="none"/>
          <w14:textFill>
            <w14:solidFill>
              <w14:schemeClr w14:val="tx1"/>
            </w14:solidFill>
          </w14:textFill>
        </w:rPr>
      </w:pPr>
      <w:bookmarkStart w:id="118" w:name="_Toc4283"/>
      <w:bookmarkStart w:id="119" w:name="_Hlk534184791"/>
      <w:r>
        <w:rPr>
          <w:rFonts w:hint="eastAsia"/>
          <w:b/>
          <w:bCs/>
          <w:color w:val="000000" w:themeColor="text1"/>
          <w:sz w:val="44"/>
          <w:szCs w:val="44"/>
          <w:highlight w:val="none"/>
          <w14:textFill>
            <w14:solidFill>
              <w14:schemeClr w14:val="tx1"/>
            </w14:solidFill>
          </w14:textFill>
        </w:rPr>
        <w:t>购买标书登记表</w:t>
      </w:r>
      <w:bookmarkEnd w:id="118"/>
    </w:p>
    <w:p w14:paraId="359A8C7E">
      <w:pPr>
        <w:jc w:val="center"/>
        <w:rPr>
          <w:rFonts w:hint="eastAsia"/>
          <w:b/>
          <w:bCs/>
          <w:color w:val="000000" w:themeColor="text1"/>
          <w:sz w:val="44"/>
          <w:szCs w:val="44"/>
          <w:highlight w:val="none"/>
          <w14:textFill>
            <w14:solidFill>
              <w14:schemeClr w14:val="tx1"/>
            </w14:solidFill>
          </w14:textFill>
        </w:rPr>
      </w:pPr>
    </w:p>
    <w:p w14:paraId="3C975B75">
      <w:pPr>
        <w:jc w:val="center"/>
        <w:rPr>
          <w:color w:val="000000" w:themeColor="text1"/>
          <w:szCs w:val="21"/>
          <w:highlight w:val="none"/>
          <w14:textFill>
            <w14:solidFill>
              <w14:schemeClr w14:val="tx1"/>
            </w14:solidFill>
          </w14:textFill>
        </w:rPr>
      </w:pPr>
    </w:p>
    <w:tbl>
      <w:tblPr>
        <w:tblStyle w:val="15"/>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27C40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19F222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tcPr>
          <w:p w14:paraId="5FE17FD7">
            <w:pPr>
              <w:rPr>
                <w:color w:val="000000" w:themeColor="text1"/>
                <w:sz w:val="28"/>
                <w:szCs w:val="28"/>
                <w:highlight w:val="none"/>
                <w14:textFill>
                  <w14:solidFill>
                    <w14:schemeClr w14:val="tx1"/>
                  </w14:solidFill>
                </w14:textFill>
              </w:rPr>
            </w:pPr>
          </w:p>
        </w:tc>
      </w:tr>
      <w:tr w14:paraId="2ABAB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5A26CF8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项目编号</w:t>
            </w:r>
          </w:p>
        </w:tc>
        <w:tc>
          <w:tcPr>
            <w:tcW w:w="1940" w:type="dxa"/>
            <w:noWrap/>
          </w:tcPr>
          <w:p w14:paraId="2971D77F">
            <w:pPr>
              <w:rPr>
                <w:color w:val="000000" w:themeColor="text1"/>
                <w:sz w:val="28"/>
                <w:szCs w:val="28"/>
                <w:highlight w:val="none"/>
                <w14:textFill>
                  <w14:solidFill>
                    <w14:schemeClr w14:val="tx1"/>
                  </w14:solidFill>
                </w14:textFill>
              </w:rPr>
            </w:pPr>
          </w:p>
        </w:tc>
        <w:tc>
          <w:tcPr>
            <w:tcW w:w="1940" w:type="dxa"/>
            <w:noWrap/>
            <w:vAlign w:val="center"/>
          </w:tcPr>
          <w:p w14:paraId="2A2B72AB">
            <w:pPr>
              <w:jc w:val="center"/>
              <w:rPr>
                <w:rFonts w:hint="default"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采购包</w:t>
            </w:r>
          </w:p>
        </w:tc>
        <w:tc>
          <w:tcPr>
            <w:tcW w:w="2895" w:type="dxa"/>
            <w:noWrap/>
          </w:tcPr>
          <w:p w14:paraId="0D06D1B3">
            <w:pPr>
              <w:rPr>
                <w:color w:val="000000" w:themeColor="text1"/>
                <w:sz w:val="28"/>
                <w:szCs w:val="28"/>
                <w:highlight w:val="none"/>
                <w14:textFill>
                  <w14:solidFill>
                    <w14:schemeClr w14:val="tx1"/>
                  </w14:solidFill>
                </w14:textFill>
              </w:rPr>
            </w:pPr>
          </w:p>
        </w:tc>
      </w:tr>
      <w:tr w14:paraId="02785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00D55FA1">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6775" w:type="dxa"/>
            <w:gridSpan w:val="3"/>
            <w:noWrap/>
          </w:tcPr>
          <w:p w14:paraId="47C4C458">
            <w:pPr>
              <w:rPr>
                <w:color w:val="000000" w:themeColor="text1"/>
                <w:sz w:val="28"/>
                <w:szCs w:val="28"/>
                <w:highlight w:val="none"/>
                <w14:textFill>
                  <w14:solidFill>
                    <w14:schemeClr w14:val="tx1"/>
                  </w14:solidFill>
                </w14:textFill>
              </w:rPr>
            </w:pPr>
          </w:p>
        </w:tc>
      </w:tr>
      <w:tr w14:paraId="49C9F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1C9168E3">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w:t>
            </w:r>
            <w:r>
              <w:rPr>
                <w:rFonts w:hint="eastAsia"/>
                <w:color w:val="000000" w:themeColor="text1"/>
                <w:sz w:val="28"/>
                <w:szCs w:val="28"/>
                <w:highlight w:val="none"/>
                <w:lang w:val="en-US" w:eastAsia="zh-CN"/>
                <w14:textFill>
                  <w14:solidFill>
                    <w14:schemeClr w14:val="tx1"/>
                  </w14:solidFill>
                </w14:textFill>
              </w:rPr>
              <w:t>人</w:t>
            </w:r>
            <w:r>
              <w:rPr>
                <w:rFonts w:hint="eastAsia"/>
                <w:color w:val="000000" w:themeColor="text1"/>
                <w:sz w:val="28"/>
                <w:szCs w:val="28"/>
                <w:highlight w:val="none"/>
                <w14:textFill>
                  <w14:solidFill>
                    <w14:schemeClr w14:val="tx1"/>
                  </w14:solidFill>
                </w14:textFill>
              </w:rPr>
              <w:t>名称</w:t>
            </w:r>
          </w:p>
          <w:p w14:paraId="771427FC">
            <w:pPr>
              <w:jc w:val="center"/>
              <w:rPr>
                <w:rFonts w:hint="default"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(加盖公章)</w:t>
            </w:r>
          </w:p>
        </w:tc>
        <w:tc>
          <w:tcPr>
            <w:tcW w:w="6775" w:type="dxa"/>
            <w:gridSpan w:val="3"/>
            <w:noWrap/>
          </w:tcPr>
          <w:p w14:paraId="7BF9CC45">
            <w:pPr>
              <w:rPr>
                <w:color w:val="000000" w:themeColor="text1"/>
                <w:sz w:val="28"/>
                <w:szCs w:val="28"/>
                <w:highlight w:val="none"/>
                <w14:textFill>
                  <w14:solidFill>
                    <w14:schemeClr w14:val="tx1"/>
                  </w14:solidFill>
                </w14:textFill>
              </w:rPr>
            </w:pPr>
          </w:p>
        </w:tc>
      </w:tr>
      <w:tr w14:paraId="79D77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355C348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tcPr>
          <w:p w14:paraId="5917F4B9">
            <w:pPr>
              <w:rPr>
                <w:color w:val="000000" w:themeColor="text1"/>
                <w:sz w:val="28"/>
                <w:szCs w:val="28"/>
                <w:highlight w:val="none"/>
                <w14:textFill>
                  <w14:solidFill>
                    <w14:schemeClr w14:val="tx1"/>
                  </w14:solidFill>
                </w14:textFill>
              </w:rPr>
            </w:pPr>
          </w:p>
        </w:tc>
      </w:tr>
      <w:tr w14:paraId="22D1F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0B374AC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tcPr>
          <w:p w14:paraId="5CF72C9C">
            <w:pPr>
              <w:rPr>
                <w:color w:val="000000" w:themeColor="text1"/>
                <w:sz w:val="28"/>
                <w:szCs w:val="28"/>
                <w:highlight w:val="none"/>
                <w14:textFill>
                  <w14:solidFill>
                    <w14:schemeClr w14:val="tx1"/>
                  </w14:solidFill>
                </w14:textFill>
              </w:rPr>
            </w:pPr>
          </w:p>
        </w:tc>
        <w:tc>
          <w:tcPr>
            <w:tcW w:w="1940" w:type="dxa"/>
            <w:noWrap/>
            <w:vAlign w:val="center"/>
          </w:tcPr>
          <w:p w14:paraId="3397B553">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tcPr>
          <w:p w14:paraId="6767A134">
            <w:pPr>
              <w:rPr>
                <w:color w:val="000000" w:themeColor="text1"/>
                <w:sz w:val="28"/>
                <w:szCs w:val="28"/>
                <w:highlight w:val="none"/>
                <w14:textFill>
                  <w14:solidFill>
                    <w14:schemeClr w14:val="tx1"/>
                  </w14:solidFill>
                </w14:textFill>
              </w:rPr>
            </w:pPr>
          </w:p>
        </w:tc>
      </w:tr>
      <w:tr w14:paraId="40480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50B0B41B">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tcPr>
          <w:p w14:paraId="4A227F16">
            <w:pPr>
              <w:rPr>
                <w:color w:val="000000" w:themeColor="text1"/>
                <w:sz w:val="28"/>
                <w:szCs w:val="28"/>
                <w:highlight w:val="none"/>
                <w14:textFill>
                  <w14:solidFill>
                    <w14:schemeClr w14:val="tx1"/>
                  </w14:solidFill>
                </w14:textFill>
              </w:rPr>
            </w:pPr>
          </w:p>
        </w:tc>
        <w:tc>
          <w:tcPr>
            <w:tcW w:w="1940" w:type="dxa"/>
            <w:noWrap/>
            <w:vAlign w:val="center"/>
          </w:tcPr>
          <w:p w14:paraId="5DEF7FED">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tcPr>
          <w:p w14:paraId="2179FACC">
            <w:pPr>
              <w:rPr>
                <w:color w:val="000000" w:themeColor="text1"/>
                <w:sz w:val="28"/>
                <w:szCs w:val="28"/>
                <w:highlight w:val="none"/>
                <w14:textFill>
                  <w14:solidFill>
                    <w14:schemeClr w14:val="tx1"/>
                  </w14:solidFill>
                </w14:textFill>
              </w:rPr>
            </w:pPr>
          </w:p>
        </w:tc>
      </w:tr>
      <w:tr w14:paraId="1C712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2C26389B">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tcPr>
          <w:p w14:paraId="0D5ACAD6">
            <w:pPr>
              <w:rPr>
                <w:color w:val="000000" w:themeColor="text1"/>
                <w:sz w:val="28"/>
                <w:szCs w:val="28"/>
                <w:highlight w:val="none"/>
                <w14:textFill>
                  <w14:solidFill>
                    <w14:schemeClr w14:val="tx1"/>
                  </w14:solidFill>
                </w14:textFill>
              </w:rPr>
            </w:pPr>
          </w:p>
        </w:tc>
        <w:tc>
          <w:tcPr>
            <w:tcW w:w="1940" w:type="dxa"/>
            <w:noWrap/>
            <w:vAlign w:val="center"/>
          </w:tcPr>
          <w:p w14:paraId="400AAAD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tcPr>
          <w:p w14:paraId="08AEF493">
            <w:pPr>
              <w:rPr>
                <w:color w:val="000000" w:themeColor="text1"/>
                <w:sz w:val="28"/>
                <w:szCs w:val="28"/>
                <w:highlight w:val="none"/>
                <w14:textFill>
                  <w14:solidFill>
                    <w14:schemeClr w14:val="tx1"/>
                  </w14:solidFill>
                </w14:textFill>
              </w:rPr>
            </w:pPr>
          </w:p>
        </w:tc>
      </w:tr>
      <w:tr w14:paraId="590B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2" w:hRule="atLeast"/>
        </w:trPr>
        <w:tc>
          <w:tcPr>
            <w:tcW w:w="2585" w:type="dxa"/>
            <w:noWrap/>
            <w:vAlign w:val="center"/>
          </w:tcPr>
          <w:p w14:paraId="2D0222F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tcPr>
          <w:p w14:paraId="5DCB87D1">
            <w:pPr>
              <w:rPr>
                <w:color w:val="000000" w:themeColor="text1"/>
                <w:sz w:val="28"/>
                <w:szCs w:val="28"/>
                <w:highlight w:val="none"/>
                <w14:textFill>
                  <w14:solidFill>
                    <w14:schemeClr w14:val="tx1"/>
                  </w14:solidFill>
                </w14:textFill>
              </w:rPr>
            </w:pPr>
          </w:p>
        </w:tc>
      </w:tr>
      <w:bookmarkEnd w:id="119"/>
    </w:tbl>
    <w:p w14:paraId="0A6D332E">
      <w:pPr>
        <w:spacing w:line="360" w:lineRule="auto"/>
        <w:jc w:val="center"/>
        <w:rPr>
          <w:rFonts w:hint="eastAsia" w:ascii="宋体" w:hAnsi="宋体"/>
          <w:b/>
          <w:color w:val="000000" w:themeColor="text1"/>
          <w:sz w:val="24"/>
          <w:highlight w:val="none"/>
          <w:lang w:val="en-US" w:eastAsia="zh-Hans"/>
          <w14:textFill>
            <w14:solidFill>
              <w14:schemeClr w14:val="tx1"/>
            </w14:solidFill>
          </w14:textFill>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
    <w:altName w:val="宋体"/>
    <w:panose1 w:val="00000000000000000000"/>
    <w:charset w:val="86"/>
    <w:family w:val="roman"/>
    <w:pitch w:val="default"/>
    <w:sig w:usb0="00000000" w:usb1="00000000" w:usb2="00000010" w:usb3="00000000" w:csb0="00040000" w:csb1="00000000"/>
  </w:font>
  <w:font w:name="MingLiU">
    <w:altName w:val="PMingLiU-ExtB"/>
    <w:panose1 w:val="020203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9F89B">
    <w:pPr>
      <w:pStyle w:val="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E2E23">
    <w:pPr>
      <w:pStyle w:val="9"/>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F473A">
    <w:pPr>
      <w:pStyle w:val="10"/>
      <w:jc w:val="center"/>
    </w:pPr>
    <w:r>
      <w:rPr>
        <w:rFonts w:hint="eastAsia" w:eastAsia="宋体"/>
        <w:lang w:eastAsia="zh-CN"/>
      </w:rPr>
      <w:drawing>
        <wp:anchor distT="0" distB="0" distL="114300" distR="114300" simplePos="0" relativeHeight="251659264" behindDoc="0" locked="0" layoutInCell="1" allowOverlap="1">
          <wp:simplePos x="0" y="0"/>
          <wp:positionH relativeFrom="column">
            <wp:posOffset>1308100</wp:posOffset>
          </wp:positionH>
          <wp:positionV relativeFrom="paragraph">
            <wp:posOffset>178435</wp:posOffset>
          </wp:positionV>
          <wp:extent cx="3128010" cy="427355"/>
          <wp:effectExtent l="0" t="0" r="15240" b="10795"/>
          <wp:wrapNone/>
          <wp:docPr id="1" name="图片 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
                  <pic:cNvPicPr>
                    <a:picLocks noChangeAspect="1"/>
                  </pic:cNvPicPr>
                </pic:nvPicPr>
                <pic:blipFill>
                  <a:blip r:embed="rId1"/>
                  <a:srcRect b="32498"/>
                  <a:stretch>
                    <a:fillRect/>
                  </a:stretch>
                </pic:blipFill>
                <pic:spPr>
                  <a:xfrm>
                    <a:off x="0" y="0"/>
                    <a:ext cx="3128010" cy="42735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C"/>
    <w:multiLevelType w:val="singleLevel"/>
    <w:tmpl w:val="0000001C"/>
    <w:lvl w:ilvl="0" w:tentative="0">
      <w:start w:val="1"/>
      <w:numFmt w:val="decimal"/>
      <w:lvlText w:val="%1."/>
      <w:lvlJc w:val="left"/>
      <w:pPr>
        <w:tabs>
          <w:tab w:val="left" w:pos="425"/>
        </w:tabs>
        <w:ind w:left="425" w:hanging="425"/>
      </w:pPr>
      <w:rPr>
        <w:rFonts w:hint="eastAsia"/>
      </w:rPr>
    </w:lvl>
  </w:abstractNum>
  <w:abstractNum w:abstractNumId="1">
    <w:nsid w:val="0000002B"/>
    <w:multiLevelType w:val="multilevel"/>
    <w:tmpl w:val="0000002B"/>
    <w:lvl w:ilvl="0" w:tentative="0">
      <w:start w:val="1"/>
      <w:numFmt w:val="upperRoman"/>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
    <w:nsid w:val="39316B08"/>
    <w:multiLevelType w:val="singleLevel"/>
    <w:tmpl w:val="39316B08"/>
    <w:lvl w:ilvl="0" w:tentative="0">
      <w:start w:val="3"/>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0661709"/>
    <w:rsid w:val="009810B3"/>
    <w:rsid w:val="00AC0CFD"/>
    <w:rsid w:val="02331ABF"/>
    <w:rsid w:val="024261A6"/>
    <w:rsid w:val="025832D3"/>
    <w:rsid w:val="039D04CA"/>
    <w:rsid w:val="042172CF"/>
    <w:rsid w:val="0425335F"/>
    <w:rsid w:val="045F4DED"/>
    <w:rsid w:val="04D05CEB"/>
    <w:rsid w:val="05096B07"/>
    <w:rsid w:val="05341DD6"/>
    <w:rsid w:val="05F15F19"/>
    <w:rsid w:val="063D4CBA"/>
    <w:rsid w:val="06FA07EB"/>
    <w:rsid w:val="070E313E"/>
    <w:rsid w:val="075838FA"/>
    <w:rsid w:val="09EF276F"/>
    <w:rsid w:val="0A5E78F5"/>
    <w:rsid w:val="0B3A5C6C"/>
    <w:rsid w:val="0B495EAF"/>
    <w:rsid w:val="0C28640C"/>
    <w:rsid w:val="0C3B7EEE"/>
    <w:rsid w:val="0C7A48B8"/>
    <w:rsid w:val="0C8C24F7"/>
    <w:rsid w:val="0CC41D6A"/>
    <w:rsid w:val="0D660F9A"/>
    <w:rsid w:val="0E464928"/>
    <w:rsid w:val="0E556903"/>
    <w:rsid w:val="0E7771D7"/>
    <w:rsid w:val="0F9811B3"/>
    <w:rsid w:val="108865E6"/>
    <w:rsid w:val="108B6BC6"/>
    <w:rsid w:val="1105322F"/>
    <w:rsid w:val="11230F50"/>
    <w:rsid w:val="11A07096"/>
    <w:rsid w:val="1283439D"/>
    <w:rsid w:val="12CA1FCB"/>
    <w:rsid w:val="12E36BE9"/>
    <w:rsid w:val="13873A19"/>
    <w:rsid w:val="14467430"/>
    <w:rsid w:val="14C940E6"/>
    <w:rsid w:val="153320AA"/>
    <w:rsid w:val="15D942D4"/>
    <w:rsid w:val="162163A6"/>
    <w:rsid w:val="16760717"/>
    <w:rsid w:val="177F50ED"/>
    <w:rsid w:val="182A7068"/>
    <w:rsid w:val="18463EA2"/>
    <w:rsid w:val="19B92850"/>
    <w:rsid w:val="1AA66E7A"/>
    <w:rsid w:val="1ABD5F72"/>
    <w:rsid w:val="1BAA0BEC"/>
    <w:rsid w:val="1BF81957"/>
    <w:rsid w:val="1C646FED"/>
    <w:rsid w:val="1C6A3ED7"/>
    <w:rsid w:val="1C7A4CA4"/>
    <w:rsid w:val="1D0B1216"/>
    <w:rsid w:val="1D21234A"/>
    <w:rsid w:val="1D9B2B44"/>
    <w:rsid w:val="1DBC4C07"/>
    <w:rsid w:val="207B2D2A"/>
    <w:rsid w:val="208539D6"/>
    <w:rsid w:val="20CE1D41"/>
    <w:rsid w:val="21B21B9E"/>
    <w:rsid w:val="2226667F"/>
    <w:rsid w:val="22CA6173"/>
    <w:rsid w:val="23156E23"/>
    <w:rsid w:val="23FB55E8"/>
    <w:rsid w:val="24C30629"/>
    <w:rsid w:val="255F2A47"/>
    <w:rsid w:val="257007B0"/>
    <w:rsid w:val="26025181"/>
    <w:rsid w:val="26105AEF"/>
    <w:rsid w:val="2613754D"/>
    <w:rsid w:val="26154EB4"/>
    <w:rsid w:val="26415CA9"/>
    <w:rsid w:val="268E2D52"/>
    <w:rsid w:val="2694227D"/>
    <w:rsid w:val="27167136"/>
    <w:rsid w:val="27C070A1"/>
    <w:rsid w:val="287C121A"/>
    <w:rsid w:val="288F5AD7"/>
    <w:rsid w:val="28920A3E"/>
    <w:rsid w:val="28E62B38"/>
    <w:rsid w:val="298F5A8D"/>
    <w:rsid w:val="29935E30"/>
    <w:rsid w:val="299747E3"/>
    <w:rsid w:val="29DB5F49"/>
    <w:rsid w:val="2B2A092C"/>
    <w:rsid w:val="2B51698E"/>
    <w:rsid w:val="2B9D6077"/>
    <w:rsid w:val="2BB313F7"/>
    <w:rsid w:val="2D346567"/>
    <w:rsid w:val="2DB71F51"/>
    <w:rsid w:val="2E7D5CEC"/>
    <w:rsid w:val="2E8A3192"/>
    <w:rsid w:val="2ECB1B24"/>
    <w:rsid w:val="2ED51684"/>
    <w:rsid w:val="2F1A45F3"/>
    <w:rsid w:val="2F5114A0"/>
    <w:rsid w:val="2F6404B7"/>
    <w:rsid w:val="31E367AE"/>
    <w:rsid w:val="32C43EEA"/>
    <w:rsid w:val="335C05C6"/>
    <w:rsid w:val="337551E4"/>
    <w:rsid w:val="340B78F6"/>
    <w:rsid w:val="34FA4631"/>
    <w:rsid w:val="35270760"/>
    <w:rsid w:val="357A4D33"/>
    <w:rsid w:val="36462E68"/>
    <w:rsid w:val="36A93B22"/>
    <w:rsid w:val="378555CE"/>
    <w:rsid w:val="3795163A"/>
    <w:rsid w:val="384855BD"/>
    <w:rsid w:val="38DD7AB3"/>
    <w:rsid w:val="396226AE"/>
    <w:rsid w:val="398048E2"/>
    <w:rsid w:val="39962366"/>
    <w:rsid w:val="39D87235"/>
    <w:rsid w:val="3A7A45F6"/>
    <w:rsid w:val="3A83468A"/>
    <w:rsid w:val="3C425ABB"/>
    <w:rsid w:val="3C77021F"/>
    <w:rsid w:val="3C850B8E"/>
    <w:rsid w:val="3CBD0327"/>
    <w:rsid w:val="3D6D517E"/>
    <w:rsid w:val="3E2A590C"/>
    <w:rsid w:val="3E9C5D1B"/>
    <w:rsid w:val="3EA42E21"/>
    <w:rsid w:val="3F035D9A"/>
    <w:rsid w:val="3F7D78FA"/>
    <w:rsid w:val="3F9A2A03"/>
    <w:rsid w:val="40774C91"/>
    <w:rsid w:val="409500FD"/>
    <w:rsid w:val="41166258"/>
    <w:rsid w:val="415428DD"/>
    <w:rsid w:val="42075BA1"/>
    <w:rsid w:val="429F5DD9"/>
    <w:rsid w:val="42BE1A30"/>
    <w:rsid w:val="43CA332A"/>
    <w:rsid w:val="43E228FB"/>
    <w:rsid w:val="44435C86"/>
    <w:rsid w:val="450D7972"/>
    <w:rsid w:val="451C4E7E"/>
    <w:rsid w:val="45A54CE6"/>
    <w:rsid w:val="45C53DA9"/>
    <w:rsid w:val="46690BD8"/>
    <w:rsid w:val="474653BD"/>
    <w:rsid w:val="47932CA1"/>
    <w:rsid w:val="47CB0DD4"/>
    <w:rsid w:val="47F70466"/>
    <w:rsid w:val="4840005F"/>
    <w:rsid w:val="487344BE"/>
    <w:rsid w:val="488C1626"/>
    <w:rsid w:val="48EF3B0E"/>
    <w:rsid w:val="491D5CAA"/>
    <w:rsid w:val="49B303BC"/>
    <w:rsid w:val="49BE157C"/>
    <w:rsid w:val="49D217F6"/>
    <w:rsid w:val="4A340EAF"/>
    <w:rsid w:val="4A62250E"/>
    <w:rsid w:val="4B086B5A"/>
    <w:rsid w:val="4B0D06CC"/>
    <w:rsid w:val="4B3317B5"/>
    <w:rsid w:val="4D7C5695"/>
    <w:rsid w:val="4DAB1AD6"/>
    <w:rsid w:val="4DD12071"/>
    <w:rsid w:val="4E0F475B"/>
    <w:rsid w:val="4E165AE9"/>
    <w:rsid w:val="4F147E17"/>
    <w:rsid w:val="4FB56C3C"/>
    <w:rsid w:val="50155430"/>
    <w:rsid w:val="509B4084"/>
    <w:rsid w:val="52927709"/>
    <w:rsid w:val="53B316E5"/>
    <w:rsid w:val="53B52B8D"/>
    <w:rsid w:val="53C102A5"/>
    <w:rsid w:val="54B42188"/>
    <w:rsid w:val="55366A71"/>
    <w:rsid w:val="568C47D3"/>
    <w:rsid w:val="56D61007"/>
    <w:rsid w:val="56DD6EDF"/>
    <w:rsid w:val="56F75D8C"/>
    <w:rsid w:val="571D28A3"/>
    <w:rsid w:val="575925A3"/>
    <w:rsid w:val="57D460CD"/>
    <w:rsid w:val="58B02697"/>
    <w:rsid w:val="58BA6D2D"/>
    <w:rsid w:val="594B6520"/>
    <w:rsid w:val="5A0343A1"/>
    <w:rsid w:val="5A7E2464"/>
    <w:rsid w:val="5B01367D"/>
    <w:rsid w:val="5B3945F0"/>
    <w:rsid w:val="5C9306BD"/>
    <w:rsid w:val="5D5F6439"/>
    <w:rsid w:val="5E0F1C0D"/>
    <w:rsid w:val="5EB90EE3"/>
    <w:rsid w:val="60AC0895"/>
    <w:rsid w:val="60BA7F29"/>
    <w:rsid w:val="636E5628"/>
    <w:rsid w:val="63807109"/>
    <w:rsid w:val="63B079EF"/>
    <w:rsid w:val="63B76FCA"/>
    <w:rsid w:val="63C74D38"/>
    <w:rsid w:val="63D556A7"/>
    <w:rsid w:val="63DD630A"/>
    <w:rsid w:val="64F658D5"/>
    <w:rsid w:val="66613222"/>
    <w:rsid w:val="67086130"/>
    <w:rsid w:val="67452B44"/>
    <w:rsid w:val="68152516"/>
    <w:rsid w:val="685E5C6B"/>
    <w:rsid w:val="68C33D20"/>
    <w:rsid w:val="68D0643D"/>
    <w:rsid w:val="68E465BF"/>
    <w:rsid w:val="69117181"/>
    <w:rsid w:val="693966D8"/>
    <w:rsid w:val="69524E67"/>
    <w:rsid w:val="69AB49DB"/>
    <w:rsid w:val="6A8D6CDC"/>
    <w:rsid w:val="6AAB53B4"/>
    <w:rsid w:val="6ACA5484"/>
    <w:rsid w:val="6B7632CC"/>
    <w:rsid w:val="6BAE1FE0"/>
    <w:rsid w:val="6BD64493"/>
    <w:rsid w:val="6C0703C8"/>
    <w:rsid w:val="6CCB2A08"/>
    <w:rsid w:val="6CDB1F80"/>
    <w:rsid w:val="6CF546C4"/>
    <w:rsid w:val="6D0C2FBA"/>
    <w:rsid w:val="6D1A412B"/>
    <w:rsid w:val="6D513E38"/>
    <w:rsid w:val="6D544E73"/>
    <w:rsid w:val="6E6733A0"/>
    <w:rsid w:val="6EAD34A8"/>
    <w:rsid w:val="6ECD2CC0"/>
    <w:rsid w:val="6F305E87"/>
    <w:rsid w:val="6F834209"/>
    <w:rsid w:val="6FD9207B"/>
    <w:rsid w:val="704E34FE"/>
    <w:rsid w:val="70595806"/>
    <w:rsid w:val="70C1148D"/>
    <w:rsid w:val="717A70B8"/>
    <w:rsid w:val="71B96608"/>
    <w:rsid w:val="71CF3736"/>
    <w:rsid w:val="71D90A58"/>
    <w:rsid w:val="71E73175"/>
    <w:rsid w:val="725231E8"/>
    <w:rsid w:val="72A963E6"/>
    <w:rsid w:val="73027B3B"/>
    <w:rsid w:val="740D2C3B"/>
    <w:rsid w:val="74BD5781"/>
    <w:rsid w:val="74BF4858"/>
    <w:rsid w:val="74FC02A2"/>
    <w:rsid w:val="75CC75E6"/>
    <w:rsid w:val="76143E0D"/>
    <w:rsid w:val="7621652A"/>
    <w:rsid w:val="77F42148"/>
    <w:rsid w:val="77F79321"/>
    <w:rsid w:val="78056103"/>
    <w:rsid w:val="78670B6C"/>
    <w:rsid w:val="78972AD3"/>
    <w:rsid w:val="78A56B5E"/>
    <w:rsid w:val="7A2860D9"/>
    <w:rsid w:val="7A3C3932"/>
    <w:rsid w:val="7AD85D51"/>
    <w:rsid w:val="7AEA5A84"/>
    <w:rsid w:val="7B890DF9"/>
    <w:rsid w:val="7BBD0AA3"/>
    <w:rsid w:val="7E696CC0"/>
    <w:rsid w:val="7E7A7402"/>
    <w:rsid w:val="7EA81482"/>
    <w:rsid w:val="7EE011E6"/>
    <w:rsid w:val="7F412E62"/>
    <w:rsid w:val="7F7C4879"/>
    <w:rsid w:val="7FDB599C"/>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4">
    <w:name w:val="heading 3"/>
    <w:basedOn w:val="1"/>
    <w:next w:val="1"/>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jc w:val="left"/>
      <w:textAlignment w:val="baseline"/>
    </w:pPr>
    <w:rPr>
      <w:rFonts w:ascii="宋体"/>
      <w:kern w:val="0"/>
      <w:sz w:val="34"/>
      <w:szCs w:val="20"/>
    </w:rPr>
  </w:style>
  <w:style w:type="paragraph" w:styleId="6">
    <w:name w:val="index 5"/>
    <w:basedOn w:val="1"/>
    <w:next w:val="1"/>
    <w:qFormat/>
    <w:uiPriority w:val="0"/>
    <w:pPr>
      <w:ind w:left="1680"/>
    </w:pPr>
  </w:style>
  <w:style w:type="paragraph" w:styleId="7">
    <w:name w:val="toc 3"/>
    <w:basedOn w:val="1"/>
    <w:next w:val="1"/>
    <w:qFormat/>
    <w:uiPriority w:val="0"/>
    <w:pPr>
      <w:ind w:left="840" w:leftChars="400"/>
    </w:pPr>
  </w:style>
  <w:style w:type="paragraph" w:styleId="8">
    <w:name w:val="Plain Text"/>
    <w:basedOn w:val="1"/>
    <w:qFormat/>
    <w:uiPriority w:val="0"/>
    <w:rPr>
      <w:rFonts w:ascii="宋体" w:hAnsi="Courier New"/>
      <w:szCs w:val="20"/>
    </w:rPr>
  </w:style>
  <w:style w:type="paragraph" w:styleId="9">
    <w:name w:val="footer"/>
    <w:basedOn w:val="1"/>
    <w:next w:val="6"/>
    <w:qFormat/>
    <w:uiPriority w:val="0"/>
    <w:pPr>
      <w:tabs>
        <w:tab w:val="center" w:pos="4153"/>
        <w:tab w:val="right" w:pos="8306"/>
      </w:tabs>
      <w:snapToGrid w:val="0"/>
      <w:jc w:val="left"/>
    </w:pPr>
    <w:rPr>
      <w:sz w:val="18"/>
      <w:szCs w:val="20"/>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Body Text 2"/>
    <w:basedOn w:val="1"/>
    <w:qFormat/>
    <w:uiPriority w:val="0"/>
    <w:pPr>
      <w:widowControl/>
      <w:spacing w:after="120" w:afterLines="0" w:line="480" w:lineRule="auto"/>
      <w:jc w:val="left"/>
    </w:pPr>
    <w:rPr>
      <w:kern w:val="0"/>
      <w:szCs w:val="20"/>
    </w:r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7">
    <w:name w:val="Strong"/>
    <w:qFormat/>
    <w:uiPriority w:val="22"/>
    <w:rPr>
      <w:b/>
      <w:bCs/>
    </w:rPr>
  </w:style>
  <w:style w:type="paragraph" w:customStyle="1" w:styleId="18">
    <w:name w:val="null3"/>
    <w:hidden/>
    <w:qFormat/>
    <w:uiPriority w:val="0"/>
    <w:rPr>
      <w:rFonts w:hint="eastAsia" w:asciiTheme="minorHAnsi" w:hAnsiTheme="minorHAnsi" w:eastAsiaTheme="minorEastAsia" w:cstheme="minorBidi"/>
      <w:lang w:val="en-US" w:eastAsia="zh-Hans"/>
    </w:rPr>
  </w:style>
  <w:style w:type="character" w:styleId="19">
    <w:name w:val="Placeholder Text"/>
    <w:basedOn w:val="16"/>
    <w:semiHidden/>
    <w:qFormat/>
    <w:uiPriority w:val="99"/>
    <w:rPr>
      <w:color w:val="808080"/>
    </w:rPr>
  </w:style>
  <w:style w:type="paragraph" w:customStyle="1" w:styleId="20">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styleId="21">
    <w:name w:val="List Paragraph"/>
    <w:basedOn w:val="1"/>
    <w:qFormat/>
    <w:uiPriority w:val="34"/>
    <w:pPr>
      <w:ind w:firstLine="420" w:firstLineChars="200"/>
    </w:pPr>
  </w:style>
  <w:style w:type="paragraph" w:customStyle="1" w:styleId="22">
    <w:name w:val="首行缩进"/>
    <w:basedOn w:val="1"/>
    <w:autoRedefine/>
    <w:qFormat/>
    <w:uiPriority w:val="0"/>
    <w:pPr>
      <w:spacing w:line="360" w:lineRule="auto"/>
      <w:ind w:firstLine="480" w:firstLineChars="200"/>
    </w:pPr>
    <w:rPr>
      <w:rFonts w:ascii="宋体" w:hAnsi="宋体" w:cs="宋体"/>
      <w:kern w:val="0"/>
      <w:sz w:val="24"/>
    </w:rPr>
  </w:style>
  <w:style w:type="paragraph" w:customStyle="1" w:styleId="23">
    <w:name w:val="Table Paragraph"/>
    <w:basedOn w:val="1"/>
    <w:qFormat/>
    <w:uiPriority w:val="1"/>
    <w:pPr>
      <w:spacing w:before="70"/>
    </w:pPr>
    <w:rPr>
      <w:rFonts w:ascii="宋体" w:hAnsi="宋体" w:eastAsia="宋体" w:cs="宋体"/>
      <w:lang w:val="zh-CN" w:eastAsia="zh-CN" w:bidi="zh-CN"/>
    </w:rPr>
  </w:style>
  <w:style w:type="paragraph" w:customStyle="1" w:styleId="24">
    <w:name w:val="_Style 22"/>
    <w:basedOn w:val="1"/>
    <w:next w:val="21"/>
    <w:qFormat/>
    <w:uiPriority w:val="34"/>
    <w:pPr>
      <w:ind w:firstLine="420" w:firstLineChars="200"/>
    </w:pPr>
    <w:rPr>
      <w:rFonts w:ascii="Times New Roman" w:hAnsi="Times New Roman" w:cs="Times New Roman"/>
      <w:kern w:val="0"/>
      <w:sz w:val="20"/>
      <w:szCs w:val="24"/>
    </w:rPr>
  </w:style>
  <w:style w:type="paragraph" w:customStyle="1" w:styleId="25">
    <w:name w:val="其他"/>
    <w:basedOn w:val="1"/>
    <w:qFormat/>
    <w:uiPriority w:val="0"/>
    <w:pPr>
      <w:widowControl w:val="0"/>
      <w:shd w:val="clear" w:color="auto" w:fill="FFFFFF"/>
      <w:spacing w:after="100" w:line="468" w:lineRule="auto"/>
      <w:ind w:firstLine="400"/>
    </w:pPr>
    <w:rPr>
      <w:rFonts w:ascii="MingLiU" w:hAnsi="MingLiU" w:eastAsia="MingLiU" w:cs="MingLiU"/>
      <w:sz w:val="20"/>
      <w:szCs w:val="20"/>
      <w:u w:val="none"/>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e06b179-ff53-448b-b9eb-3ff6c55a5c19}"/>
        <w:style w:val=""/>
        <w:category>
          <w:name w:val="常规"/>
          <w:gallery w:val="placeholder"/>
        </w:category>
        <w:types>
          <w:type w:val="bbPlcHdr"/>
        </w:types>
        <w:behaviors>
          <w:behavior w:val="content"/>
        </w:behaviors>
        <w:description w:val=""/>
        <w:guid w:val="{3e06b179-ff53-448b-b9eb-3ff6c55a5c19}"/>
      </w:docPartPr>
      <w:docPartBody>
        <w:p w14:paraId="5499F061">
          <w:pPr>
            <w:pStyle w:val="5"/>
          </w:pPr>
          <w:r>
            <w:rPr>
              <w:rStyle w:val="3"/>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sdException w:qFormat="1" w:unhideWhenUsed="0" w:uiPriority="99" w:name="Placeholder Text"/>
  </w:latentStyles>
  <w:style w:type="character" w:default="1" w:styleId="1">
    <w:name w:val="Default Paragraph Font"/>
    <w:semiHidden/>
    <w:unhideWhenUsed/>
    <w:qFormat/>
    <w:uiPriority w:val="1"/>
  </w:style>
  <w:style w:type="paragraph" w:customStyle="1" w:styleId="2">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character" w:styleId="3">
    <w:name w:val="Placeholder Text"/>
    <w:basedOn w:val="1"/>
    <w:semiHidden/>
    <w:qFormat/>
    <w:uiPriority w:val="99"/>
    <w:rPr>
      <w:color w:val="808080"/>
    </w:rPr>
  </w:style>
  <w:style w:type="paragraph" w:customStyle="1" w:styleId="4">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83</Pages>
  <Words>5541</Words>
  <Characters>6045</Characters>
  <Lines>0</Lines>
  <Paragraphs>0</Paragraphs>
  <TotalTime>35</TotalTime>
  <ScaleCrop>false</ScaleCrop>
  <LinksUpToDate>false</LinksUpToDate>
  <CharactersWithSpaces>6181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2022-04-10T11:57:00Z</dcterms:created>
  <dc:creator>广东政府采购智慧云平台</dc:creator>
  <cp:lastModifiedBy>.</cp:lastModifiedBy>
  <cp:lastPrinted>2026-02-05T13:26:00Z</cp:lastPrinted>
  <dcterms:modified xsi:type="dcterms:W3CDTF">2026-06-05T08:46:15Z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84AAD3F223FF2AC521F59E68BCC7017B_42</vt:lpwstr>
  </property>
  <property fmtid="{D5CDD505-2E9C-101B-9397-08002B2CF9AE}" pid="4" name="KSOTemplateDocerSaveRecord">
    <vt:lpwstr>eyJoZGlkIjoiODY3MGRkMjVkNTE0MTY5YzdkZmQ5ZDA1NjJhNjczM2UiLCJ1c2VySWQiOiI2MTE2ODE2MTUifQ==</vt:lpwstr>
  </property>
</Properties>
</file>