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EE2C20">
      <w:pPr>
        <w:pStyle w:val="10"/>
        <w:widowControl/>
        <w:adjustRightInd w:val="0"/>
        <w:snapToGrid w:val="0"/>
        <w:spacing w:line="360" w:lineRule="auto"/>
        <w:rPr>
          <w:rFonts w:hint="eastAsia" w:ascii="黑体" w:eastAsia="黑体"/>
          <w:bCs/>
          <w:color w:val="000000" w:themeColor="text1"/>
          <w:sz w:val="32"/>
          <w:highlight w:val="none"/>
          <w:lang w:eastAsia="zh-CN"/>
          <w14:textFill>
            <w14:solidFill>
              <w14:schemeClr w14:val="tx1"/>
            </w14:solidFill>
          </w14:textFill>
        </w:rPr>
      </w:pPr>
    </w:p>
    <w:p w14:paraId="4B26FB77">
      <w:pPr>
        <w:bidi w:val="0"/>
        <w:jc w:val="center"/>
        <w:rPr>
          <w:rFonts w:hint="eastAsia" w:asciiTheme="minorEastAsia" w:hAnsiTheme="minorEastAsia" w:eastAsiaTheme="minorEastAsia" w:cstheme="minorEastAsia"/>
          <w:b/>
          <w:bCs/>
          <w:color w:val="000000" w:themeColor="text1"/>
          <w:sz w:val="52"/>
          <w:szCs w:val="52"/>
          <w:highlight w:val="none"/>
          <w14:textFill>
            <w14:solidFill>
              <w14:schemeClr w14:val="tx1"/>
            </w14:solidFill>
          </w14:textFill>
        </w:rPr>
      </w:pPr>
    </w:p>
    <w:p w14:paraId="6F1A422D">
      <w:pPr>
        <w:bidi w:val="0"/>
        <w:jc w:val="center"/>
        <w:rPr>
          <w:rFonts w:hint="eastAsia" w:asciiTheme="minorEastAsia" w:hAnsiTheme="minorEastAsia" w:eastAsiaTheme="minorEastAsia" w:cstheme="minorEastAsia"/>
          <w:b/>
          <w:bCs/>
          <w:color w:val="000000" w:themeColor="text1"/>
          <w:sz w:val="52"/>
          <w:szCs w:val="52"/>
          <w:highlight w:val="none"/>
          <w14:textFill>
            <w14:solidFill>
              <w14:schemeClr w14:val="tx1"/>
            </w14:solidFill>
          </w14:textFill>
        </w:rPr>
      </w:pPr>
    </w:p>
    <w:p w14:paraId="0FA75861">
      <w:pPr>
        <w:bidi w:val="0"/>
        <w:jc w:val="center"/>
        <w:rPr>
          <w:rFonts w:hint="eastAsia" w:asciiTheme="minorEastAsia" w:hAnsiTheme="minorEastAsia" w:eastAsiaTheme="minorEastAsia" w:cstheme="minorEastAsia"/>
          <w:b/>
          <w:bCs/>
          <w:color w:val="000000" w:themeColor="text1"/>
          <w:sz w:val="52"/>
          <w:szCs w:val="52"/>
          <w:highlight w:val="none"/>
          <w14:textFill>
            <w14:solidFill>
              <w14:schemeClr w14:val="tx1"/>
            </w14:solidFill>
          </w14:textFill>
        </w:rPr>
      </w:pPr>
    </w:p>
    <w:p w14:paraId="5A246B51">
      <w:pPr>
        <w:bidi w:val="0"/>
        <w:jc w:val="center"/>
        <w:rPr>
          <w:rFonts w:hint="eastAsia" w:asciiTheme="minorEastAsia" w:hAnsiTheme="minorEastAsia" w:eastAsiaTheme="minorEastAsia" w:cstheme="minorEastAsia"/>
          <w:b/>
          <w:bCs/>
          <w:color w:val="000000" w:themeColor="text1"/>
          <w:sz w:val="52"/>
          <w:szCs w:val="52"/>
          <w:highlight w:val="none"/>
          <w14:textFill>
            <w14:solidFill>
              <w14:schemeClr w14:val="tx1"/>
            </w14:solidFill>
          </w14:textFill>
        </w:rPr>
      </w:pPr>
    </w:p>
    <w:p w14:paraId="60434571">
      <w:pPr>
        <w:bidi w:val="0"/>
        <w:jc w:val="center"/>
        <w:rPr>
          <w:rFonts w:hint="eastAsia" w:asciiTheme="minorEastAsia" w:hAnsiTheme="minorEastAsia" w:eastAsiaTheme="minorEastAsia" w:cstheme="minorEastAsia"/>
          <w:b/>
          <w:bCs/>
          <w:color w:val="000000" w:themeColor="text1"/>
          <w:sz w:val="44"/>
          <w:szCs w:val="4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52"/>
          <w:szCs w:val="52"/>
          <w:highlight w:val="none"/>
          <w14:textFill>
            <w14:solidFill>
              <w14:schemeClr w14:val="tx1"/>
            </w14:solidFill>
          </w14:textFill>
        </w:rPr>
        <w:t>公开招标</w:t>
      </w:r>
    </w:p>
    <w:p w14:paraId="7B92528C">
      <w:pPr>
        <w:bidi w:val="0"/>
        <w:jc w:val="center"/>
        <w:rPr>
          <w:rFonts w:hint="eastAsia" w:asciiTheme="minorEastAsia" w:hAnsiTheme="minorEastAsia" w:eastAsiaTheme="minorEastAsia" w:cstheme="minorEastAsia"/>
          <w:b/>
          <w:bCs/>
          <w:color w:val="000000" w:themeColor="text1"/>
          <w:sz w:val="72"/>
          <w:szCs w:val="72"/>
          <w:highlight w:val="none"/>
          <w14:textFill>
            <w14:solidFill>
              <w14:schemeClr w14:val="tx1"/>
            </w14:solidFill>
          </w14:textFill>
        </w:rPr>
      </w:pPr>
    </w:p>
    <w:p w14:paraId="34E52397">
      <w:pPr>
        <w:bidi w:val="0"/>
        <w:jc w:val="center"/>
        <w:rPr>
          <w:rFonts w:hint="eastAsia" w:asciiTheme="minorEastAsia" w:hAnsiTheme="minorEastAsia" w:eastAsiaTheme="minorEastAsia" w:cstheme="minorEastAsia"/>
          <w:b/>
          <w:bCs/>
          <w:color w:val="000000" w:themeColor="text1"/>
          <w:sz w:val="72"/>
          <w:szCs w:val="72"/>
          <w:highlight w:val="none"/>
          <w14:textFill>
            <w14:solidFill>
              <w14:schemeClr w14:val="tx1"/>
            </w14:solidFill>
          </w14:textFill>
        </w:rPr>
      </w:pPr>
    </w:p>
    <w:p w14:paraId="450F14E0">
      <w:pPr>
        <w:bidi w:val="0"/>
        <w:jc w:val="center"/>
        <w:rPr>
          <w:rFonts w:hint="eastAsia" w:asciiTheme="minorEastAsia" w:hAnsiTheme="minorEastAsia" w:eastAsiaTheme="minorEastAsia" w:cstheme="minorEastAsia"/>
          <w:b/>
          <w:bCs/>
          <w:color w:val="000000" w:themeColor="text1"/>
          <w:sz w:val="72"/>
          <w:szCs w:val="72"/>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72"/>
          <w:szCs w:val="72"/>
          <w:highlight w:val="none"/>
          <w14:textFill>
            <w14:solidFill>
              <w14:schemeClr w14:val="tx1"/>
            </w14:solidFill>
          </w14:textFill>
        </w:rPr>
        <w:t xml:space="preserve">招 </w:t>
      </w:r>
      <w:r>
        <w:rPr>
          <w:rFonts w:hint="eastAsia" w:asciiTheme="minorEastAsia" w:hAnsiTheme="minorEastAsia" w:eastAsiaTheme="minorEastAsia" w:cstheme="minorEastAsia"/>
          <w:b/>
          <w:bCs/>
          <w:color w:val="000000" w:themeColor="text1"/>
          <w:sz w:val="72"/>
          <w:szCs w:val="72"/>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72"/>
          <w:szCs w:val="72"/>
          <w:highlight w:val="none"/>
          <w14:textFill>
            <w14:solidFill>
              <w14:schemeClr w14:val="tx1"/>
            </w14:solidFill>
          </w14:textFill>
        </w:rPr>
        <w:t xml:space="preserve"> 标 </w:t>
      </w:r>
      <w:r>
        <w:rPr>
          <w:rFonts w:hint="eastAsia" w:asciiTheme="minorEastAsia" w:hAnsiTheme="minorEastAsia" w:eastAsiaTheme="minorEastAsia" w:cstheme="minorEastAsia"/>
          <w:b/>
          <w:bCs/>
          <w:color w:val="000000" w:themeColor="text1"/>
          <w:sz w:val="72"/>
          <w:szCs w:val="72"/>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72"/>
          <w:szCs w:val="72"/>
          <w:highlight w:val="none"/>
          <w14:textFill>
            <w14:solidFill>
              <w14:schemeClr w14:val="tx1"/>
            </w14:solidFill>
          </w14:textFill>
        </w:rPr>
        <w:t xml:space="preserve"> 文 </w:t>
      </w:r>
      <w:r>
        <w:rPr>
          <w:rFonts w:hint="eastAsia" w:asciiTheme="minorEastAsia" w:hAnsiTheme="minorEastAsia" w:eastAsiaTheme="minorEastAsia" w:cstheme="minorEastAsia"/>
          <w:b/>
          <w:bCs/>
          <w:color w:val="000000" w:themeColor="text1"/>
          <w:sz w:val="72"/>
          <w:szCs w:val="72"/>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72"/>
          <w:szCs w:val="72"/>
          <w:highlight w:val="none"/>
          <w14:textFill>
            <w14:solidFill>
              <w14:schemeClr w14:val="tx1"/>
            </w14:solidFill>
          </w14:textFill>
        </w:rPr>
        <w:t xml:space="preserve"> 件</w:t>
      </w:r>
    </w:p>
    <w:p w14:paraId="064B4A69">
      <w:pPr>
        <w:pStyle w:val="10"/>
        <w:widowControl/>
        <w:adjustRightInd w:val="0"/>
        <w:snapToGrid w:val="0"/>
        <w:spacing w:line="360" w:lineRule="auto"/>
        <w:jc w:val="center"/>
        <w:rPr>
          <w:rFonts w:ascii="黑体" w:hAnsi="黑体" w:eastAsia="黑体"/>
          <w:bCs/>
          <w:color w:val="000000" w:themeColor="text1"/>
          <w:sz w:val="24"/>
          <w:szCs w:val="24"/>
          <w:highlight w:val="none"/>
          <w:bdr w:val="single" w:color="auto" w:sz="4" w:space="0"/>
          <w14:textFill>
            <w14:solidFill>
              <w14:schemeClr w14:val="tx1"/>
            </w14:solidFill>
          </w14:textFill>
        </w:rPr>
      </w:pPr>
    </w:p>
    <w:p w14:paraId="687D0FC1">
      <w:pPr>
        <w:pStyle w:val="10"/>
        <w:widowControl/>
        <w:adjustRightInd w:val="0"/>
        <w:snapToGrid w:val="0"/>
        <w:spacing w:line="360" w:lineRule="auto"/>
        <w:jc w:val="center"/>
        <w:rPr>
          <w:rFonts w:ascii="黑体" w:eastAsia="黑体"/>
          <w:bCs/>
          <w:color w:val="000000" w:themeColor="text1"/>
          <w:sz w:val="52"/>
          <w:szCs w:val="52"/>
          <w:highlight w:val="none"/>
          <w14:textFill>
            <w14:solidFill>
              <w14:schemeClr w14:val="tx1"/>
            </w14:solidFill>
          </w14:textFill>
        </w:rPr>
      </w:pPr>
    </w:p>
    <w:p w14:paraId="17E5F75E">
      <w:pPr>
        <w:pStyle w:val="10"/>
        <w:widowControl/>
        <w:adjustRightInd w:val="0"/>
        <w:snapToGrid w:val="0"/>
        <w:spacing w:line="360" w:lineRule="auto"/>
        <w:jc w:val="center"/>
        <w:rPr>
          <w:rFonts w:ascii="黑体" w:eastAsia="黑体"/>
          <w:bCs/>
          <w:color w:val="000000" w:themeColor="text1"/>
          <w:sz w:val="52"/>
          <w:szCs w:val="52"/>
          <w:highlight w:val="none"/>
          <w14:textFill>
            <w14:solidFill>
              <w14:schemeClr w14:val="tx1"/>
            </w14:solidFill>
          </w14:textFill>
        </w:rPr>
      </w:pPr>
    </w:p>
    <w:p w14:paraId="2BD5D3BA">
      <w:pPr>
        <w:pStyle w:val="10"/>
        <w:widowControl/>
        <w:adjustRightInd w:val="0"/>
        <w:snapToGrid w:val="0"/>
        <w:spacing w:line="360" w:lineRule="auto"/>
        <w:jc w:val="center"/>
        <w:rPr>
          <w:rFonts w:ascii="黑体" w:eastAsia="黑体"/>
          <w:bCs/>
          <w:color w:val="000000" w:themeColor="text1"/>
          <w:sz w:val="52"/>
          <w:szCs w:val="52"/>
          <w:highlight w:val="none"/>
          <w14:textFill>
            <w14:solidFill>
              <w14:schemeClr w14:val="tx1"/>
            </w14:solidFill>
          </w14:textFill>
        </w:rPr>
      </w:pPr>
    </w:p>
    <w:p w14:paraId="0D0791A9">
      <w:pPr>
        <w:bidi w:val="0"/>
        <w:rPr>
          <w:color w:val="000000" w:themeColor="text1"/>
          <w:highlight w:val="none"/>
          <w14:textFill>
            <w14:solidFill>
              <w14:schemeClr w14:val="tx1"/>
            </w14:solidFill>
          </w14:textFill>
        </w:rPr>
      </w:pPr>
    </w:p>
    <w:tbl>
      <w:tblPr>
        <w:tblStyle w:val="16"/>
        <w:tblW w:w="7989" w:type="dxa"/>
        <w:jc w:val="center"/>
        <w:tblLayout w:type="fixed"/>
        <w:tblCellMar>
          <w:top w:w="0" w:type="dxa"/>
          <w:left w:w="108" w:type="dxa"/>
          <w:bottom w:w="0" w:type="dxa"/>
          <w:right w:w="108" w:type="dxa"/>
        </w:tblCellMar>
      </w:tblPr>
      <w:tblGrid>
        <w:gridCol w:w="1951"/>
        <w:gridCol w:w="284"/>
        <w:gridCol w:w="5754"/>
      </w:tblGrid>
      <w:tr w14:paraId="5A3C51A6">
        <w:tblPrEx>
          <w:tblCellMar>
            <w:top w:w="0" w:type="dxa"/>
            <w:left w:w="108" w:type="dxa"/>
            <w:bottom w:w="0" w:type="dxa"/>
            <w:right w:w="108" w:type="dxa"/>
          </w:tblCellMar>
        </w:tblPrEx>
        <w:trPr>
          <w:trHeight w:val="567" w:hRule="atLeast"/>
          <w:jc w:val="center"/>
        </w:trPr>
        <w:tc>
          <w:tcPr>
            <w:tcW w:w="1951" w:type="dxa"/>
            <w:vAlign w:val="center"/>
          </w:tcPr>
          <w:p w14:paraId="7A3F55DA">
            <w:pPr>
              <w:jc w:val="distribute"/>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项目编号</w:t>
            </w:r>
          </w:p>
        </w:tc>
        <w:tc>
          <w:tcPr>
            <w:tcW w:w="284" w:type="dxa"/>
            <w:vAlign w:val="center"/>
          </w:tcPr>
          <w:p w14:paraId="58B83D3F">
            <w:pP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w:t>
            </w:r>
          </w:p>
        </w:tc>
        <w:tc>
          <w:tcPr>
            <w:tcW w:w="5754" w:type="dxa"/>
            <w:vAlign w:val="center"/>
          </w:tcPr>
          <w:p w14:paraId="361C0AD5">
            <w:pP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lang w:eastAsia="zh-CN"/>
                <w14:textFill>
                  <w14:solidFill>
                    <w14:schemeClr w14:val="tx1"/>
                  </w14:solidFill>
                </w14:textFill>
              </w:rPr>
              <w:t>YXCG-20260711</w:t>
            </w:r>
          </w:p>
        </w:tc>
      </w:tr>
      <w:tr w14:paraId="201EA358">
        <w:tblPrEx>
          <w:tblCellMar>
            <w:top w:w="0" w:type="dxa"/>
            <w:left w:w="108" w:type="dxa"/>
            <w:bottom w:w="0" w:type="dxa"/>
            <w:right w:w="108" w:type="dxa"/>
          </w:tblCellMar>
        </w:tblPrEx>
        <w:trPr>
          <w:trHeight w:val="964" w:hRule="atLeast"/>
          <w:jc w:val="center"/>
        </w:trPr>
        <w:tc>
          <w:tcPr>
            <w:tcW w:w="1951" w:type="dxa"/>
            <w:vAlign w:val="center"/>
          </w:tcPr>
          <w:p w14:paraId="46C4C6AC">
            <w:pPr>
              <w:jc w:val="distribute"/>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项目名称</w:t>
            </w:r>
          </w:p>
        </w:tc>
        <w:tc>
          <w:tcPr>
            <w:tcW w:w="284" w:type="dxa"/>
            <w:vAlign w:val="center"/>
          </w:tcPr>
          <w:p w14:paraId="548C1013">
            <w:pP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w:t>
            </w:r>
          </w:p>
        </w:tc>
        <w:tc>
          <w:tcPr>
            <w:tcW w:w="5754" w:type="dxa"/>
            <w:vAlign w:val="center"/>
          </w:tcPr>
          <w:p w14:paraId="50278C2B">
            <w:pP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lang w:eastAsia="zh-CN"/>
                <w14:textFill>
                  <w14:solidFill>
                    <w14:schemeClr w14:val="tx1"/>
                  </w14:solidFill>
                </w14:textFill>
              </w:rPr>
              <w:t>阳江市阳东区合山镇第二小学食堂食材配送服务项目</w:t>
            </w:r>
          </w:p>
        </w:tc>
      </w:tr>
      <w:tr w14:paraId="25B4EDC8">
        <w:tblPrEx>
          <w:tblCellMar>
            <w:top w:w="0" w:type="dxa"/>
            <w:left w:w="108" w:type="dxa"/>
            <w:bottom w:w="0" w:type="dxa"/>
            <w:right w:w="108" w:type="dxa"/>
          </w:tblCellMar>
        </w:tblPrEx>
        <w:trPr>
          <w:trHeight w:val="567" w:hRule="atLeast"/>
          <w:jc w:val="center"/>
        </w:trPr>
        <w:tc>
          <w:tcPr>
            <w:tcW w:w="1951" w:type="dxa"/>
            <w:vAlign w:val="center"/>
          </w:tcPr>
          <w:p w14:paraId="635A148E">
            <w:pPr>
              <w:jc w:val="distribute"/>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采购人</w:t>
            </w:r>
          </w:p>
        </w:tc>
        <w:tc>
          <w:tcPr>
            <w:tcW w:w="284" w:type="dxa"/>
            <w:vAlign w:val="center"/>
          </w:tcPr>
          <w:p w14:paraId="3B9DAA92">
            <w:pP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w:t>
            </w:r>
          </w:p>
        </w:tc>
        <w:tc>
          <w:tcPr>
            <w:tcW w:w="5754" w:type="dxa"/>
            <w:vAlign w:val="center"/>
          </w:tcPr>
          <w:p w14:paraId="0DF35F5B">
            <w:pP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lang w:eastAsia="zh-CN"/>
                <w14:textFill>
                  <w14:solidFill>
                    <w14:schemeClr w14:val="tx1"/>
                  </w14:solidFill>
                </w14:textFill>
              </w:rPr>
              <w:t>阳江市阳东区合山镇第二小学</w:t>
            </w:r>
          </w:p>
        </w:tc>
      </w:tr>
      <w:tr w14:paraId="04EA55A4">
        <w:tblPrEx>
          <w:tblCellMar>
            <w:top w:w="0" w:type="dxa"/>
            <w:left w:w="108" w:type="dxa"/>
            <w:bottom w:w="0" w:type="dxa"/>
            <w:right w:w="108" w:type="dxa"/>
          </w:tblCellMar>
        </w:tblPrEx>
        <w:trPr>
          <w:trHeight w:val="567" w:hRule="atLeast"/>
          <w:jc w:val="center"/>
        </w:trPr>
        <w:tc>
          <w:tcPr>
            <w:tcW w:w="1951" w:type="dxa"/>
            <w:vAlign w:val="center"/>
          </w:tcPr>
          <w:p w14:paraId="173D92AD">
            <w:pPr>
              <w:jc w:val="distribute"/>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采购代理机构</w:t>
            </w:r>
          </w:p>
        </w:tc>
        <w:tc>
          <w:tcPr>
            <w:tcW w:w="284" w:type="dxa"/>
            <w:vAlign w:val="center"/>
          </w:tcPr>
          <w:p w14:paraId="6226FD9E">
            <w:pP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w:t>
            </w:r>
          </w:p>
        </w:tc>
        <w:tc>
          <w:tcPr>
            <w:tcW w:w="5754" w:type="dxa"/>
            <w:vAlign w:val="center"/>
          </w:tcPr>
          <w:p w14:paraId="13520CA5">
            <w:pPr>
              <w:jc w:val="both"/>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highlight w:val="none"/>
                <w14:textFill>
                  <w14:solidFill>
                    <w14:schemeClr w14:val="tx1"/>
                  </w14:solidFill>
                </w14:textFill>
              </w:rPr>
              <w:t>广东业信采购招标有限公司</w:t>
            </w:r>
          </w:p>
        </w:tc>
      </w:tr>
    </w:tbl>
    <w:p w14:paraId="7B6BC2A1">
      <w:pPr>
        <w:pStyle w:val="10"/>
        <w:widowControl/>
        <w:adjustRightInd w:val="0"/>
        <w:snapToGrid w:val="0"/>
        <w:spacing w:line="360" w:lineRule="auto"/>
        <w:jc w:val="center"/>
        <w:rPr>
          <w:rFonts w:hint="eastAsia" w:hAnsi="宋体"/>
          <w:b/>
          <w:bCs/>
          <w:color w:val="000000" w:themeColor="text1"/>
          <w:sz w:val="24"/>
          <w:highlight w:val="none"/>
          <w14:textFill>
            <w14:solidFill>
              <w14:schemeClr w14:val="tx1"/>
            </w14:solidFill>
          </w14:textFill>
        </w:rPr>
      </w:pPr>
    </w:p>
    <w:p w14:paraId="4F5F7FF2">
      <w:pPr>
        <w:spacing w:before="0" w:beforeLines="0" w:after="0" w:afterLines="0" w:line="240" w:lineRule="auto"/>
        <w:ind w:left="0" w:leftChars="0" w:right="0" w:rightChars="0" w:firstLine="0" w:firstLineChars="0"/>
        <w:jc w:val="center"/>
        <w:rPr>
          <w:b/>
          <w:bCs/>
          <w:color w:val="000000" w:themeColor="text1"/>
          <w:sz w:val="32"/>
          <w:szCs w:val="32"/>
          <w:highlight w:val="none"/>
          <w14:textFill>
            <w14:solidFill>
              <w14:schemeClr w14:val="tx1"/>
            </w14:solidFill>
          </w14:textFill>
        </w:rPr>
      </w:pPr>
      <w:r>
        <w:rPr>
          <w:rFonts w:ascii="宋体" w:hAnsi="宋体" w:eastAsia="宋体"/>
          <w:b/>
          <w:bCs/>
          <w:color w:val="000000" w:themeColor="text1"/>
          <w:sz w:val="32"/>
          <w:szCs w:val="32"/>
          <w:highlight w:val="none"/>
          <w14:textFill>
            <w14:solidFill>
              <w14:schemeClr w14:val="tx1"/>
            </w14:solidFill>
          </w14:textFill>
        </w:rPr>
        <w:t>目</w:t>
      </w:r>
      <w:r>
        <w:rPr>
          <w:rFonts w:hint="eastAsia" w:ascii="宋体" w:hAnsi="宋体" w:eastAsia="宋体"/>
          <w:b/>
          <w:bCs/>
          <w:color w:val="000000" w:themeColor="text1"/>
          <w:sz w:val="32"/>
          <w:szCs w:val="32"/>
          <w:highlight w:val="none"/>
          <w:lang w:val="en-US" w:eastAsia="zh-CN"/>
          <w14:textFill>
            <w14:solidFill>
              <w14:schemeClr w14:val="tx1"/>
            </w14:solidFill>
          </w14:textFill>
        </w:rPr>
        <w:t xml:space="preserve"> </w:t>
      </w:r>
      <w:r>
        <w:rPr>
          <w:rFonts w:ascii="宋体" w:hAnsi="宋体" w:eastAsia="宋体"/>
          <w:b/>
          <w:bCs/>
          <w:color w:val="000000" w:themeColor="text1"/>
          <w:sz w:val="32"/>
          <w:szCs w:val="32"/>
          <w:highlight w:val="none"/>
          <w14:textFill>
            <w14:solidFill>
              <w14:schemeClr w14:val="tx1"/>
            </w14:solidFill>
          </w14:textFill>
        </w:rPr>
        <w:t>录</w:t>
      </w:r>
    </w:p>
    <w:p w14:paraId="611AAF9E">
      <w:pPr>
        <w:pStyle w:val="13"/>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TOC \o "1-3" \h \u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_Toc6055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8"/>
          <w:highlight w:val="none"/>
          <w14:textFill>
            <w14:solidFill>
              <w14:schemeClr w14:val="tx1"/>
            </w14:solidFill>
          </w14:textFill>
        </w:rPr>
        <w:t>第一章</w:t>
      </w:r>
      <w:r>
        <w:rPr>
          <w:rFonts w:hint="eastAsia" w:asciiTheme="minorEastAsia" w:hAnsiTheme="minorEastAsia" w:cstheme="minorEastAsia"/>
          <w:color w:val="000000" w:themeColor="text1"/>
          <w:szCs w:val="28"/>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8"/>
          <w:highlight w:val="none"/>
          <w14:textFill>
            <w14:solidFill>
              <w14:schemeClr w14:val="tx1"/>
            </w14:solidFill>
          </w14:textFill>
        </w:rPr>
        <w:t>投标邀请</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_Toc6055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16BC8CD1">
      <w:pPr>
        <w:pStyle w:val="13"/>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_Toc17988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8"/>
          <w:highlight w:val="none"/>
          <w14:textFill>
            <w14:solidFill>
              <w14:schemeClr w14:val="tx1"/>
            </w14:solidFill>
          </w14:textFill>
        </w:rPr>
        <w:t>第二章 采购需求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_Toc17988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57DDEF25">
      <w:pPr>
        <w:pStyle w:val="13"/>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_Toc23155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8"/>
          <w:highlight w:val="none"/>
          <w14:textFill>
            <w14:solidFill>
              <w14:schemeClr w14:val="tx1"/>
            </w14:solidFill>
          </w14:textFill>
        </w:rPr>
        <w:t>第三章 投标人须知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_Toc23155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28</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4BFC18AC">
      <w:pPr>
        <w:pStyle w:val="14"/>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_Toc20614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一、名词解释</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_Toc20614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28</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3414C543">
      <w:pPr>
        <w:pStyle w:val="14"/>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_Toc24153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二、须知前附表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_Toc24153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28</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43192B23">
      <w:pPr>
        <w:pStyle w:val="14"/>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_Toc3307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三、说明</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_Toc3307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30</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3D0A6BD5">
      <w:pPr>
        <w:pStyle w:val="14"/>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_Toc16515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四、招标文件的澄清和修改</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_Toc16515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32</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6541BD83">
      <w:pPr>
        <w:pStyle w:val="14"/>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_Toc20864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五、投标要求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_Toc20864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33</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5F5F7F3A">
      <w:pPr>
        <w:pStyle w:val="14"/>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_Toc7726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六、开标、评标和定标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_Toc7726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35</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73879F69">
      <w:pPr>
        <w:pStyle w:val="14"/>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_Toc28775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七、询问、质疑与投诉</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_Toc28775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36</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37F43BE3">
      <w:pPr>
        <w:pStyle w:val="14"/>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_Toc27487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八、合同签订和履行</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_Toc27487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37</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1C3CB1D7">
      <w:pPr>
        <w:pStyle w:val="13"/>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_Toc5690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8"/>
          <w:highlight w:val="none"/>
          <w14:textFill>
            <w14:solidFill>
              <w14:schemeClr w14:val="tx1"/>
            </w14:solidFill>
          </w14:textFill>
        </w:rPr>
        <w:t>第四章 评标</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_Toc5690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39</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1DD4BB08">
      <w:pPr>
        <w:pStyle w:val="14"/>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_Toc12371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一、评标要求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_Toc12371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39</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41AF750A">
      <w:pPr>
        <w:pStyle w:val="14"/>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_Toc2111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二</w:t>
      </w:r>
      <w:r>
        <w:rPr>
          <w:rFonts w:hint="eastAsia" w:asciiTheme="minorEastAsia" w:hAnsiTheme="minorEastAsia" w:cstheme="minorEastAsia"/>
          <w:color w:val="000000" w:themeColor="text1"/>
          <w:szCs w:val="2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政府采购政策落实</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_Toc2111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40</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553C871E">
      <w:pPr>
        <w:pStyle w:val="14"/>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_Toc27458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三、评审程序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_Toc27458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42</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3868E20C">
      <w:pPr>
        <w:pStyle w:val="13"/>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_Toc10647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8"/>
          <w:highlight w:val="none"/>
          <w14:textFill>
            <w14:solidFill>
              <w14:schemeClr w14:val="tx1"/>
            </w14:solidFill>
          </w14:textFill>
        </w:rPr>
        <w:t>第五章 合同</w:t>
      </w:r>
      <w:r>
        <w:rPr>
          <w:rFonts w:hint="eastAsia" w:asciiTheme="minorEastAsia" w:hAnsiTheme="minorEastAsia" w:cstheme="minorEastAsia"/>
          <w:color w:val="000000" w:themeColor="text1"/>
          <w:szCs w:val="28"/>
          <w:highlight w:val="none"/>
          <w:lang w:val="en-US" w:eastAsia="zh-CN"/>
          <w14:textFill>
            <w14:solidFill>
              <w14:schemeClr w14:val="tx1"/>
            </w14:solidFill>
          </w14:textFill>
        </w:rPr>
        <w:t>范</w:t>
      </w:r>
      <w:r>
        <w:rPr>
          <w:rFonts w:hint="eastAsia" w:asciiTheme="minorEastAsia" w:hAnsiTheme="minorEastAsia" w:eastAsiaTheme="minorEastAsia" w:cstheme="minorEastAsia"/>
          <w:color w:val="000000" w:themeColor="text1"/>
          <w:szCs w:val="28"/>
          <w:highlight w:val="none"/>
          <w14:textFill>
            <w14:solidFill>
              <w14:schemeClr w14:val="tx1"/>
            </w14:solidFill>
          </w14:textFill>
        </w:rPr>
        <w:t>本</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_Toc10647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48</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2FA5534F">
      <w:pPr>
        <w:pStyle w:val="13"/>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_Toc368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8"/>
          <w:highlight w:val="none"/>
          <w14:textFill>
            <w14:solidFill>
              <w14:schemeClr w14:val="tx1"/>
            </w14:solidFill>
          </w14:textFill>
        </w:rPr>
        <w:t>第六章 投标文件格式与要求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_Toc368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52</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24C93D51">
      <w:pPr>
        <w:pStyle w:val="14"/>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_Toc9870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bCs w:val="0"/>
          <w:color w:val="000000" w:themeColor="text1"/>
          <w:szCs w:val="44"/>
          <w:highlight w:val="none"/>
          <w14:textFill>
            <w14:solidFill>
              <w14:schemeClr w14:val="tx1"/>
            </w14:solidFill>
          </w14:textFill>
        </w:rPr>
        <w:t>投标文件封面</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_Toc9870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53</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735BA804">
      <w:pPr>
        <w:pStyle w:val="14"/>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_Toc16807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8"/>
          <w:highlight w:val="none"/>
          <w14:textFill>
            <w14:solidFill>
              <w14:schemeClr w14:val="tx1"/>
            </w14:solidFill>
          </w14:textFill>
        </w:rPr>
        <w:t>投标文件目录</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_Toc16807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54</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4D576516">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_Toc24496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格式一：投标函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_Toc24496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55</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4A2DCAE7">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_Toc19335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格式二：开标一览表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_Toc19335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57</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3982846F">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_Toc14936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格式三：分项报价表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_Toc14936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58</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5DA83AE7">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_Toc2643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格式四：政策适用性说明</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_Toc2643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59</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5EAD905E">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_Toc27338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格式五：关于符合本国产品标准的声明函等有关证明文件（如适用）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_Toc27338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60</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32E133C7">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_Toc10016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格式六：</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证明书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_Toc10016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65</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32631977">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_Toc11294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格式七：</w:t>
      </w:r>
      <w:r>
        <w:rPr>
          <w:rFonts w:hint="eastAsia" w:asciiTheme="minorEastAsia" w:hAnsiTheme="minorEastAsia" w:eastAsiaTheme="minorEastAsia" w:cstheme="minorEastAsia"/>
          <w:color w:val="000000" w:themeColor="text1"/>
          <w:szCs w:val="21"/>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授权书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_Toc11294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66</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49943E18">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_Toc13717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格式八：投标保证金</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_Toc13717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67</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57F97E5C">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_Toc15494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格式九：提供具有独立承担民事责任的能力的证明材料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_Toc15494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67</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50925C2E">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_Toc14243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格式十：资格性审查要求的其他资质证明文件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_Toc14243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67</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0C8DBF9C">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_Toc26800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格式十一：承诺函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_Toc26800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68</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0245C1F7">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_Toc14285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格式十二：中小企业声明函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_Toc14285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69</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2906B22A">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_Toc1880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格式十三：监狱企业</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_Toc1880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71</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483979D8">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_Toc30469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格式十四：残疾人福利性单位声明函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_Toc30469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72</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33D2C91A">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_Toc3651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格式十五：联合体共同投标协议书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_Toc3651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73</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54C631AD">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_Toc21035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格式十六：投标人业绩情况表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_Toc21035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75</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2CA3C17D">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_Toc29754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格式十七：《技术和服务要求响应表》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_Toc29754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76</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1D9B24B8">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_Toc25766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格式十八：《商务条件响应表》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_Toc25766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77</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47E017A5">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_Toc28611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格式十九：履约进度计划表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_Toc28611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78</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0DB80F2D">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_Toc22713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格式二十：各类证明材料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_Toc22713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78</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53B033CC">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_Toc24738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格式二十一：采购代理服务费支付承诺书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_Toc24738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79</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2D137650">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_Toc7034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格式二十二：需要采购人提供的附加条件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_Toc7034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80</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1650A6CC">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_Toc25195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格式二十三：询问函、质疑函、投诉书格式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_Toc25195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81</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7D6D230B">
      <w:pPr>
        <w:pStyle w:val="9"/>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_Toc6556 </w:instrText>
      </w:r>
      <w:r>
        <w:rPr>
          <w:color w:val="000000" w:themeColor="text1"/>
          <w:highlight w:val="none"/>
          <w14:textFill>
            <w14:solidFill>
              <w14:schemeClr w14:val="tx1"/>
            </w14:solidFill>
          </w14:textFill>
        </w:rPr>
        <w:fldChar w:fldCharType="separate"/>
      </w: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格式二十四：项目实施方案、质量保证及售后服务承诺等内容和格式自拟</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_Toc6556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84</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34C024DB">
      <w:pPr>
        <w:pStyle w:val="13"/>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_Toc14513 </w:instrText>
      </w:r>
      <w:r>
        <w:rPr>
          <w:color w:val="000000" w:themeColor="text1"/>
          <w:highlight w:val="none"/>
          <w14:textFill>
            <w14:solidFill>
              <w14:schemeClr w14:val="tx1"/>
            </w14:solidFill>
          </w14:textFill>
        </w:rPr>
        <w:fldChar w:fldCharType="separate"/>
      </w:r>
      <w:r>
        <w:rPr>
          <w:rFonts w:hint="eastAsia"/>
          <w:bCs/>
          <w:color w:val="000000" w:themeColor="text1"/>
          <w:szCs w:val="28"/>
          <w:highlight w:val="none"/>
          <w14:textFill>
            <w14:solidFill>
              <w14:schemeClr w14:val="tx1"/>
            </w14:solidFill>
          </w14:textFill>
        </w:rPr>
        <w:t>附件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_Toc14513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85</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34A74AFE">
      <w:pPr>
        <w:pStyle w:val="14"/>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_Toc4968 </w:instrText>
      </w:r>
      <w:r>
        <w:rPr>
          <w:color w:val="000000" w:themeColor="text1"/>
          <w:highlight w:val="none"/>
          <w14:textFill>
            <w14:solidFill>
              <w14:schemeClr w14:val="tx1"/>
            </w14:solidFill>
          </w14:textFill>
        </w:rPr>
        <w:fldChar w:fldCharType="separate"/>
      </w:r>
      <w:r>
        <w:rPr>
          <w:rFonts w:hint="eastAsia" w:ascii="宋体" w:hAnsi="宋体" w:cs="宋体"/>
          <w:bCs/>
          <w:color w:val="000000" w:themeColor="text1"/>
          <w:kern w:val="0"/>
          <w:szCs w:val="32"/>
          <w:highlight w:val="none"/>
          <w14:textFill>
            <w14:solidFill>
              <w14:schemeClr w14:val="tx1"/>
            </w14:solidFill>
          </w14:textFill>
        </w:rPr>
        <w:t>阳江市政府采购供应商资格信用承诺函</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_Toc4968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85</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3B98211A">
      <w:pPr>
        <w:pStyle w:val="14"/>
        <w:tabs>
          <w:tab w:val="right" w:leader="dot" w:pos="9070"/>
        </w:tabs>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_Toc2450 </w:instrText>
      </w:r>
      <w:r>
        <w:rPr>
          <w:color w:val="000000" w:themeColor="text1"/>
          <w:highlight w:val="none"/>
          <w14:textFill>
            <w14:solidFill>
              <w14:schemeClr w14:val="tx1"/>
            </w14:solidFill>
          </w14:textFill>
        </w:rPr>
        <w:fldChar w:fldCharType="separate"/>
      </w:r>
      <w:r>
        <w:rPr>
          <w:rFonts w:hint="eastAsia"/>
          <w:bCs/>
          <w:color w:val="000000" w:themeColor="text1"/>
          <w:szCs w:val="44"/>
          <w:highlight w:val="none"/>
          <w14:textFill>
            <w14:solidFill>
              <w14:schemeClr w14:val="tx1"/>
            </w14:solidFill>
          </w14:textFill>
        </w:rPr>
        <w:t>购买标书登记表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_Toc2450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86</w:t>
      </w:r>
      <w:r>
        <w:rPr>
          <w:color w:val="000000" w:themeColor="text1"/>
          <w:highlight w:val="none"/>
          <w14:textFill>
            <w14:solidFill>
              <w14:schemeClr w14:val="tx1"/>
            </w14:solidFill>
          </w14:textFill>
        </w:rPr>
        <w:fldChar w:fldCharType="end"/>
      </w:r>
      <w:r>
        <w:rPr>
          <w:color w:val="000000" w:themeColor="text1"/>
          <w:highlight w:val="none"/>
          <w14:textFill>
            <w14:solidFill>
              <w14:schemeClr w14:val="tx1"/>
            </w14:solidFill>
          </w14:textFill>
        </w:rPr>
        <w:fldChar w:fldCharType="end"/>
      </w:r>
    </w:p>
    <w:p w14:paraId="796DAF33">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end"/>
      </w:r>
    </w:p>
    <w:p w14:paraId="183BE9AD">
      <w:pPr>
        <w:rPr>
          <w:color w:val="000000" w:themeColor="text1"/>
          <w:highlight w:val="none"/>
          <w14:textFill>
            <w14:solidFill>
              <w14:schemeClr w14:val="tx1"/>
            </w14:solidFill>
          </w14:textFill>
        </w:rPr>
      </w:pPr>
    </w:p>
    <w:p w14:paraId="6D2926E5">
      <w:pP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br w:type="page"/>
      </w:r>
    </w:p>
    <w:p w14:paraId="3692808D">
      <w:pPr>
        <w:pStyle w:val="19"/>
        <w:keepNext w:val="0"/>
        <w:keepLines w:val="0"/>
        <w:pageBreakBefore w:val="0"/>
        <w:widowControl/>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bookmarkStart w:id="0" w:name="_Toc6055"/>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第一章</w:t>
      </w:r>
      <w:r>
        <w:rPr>
          <w:rFonts w:hint="eastAsia" w:asciiTheme="minorEastAsia" w:hAnsiTheme="minorEastAsia" w:cstheme="minorEastAsia"/>
          <w:b/>
          <w:color w:val="000000" w:themeColor="text1"/>
          <w:sz w:val="28"/>
          <w:szCs w:val="28"/>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投标邀请</w:t>
      </w:r>
      <w:bookmarkEnd w:id="0"/>
    </w:p>
    <w:p w14:paraId="152FE80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受</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阳江市阳东区合山镇第二小学</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的委托，采用公开招标方式组织采购</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阳江市阳东区合山镇第二小学食堂食材配送服务项目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。欢迎符合资格条件的国内供应商参加投标。</w:t>
      </w:r>
    </w:p>
    <w:p w14:paraId="75D5FF0D">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一.项目概述</w:t>
      </w:r>
    </w:p>
    <w:p w14:paraId="29DC24EE">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1.名称与编号</w:t>
      </w:r>
    </w:p>
    <w:p w14:paraId="4F7D286E">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项目名称：</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阳江市阳东区合山镇第二小学食堂食材配送服务项目</w:t>
      </w:r>
    </w:p>
    <w:p w14:paraId="1409E65B">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采购项目编号：</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YXCG-20260711</w:t>
      </w:r>
    </w:p>
    <w:p w14:paraId="704EAF9D">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采购方式：公开招标</w:t>
      </w:r>
    </w:p>
    <w:p w14:paraId="49F393C4">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预算金额：</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1620000.00</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元。</w:t>
      </w:r>
    </w:p>
    <w:p w14:paraId="2D029601">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2.项目内容及需求情况（采购项目技术规格、参数及要求）</w:t>
      </w:r>
    </w:p>
    <w:p w14:paraId="36368941">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w:t>
      </w:r>
      <w:r>
        <w:rPr>
          <w:rFonts w:hint="eastAsia"/>
          <w:color w:val="000000" w:themeColor="text1"/>
          <w:sz w:val="21"/>
          <w:szCs w:val="21"/>
          <w:highlight w:val="none"/>
          <w:lang w:val="en-US" w:eastAsia="zh-CN"/>
          <w14:textFill>
            <w14:solidFill>
              <w14:schemeClr w14:val="tx1"/>
            </w14:solidFill>
          </w14:textFill>
        </w:rPr>
        <w:t>阳江市阳东区合山镇第二小学食堂食材配送服务项目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19070426">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采购包预算金额：</w:t>
      </w:r>
      <w:r>
        <w:rPr>
          <w:rFonts w:hint="eastAsia" w:ascii="宋体" w:hAnsi="宋体" w:cs="宋体"/>
          <w:b w:val="0"/>
          <w:bCs w:val="0"/>
          <w:color w:val="000000" w:themeColor="text1"/>
          <w:kern w:val="0"/>
          <w:sz w:val="21"/>
          <w:szCs w:val="21"/>
          <w:highlight w:val="none"/>
          <w:lang w:val="en-US" w:eastAsia="zh-CN"/>
          <w14:textFill>
            <w14:solidFill>
              <w14:schemeClr w14:val="tx1"/>
            </w14:solidFill>
          </w14:textFill>
        </w:rPr>
        <w:t>1620000.00</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元。</w:t>
      </w:r>
    </w:p>
    <w:tbl>
      <w:tblPr>
        <w:tblStyle w:val="16"/>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66"/>
        <w:gridCol w:w="1234"/>
        <w:gridCol w:w="2983"/>
        <w:gridCol w:w="1296"/>
        <w:gridCol w:w="1296"/>
        <w:gridCol w:w="1296"/>
      </w:tblGrid>
      <w:tr w14:paraId="421197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66" w:type="dxa"/>
            <w:vAlign w:val="center"/>
          </w:tcPr>
          <w:p w14:paraId="7FF0A711">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品目号</w:t>
            </w:r>
          </w:p>
        </w:tc>
        <w:tc>
          <w:tcPr>
            <w:tcW w:w="1234" w:type="dxa"/>
            <w:vAlign w:val="center"/>
          </w:tcPr>
          <w:p w14:paraId="3BFEAC3B">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品目名称</w:t>
            </w:r>
          </w:p>
        </w:tc>
        <w:tc>
          <w:tcPr>
            <w:tcW w:w="2983" w:type="dxa"/>
            <w:vAlign w:val="center"/>
          </w:tcPr>
          <w:p w14:paraId="762C3C92">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采购标的</w:t>
            </w:r>
          </w:p>
        </w:tc>
        <w:tc>
          <w:tcPr>
            <w:tcW w:w="1296" w:type="dxa"/>
            <w:vAlign w:val="center"/>
          </w:tcPr>
          <w:p w14:paraId="1170525C">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数量（单位）</w:t>
            </w:r>
          </w:p>
        </w:tc>
        <w:tc>
          <w:tcPr>
            <w:tcW w:w="1296" w:type="dxa"/>
            <w:vAlign w:val="center"/>
          </w:tcPr>
          <w:p w14:paraId="2F3E3B03">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技术规格、参数及要求</w:t>
            </w:r>
          </w:p>
        </w:tc>
        <w:tc>
          <w:tcPr>
            <w:tcW w:w="1296" w:type="dxa"/>
            <w:vAlign w:val="center"/>
          </w:tcPr>
          <w:p w14:paraId="306DCC2B">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是否允许进口产品</w:t>
            </w:r>
          </w:p>
        </w:tc>
      </w:tr>
      <w:tr w14:paraId="0FC603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66" w:type="dxa"/>
            <w:vAlign w:val="center"/>
          </w:tcPr>
          <w:p w14:paraId="46DDC788">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1-1</w:t>
            </w:r>
          </w:p>
        </w:tc>
        <w:tc>
          <w:tcPr>
            <w:tcW w:w="1234" w:type="dxa"/>
            <w:vAlign w:val="center"/>
          </w:tcPr>
          <w:p w14:paraId="637D7D40">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color w:val="000000" w:themeColor="text1"/>
                <w:sz w:val="21"/>
                <w:szCs w:val="21"/>
                <w:highlight w:val="none"/>
                <w14:textFill>
                  <w14:solidFill>
                    <w14:schemeClr w14:val="tx1"/>
                  </w14:solidFill>
                </w14:textFill>
              </w:rPr>
              <w:t>其他服务</w:t>
            </w:r>
          </w:p>
        </w:tc>
        <w:tc>
          <w:tcPr>
            <w:tcW w:w="2983" w:type="dxa"/>
            <w:vAlign w:val="center"/>
          </w:tcPr>
          <w:p w14:paraId="7087E2E0">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阳江市阳东区合山镇第二小学食堂食材配送服务项目</w:t>
            </w:r>
          </w:p>
        </w:tc>
        <w:tc>
          <w:tcPr>
            <w:tcW w:w="1296" w:type="dxa"/>
            <w:vAlign w:val="center"/>
          </w:tcPr>
          <w:p w14:paraId="1DB0D46A">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项</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tc>
        <w:tc>
          <w:tcPr>
            <w:tcW w:w="1296" w:type="dxa"/>
            <w:vAlign w:val="center"/>
          </w:tcPr>
          <w:p w14:paraId="4C8E9459">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详见第二章</w:t>
            </w:r>
          </w:p>
        </w:tc>
        <w:tc>
          <w:tcPr>
            <w:tcW w:w="1296" w:type="dxa"/>
            <w:vAlign w:val="center"/>
          </w:tcPr>
          <w:p w14:paraId="5C1E65E1">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否</w:t>
            </w:r>
          </w:p>
        </w:tc>
      </w:tr>
    </w:tbl>
    <w:p w14:paraId="7483E6FC">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p>
    <w:p w14:paraId="65109642">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合同分包：不允许合同分包</w:t>
      </w:r>
    </w:p>
    <w:p w14:paraId="0E74A9C2">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合同履行期限：</w:t>
      </w: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2026年9月1日至2027年8月30日。</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（超出该服务期作无效投标处理）</w:t>
      </w:r>
    </w:p>
    <w:p w14:paraId="38EB562C">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二.投标人的资格要求</w:t>
      </w:r>
    </w:p>
    <w:p w14:paraId="24E94B23">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1.投标人应具备《中华人民共和国政府采购法》第二十二条规定的条件，提供下列材料：</w:t>
      </w:r>
    </w:p>
    <w:p w14:paraId="271A913D">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1）具有独立承担民事责任的能力：在中华人民共和国境内注册的法人或其他组织或自然人， 投</w:t>
      </w:r>
    </w:p>
    <w:p w14:paraId="7462F864">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标（响应）时提交有效的营业执照（或事业法人登记证或身份证等相关证明） 副本复印件。分支机构投标的，须提供总公司和分公司营业执照副本复印件，总公司出具给分支机构的授权书。</w:t>
      </w:r>
    </w:p>
    <w:p w14:paraId="75FFFAA8">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lang w:val="en-US" w:eastAsia="zh-CN"/>
          <w14:textFill>
            <w14:solidFill>
              <w14:schemeClr w14:val="tx1"/>
            </w14:solidFill>
          </w14:textFill>
        </w:rPr>
        <w:t>2）</w:t>
      </w: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有依法缴纳税收和社会保障资金的良好记录：提供投标截止日前6个月内任意1个月依法缴</w:t>
      </w:r>
    </w:p>
    <w:p w14:paraId="3F51D827">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纳税收和社会保障资金的相关材料或出具《承诺函》。如依法免税或不需要缴纳社会保障资金的，提供相应证明材料。</w:t>
      </w:r>
    </w:p>
    <w:p w14:paraId="7190A8B1">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具有良好的商业信誉和健全的财务会计制度：投标人必须具有良好的商业信誉和健全的财务</w:t>
      </w:r>
    </w:p>
    <w:p w14:paraId="02F9CBCE">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会计制度（提供202</w:t>
      </w:r>
      <w:r>
        <w:rPr>
          <w:rFonts w:hint="eastAsia" w:asciiTheme="minorEastAsia" w:hAnsiTheme="minorEastAsia" w:eastAsiaTheme="minorEastAsia" w:cstheme="minorEastAsia"/>
          <w:b w:val="0"/>
          <w:bCs/>
          <w:color w:val="000000" w:themeColor="text1"/>
          <w:sz w:val="21"/>
          <w:szCs w:val="21"/>
          <w:highlight w:val="none"/>
          <w:lang w:val="en-US" w:eastAsia="zh-CN"/>
          <w14:textFill>
            <w14:solidFill>
              <w14:schemeClr w14:val="tx1"/>
            </w14:solidFill>
          </w14:textFill>
        </w:rPr>
        <w:t>5</w:t>
      </w: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年度财务状况报告或202</w:t>
      </w:r>
      <w:r>
        <w:rPr>
          <w:rFonts w:hint="eastAsia" w:asciiTheme="minorEastAsia" w:hAnsiTheme="minorEastAsia" w:eastAsiaTheme="minorEastAsia" w:cstheme="minorEastAsia"/>
          <w:b w:val="0"/>
          <w:bCs/>
          <w:color w:val="000000" w:themeColor="text1"/>
          <w:sz w:val="21"/>
          <w:szCs w:val="21"/>
          <w:highlight w:val="none"/>
          <w:lang w:val="en-US" w:eastAsia="zh-CN"/>
          <w14:textFill>
            <w14:solidFill>
              <w14:schemeClr w14:val="tx1"/>
            </w14:solidFill>
          </w14:textFill>
        </w:rPr>
        <w:t>6</w:t>
      </w: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年至今任意一个月的财务报表或基本开户行出具的资信证明或出具《承诺函》）。</w:t>
      </w:r>
    </w:p>
    <w:p w14:paraId="282AA8B8">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4）履行合同所必需的设备和专业技术能力：</w:t>
      </w:r>
      <w:r>
        <w:rPr>
          <w:rFonts w:hint="eastAsia" w:asciiTheme="minorEastAsia" w:hAnsiTheme="minorEastAsia" w:eastAsiaTheme="minorEastAsia" w:cstheme="minorEastAsia"/>
          <w:b w:val="0"/>
          <w:bCs/>
          <w:color w:val="000000" w:themeColor="text1"/>
          <w:sz w:val="21"/>
          <w:szCs w:val="21"/>
          <w:highlight w:val="none"/>
          <w:lang w:val="en-US" w:eastAsia="zh-CN"/>
          <w14:textFill>
            <w14:solidFill>
              <w14:schemeClr w14:val="tx1"/>
            </w14:solidFill>
          </w14:textFill>
        </w:rPr>
        <w:t>提供</w:t>
      </w: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设备及专业技术能力情况或出具《承诺函》。</w:t>
      </w:r>
    </w:p>
    <w:p w14:paraId="5F143DCA">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5）参加采购活动前3年内，在经营活动中没有重大违法记录：</w:t>
      </w:r>
      <w:r>
        <w:rPr>
          <w:rFonts w:hint="eastAsia" w:asciiTheme="minorEastAsia" w:hAnsiTheme="minorEastAsia" w:eastAsiaTheme="minorEastAsia" w:cstheme="minorEastAsia"/>
          <w:b w:val="0"/>
          <w:bCs/>
          <w:color w:val="000000" w:themeColor="text1"/>
          <w:sz w:val="21"/>
          <w:szCs w:val="21"/>
          <w:highlight w:val="none"/>
          <w:lang w:val="en-US" w:eastAsia="zh-CN"/>
          <w14:textFill>
            <w14:solidFill>
              <w14:schemeClr w14:val="tx1"/>
            </w14:solidFill>
          </w14:textFill>
        </w:rPr>
        <w:t>提供</w:t>
      </w:r>
      <w:r>
        <w:rPr>
          <w:rFonts w:hint="eastAsia" w:asciiTheme="minorEastAsia" w:hAnsiTheme="minorEastAsia" w:eastAsiaTheme="minorEastAsia" w:cstheme="minorEastAsia"/>
          <w:b w:val="0"/>
          <w:bCs/>
          <w:color w:val="000000" w:themeColor="text1"/>
          <w:sz w:val="21"/>
          <w:szCs w:val="21"/>
          <w:highlight w:val="none"/>
          <w14:textFill>
            <w14:solidFill>
              <w14:schemeClr w14:val="tx1"/>
            </w14:solidFill>
          </w14:textFill>
        </w:rPr>
        <w:t>《承诺函》。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11011585">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2.落实政府采购政策需满足的资格要求：</w:t>
      </w:r>
    </w:p>
    <w:p w14:paraId="3EFC7425">
      <w:pPr>
        <w:pStyle w:val="19"/>
        <w:keepNext w:val="0"/>
        <w:keepLines w:val="0"/>
        <w:pageBreakBefore w:val="0"/>
        <w:kinsoku/>
        <w:wordWrap/>
        <w:overflowPunct/>
        <w:topLinePunct w:val="0"/>
        <w:autoSpaceDE/>
        <w:autoSpaceDN/>
        <w:bidi w:val="0"/>
        <w:adjustRightInd/>
        <w:snapToGrid/>
        <w:spacing w:line="360" w:lineRule="auto"/>
        <w:jc w:val="left"/>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采购包1(阳江市阳东区合山镇第二小学食堂食材配送服务项目)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：本项目整体专门面向中小企业采购。</w:t>
      </w:r>
    </w:p>
    <w:p w14:paraId="099BCB7A">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3.本项目特定的资格要求：</w:t>
      </w:r>
    </w:p>
    <w:p w14:paraId="3898C1BB">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采购包1(阳江市阳东区合山镇第二小学食堂食材配送服务项目)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2F1125E4">
      <w:pPr>
        <w:pStyle w:val="19"/>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1)</w:t>
      </w:r>
      <w:r>
        <w:rPr>
          <w:rFonts w:asciiTheme="minorEastAsia" w:hAnsiTheme="minorEastAsia" w:cstheme="minorEastAsia"/>
          <w:color w:val="000000" w:themeColor="text1"/>
          <w:sz w:val="21"/>
          <w:szCs w:val="21"/>
          <w:highlight w:val="none"/>
          <w:lang w:eastAsia="zh-CN"/>
          <w14:textFill>
            <w14:solidFill>
              <w14:schemeClr w14:val="tx1"/>
            </w14:solidFill>
          </w14:textFill>
        </w:rPr>
        <w:t>投标人</w:t>
      </w:r>
      <w:r>
        <w:rPr>
          <w:rFonts w:asciiTheme="minorEastAsia" w:hAnsiTheme="minorEastAsia" w:cstheme="minorEastAsia"/>
          <w:color w:val="000000" w:themeColor="text1"/>
          <w:sz w:val="21"/>
          <w:szCs w:val="21"/>
          <w:highlight w:val="none"/>
          <w14:textFill>
            <w14:solidFill>
              <w14:schemeClr w14:val="tx1"/>
            </w14:solidFill>
          </w14:textFill>
        </w:rPr>
        <w:t>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14:paraId="36AEEFED">
      <w:pPr>
        <w:pStyle w:val="19"/>
        <w:spacing w:line="360" w:lineRule="auto"/>
        <w:rPr>
          <w:rFonts w:hint="default" w:asciiTheme="minorEastAsia" w:hAnsiTheme="minorEastAsia" w:cstheme="minorEastAsia"/>
          <w:color w:val="000000" w:themeColor="text1"/>
          <w:sz w:val="21"/>
          <w:szCs w:val="21"/>
          <w:highlight w:val="none"/>
          <w14:textFill>
            <w14:solidFill>
              <w14:schemeClr w14:val="tx1"/>
            </w14:solidFill>
          </w14:textFill>
        </w:rPr>
      </w:pPr>
      <w:r>
        <w:rPr>
          <w:rFonts w:asciiTheme="minorEastAsia" w:hAnsiTheme="minorEastAsia" w:cstheme="minorEastAsia"/>
          <w:color w:val="000000" w:themeColor="text1"/>
          <w:sz w:val="21"/>
          <w:szCs w:val="21"/>
          <w:highlight w:val="none"/>
          <w14:textFill>
            <w14:solidFill>
              <w14:schemeClr w14:val="tx1"/>
            </w14:solidFill>
          </w14:textFill>
        </w:rPr>
        <w:t>2)单位负责人为同一人或者存在直接控股、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p w14:paraId="519F2DCD">
      <w:pPr>
        <w:widowControl/>
        <w:adjustRightInd w:val="0"/>
        <w:snapToGrid w:val="0"/>
        <w:spacing w:line="360" w:lineRule="auto"/>
        <w:rPr>
          <w:rFonts w:ascii="宋体" w:hAnsi="宋体"/>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3</w:t>
      </w:r>
      <w:r>
        <w:rPr>
          <w:rFonts w:hint="eastAsia" w:asciiTheme="minorEastAsia" w:hAnsiTheme="minorEastAsia" w:cstheme="minorEastAsia"/>
          <w:color w:val="000000" w:themeColor="text1"/>
          <w:szCs w:val="21"/>
          <w:highlight w:val="none"/>
          <w14:textFill>
            <w14:solidFill>
              <w14:schemeClr w14:val="tx1"/>
            </w14:solidFill>
          </w14:textFill>
        </w:rPr>
        <w:t>）</w:t>
      </w:r>
      <w:r>
        <w:rPr>
          <w:rFonts w:hint="eastAsia" w:ascii="宋体" w:hAnsi="宋体"/>
          <w:color w:val="000000" w:themeColor="text1"/>
          <w:highlight w:val="none"/>
          <w14:textFill>
            <w14:solidFill>
              <w14:schemeClr w14:val="tx1"/>
            </w14:solidFill>
          </w14:textFill>
        </w:rPr>
        <w:t>投标人须具有在有效期内的《食品经营许可证》，提供复印件加盖投标人公章；</w:t>
      </w:r>
    </w:p>
    <w:p w14:paraId="596D2069">
      <w:pPr>
        <w:widowControl/>
        <w:adjustRightInd w:val="0"/>
        <w:snapToGrid w:val="0"/>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4）经营场所、仓库距离粪坑、污水池、暴露垃圾场（站）、旱厕等污染源25米以上，不得设置在粉尘、有害气体、放射性物质和其他扩散性污染源的影响范围之内。（提供承诺函，格式自拟）</w:t>
      </w:r>
    </w:p>
    <w:p w14:paraId="744A6460">
      <w:pPr>
        <w:widowControl/>
        <w:adjustRightInd w:val="0"/>
        <w:snapToGrid w:val="0"/>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5）建立良好的食品安全管理体系，建立食品安全管理架构和相关食品安全管理制度，建立“日管控、周排查、月调度”食品安全自查制度，食品采购、贮存、加工、运输符合相关法律法规要求。（提供承诺函，格式自拟）</w:t>
      </w:r>
    </w:p>
    <w:p w14:paraId="4C34DA7E">
      <w:pPr>
        <w:widowControl/>
        <w:adjustRightInd w:val="0"/>
        <w:snapToGrid w:val="0"/>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6）建有监控系统，能够保存15天或以上的食品贮存、加工过程视频监控。（提供承诺函，格式自拟）</w:t>
      </w:r>
    </w:p>
    <w:p w14:paraId="7E0C7FEE">
      <w:pPr>
        <w:widowControl/>
        <w:adjustRightInd w:val="0"/>
        <w:snapToGrid w:val="0"/>
        <w:spacing w:line="360" w:lineRule="auto"/>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7）本项目不接受联合体投标。</w:t>
      </w:r>
    </w:p>
    <w:p w14:paraId="5B15D369">
      <w:pPr>
        <w:pStyle w:val="19"/>
        <w:spacing w:line="360" w:lineRule="auto"/>
        <w:rPr>
          <w:rFonts w:hint="default" w:asciiTheme="minorEastAsia" w:hAnsiTheme="minorEastAsia" w:cstheme="minorEastAsia"/>
          <w:color w:val="000000" w:themeColor="text1"/>
          <w:sz w:val="21"/>
          <w:szCs w:val="21"/>
          <w:highlight w:val="none"/>
          <w:lang w:eastAsia="zh-CN"/>
          <w14:textFill>
            <w14:solidFill>
              <w14:schemeClr w14:val="tx1"/>
            </w14:solidFill>
          </w14:textFill>
        </w:rPr>
      </w:pPr>
      <w:r>
        <w:rPr>
          <w:rFonts w:ascii="宋体" w:hAnsi="宋体"/>
          <w:color w:val="000000" w:themeColor="text1"/>
          <w:highlight w:val="none"/>
          <w:lang w:eastAsia="zh-CN"/>
          <w14:textFill>
            <w14:solidFill>
              <w14:schemeClr w14:val="tx1"/>
            </w14:solidFill>
          </w14:textFill>
        </w:rPr>
        <w:t>8）</w:t>
      </w:r>
      <w:r>
        <w:rPr>
          <w:rFonts w:ascii="宋体" w:hAnsi="宋体"/>
          <w:color w:val="000000" w:themeColor="text1"/>
          <w:highlight w:val="none"/>
          <w14:textFill>
            <w14:solidFill>
              <w14:schemeClr w14:val="tx1"/>
            </w14:solidFill>
          </w14:textFill>
        </w:rPr>
        <w:t>投标人须在采购代理机构登记并购买</w:t>
      </w:r>
      <w:r>
        <w:rPr>
          <w:rFonts w:ascii="宋体" w:hAnsi="宋体"/>
          <w:color w:val="000000" w:themeColor="text1"/>
          <w:highlight w:val="none"/>
          <w:lang w:eastAsia="zh-CN"/>
          <w14:textFill>
            <w14:solidFill>
              <w14:schemeClr w14:val="tx1"/>
            </w14:solidFill>
          </w14:textFill>
        </w:rPr>
        <w:t>招标</w:t>
      </w:r>
      <w:r>
        <w:rPr>
          <w:rFonts w:ascii="宋体" w:hAnsi="宋体"/>
          <w:color w:val="000000" w:themeColor="text1"/>
          <w:highlight w:val="none"/>
          <w14:textFill>
            <w14:solidFill>
              <w14:schemeClr w14:val="tx1"/>
            </w14:solidFill>
          </w14:textFill>
        </w:rPr>
        <w:t>文件。</w:t>
      </w:r>
    </w:p>
    <w:p w14:paraId="607921E9">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三.购买招标文件的时间、地点、方式及招标文件售价</w:t>
      </w:r>
    </w:p>
    <w:p w14:paraId="663ECCF8">
      <w:pPr>
        <w:keepNext w:val="0"/>
        <w:keepLines w:val="0"/>
        <w:pageBreakBefore w:val="0"/>
        <w:widowControl/>
        <w:tabs>
          <w:tab w:val="left" w:pos="735"/>
        </w:tabs>
        <w:kinsoku/>
        <w:wordWrap/>
        <w:overflowPunct/>
        <w:topLinePunct w:val="0"/>
        <w:autoSpaceDE/>
        <w:autoSpaceDN/>
        <w:bidi w:val="0"/>
        <w:adjustRightInd w:val="0"/>
        <w:snapToGrid w:val="0"/>
        <w:spacing w:line="360" w:lineRule="auto"/>
        <w:ind w:left="315" w:hanging="315" w:hangingChars="150"/>
        <w:textAlignment w:val="auto"/>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1.购买招标文件</w:t>
      </w:r>
      <w:r>
        <w:rPr>
          <w:rFonts w:hint="eastAsia" w:ascii="宋体" w:hAnsi="宋体" w:eastAsia="宋体" w:cs="宋体"/>
          <w:bCs/>
          <w:color w:val="000000" w:themeColor="text1"/>
          <w:highlight w:val="none"/>
          <w14:textFill>
            <w14:solidFill>
              <w14:schemeClr w14:val="tx1"/>
            </w14:solidFill>
          </w14:textFill>
        </w:rPr>
        <w:t>时间：</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2026年7月14日</w:t>
      </w:r>
      <w:r>
        <w:rPr>
          <w:rFonts w:hint="eastAsia" w:ascii="宋体" w:hAnsi="宋体" w:eastAsia="宋体" w:cs="宋体"/>
          <w:color w:val="000000" w:themeColor="text1"/>
          <w:szCs w:val="21"/>
          <w:highlight w:val="none"/>
          <w14:textFill>
            <w14:solidFill>
              <w14:schemeClr w14:val="tx1"/>
            </w14:solidFill>
          </w14:textFill>
        </w:rPr>
        <w:t xml:space="preserve">至 </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2026年7月</w:t>
      </w:r>
      <w:r>
        <w:rPr>
          <w:rFonts w:hint="eastAsia" w:ascii="宋体" w:hAnsi="宋体" w:cs="宋体"/>
          <w:color w:val="000000" w:themeColor="text1"/>
          <w:kern w:val="2"/>
          <w:sz w:val="21"/>
          <w:szCs w:val="24"/>
          <w:highlight w:val="none"/>
          <w:lang w:val="en-US" w:eastAsia="zh-CN" w:bidi="ar-SA"/>
          <w14:textFill>
            <w14:solidFill>
              <w14:schemeClr w14:val="tx1"/>
            </w14:solidFill>
          </w14:textFill>
        </w:rPr>
        <w:t>28</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日</w:t>
      </w:r>
      <w:r>
        <w:rPr>
          <w:rFonts w:hint="eastAsia" w:ascii="宋体" w:hAnsi="宋体" w:eastAsia="宋体" w:cs="宋体"/>
          <w:bCs/>
          <w:color w:val="000000" w:themeColor="text1"/>
          <w:highlight w:val="none"/>
          <w14:textFill>
            <w14:solidFill>
              <w14:schemeClr w14:val="tx1"/>
            </w14:solidFill>
          </w14:textFill>
        </w:rPr>
        <w:t>，上午9:00～12:00，下午2:30～5:30（节假日除外）（北</w:t>
      </w:r>
      <w:r>
        <w:rPr>
          <w:rFonts w:hint="eastAsia" w:ascii="宋体" w:hAnsi="宋体" w:eastAsia="宋体" w:cs="宋体"/>
          <w:color w:val="000000" w:themeColor="text1"/>
          <w:highlight w:val="none"/>
          <w14:textFill>
            <w14:solidFill>
              <w14:schemeClr w14:val="tx1"/>
            </w14:solidFill>
          </w14:textFill>
        </w:rPr>
        <w:t>京时间）。</w:t>
      </w:r>
    </w:p>
    <w:p w14:paraId="212D1108">
      <w:pPr>
        <w:keepNext w:val="0"/>
        <w:keepLines w:val="0"/>
        <w:pageBreakBefore w:val="0"/>
        <w:widowControl/>
        <w:tabs>
          <w:tab w:val="left" w:pos="735"/>
        </w:tabs>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2.购买招标文件地点：阳江市江城区猫山四街33号A座2楼</w:t>
      </w:r>
      <w:r>
        <w:rPr>
          <w:rFonts w:hint="eastAsia" w:ascii="宋体" w:hAnsi="宋体" w:eastAsia="宋体" w:cs="宋体"/>
          <w:color w:val="000000" w:themeColor="text1"/>
          <w:szCs w:val="21"/>
          <w:highlight w:val="none"/>
          <w14:textFill>
            <w14:solidFill>
              <w14:schemeClr w14:val="tx1"/>
            </w14:solidFill>
          </w14:textFill>
        </w:rPr>
        <w:t>205室。</w:t>
      </w:r>
    </w:p>
    <w:p w14:paraId="42836859">
      <w:pPr>
        <w:keepNext w:val="0"/>
        <w:keepLines w:val="0"/>
        <w:pageBreakBefore w:val="0"/>
        <w:widowControl/>
        <w:tabs>
          <w:tab w:val="left" w:pos="735"/>
        </w:tabs>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 xml:space="preserve">  3.招标文件售价：</w:t>
      </w:r>
      <w:r>
        <w:rPr>
          <w:rFonts w:hint="eastAsia" w:ascii="宋体" w:hAnsi="宋体" w:eastAsia="宋体" w:cs="宋体"/>
          <w:bCs/>
          <w:color w:val="000000" w:themeColor="text1"/>
          <w:szCs w:val="21"/>
          <w:highlight w:val="none"/>
          <w14:textFill>
            <w14:solidFill>
              <w14:schemeClr w14:val="tx1"/>
            </w14:solidFill>
          </w14:textFill>
        </w:rPr>
        <w:t>招标文件每套人民币500元，售后不退</w:t>
      </w:r>
      <w:r>
        <w:rPr>
          <w:rFonts w:hint="eastAsia" w:ascii="宋体" w:hAnsi="宋体" w:eastAsia="宋体" w:cs="宋体"/>
          <w:bCs/>
          <w:color w:val="000000" w:themeColor="text1"/>
          <w:highlight w:val="none"/>
          <w14:textFill>
            <w14:solidFill>
              <w14:schemeClr w14:val="tx1"/>
            </w14:solidFill>
          </w14:textFill>
        </w:rPr>
        <w:t>。</w:t>
      </w:r>
    </w:p>
    <w:p w14:paraId="026162ED">
      <w:pPr>
        <w:keepNext w:val="0"/>
        <w:keepLines w:val="0"/>
        <w:pageBreakBefore w:val="0"/>
        <w:widowControl/>
        <w:tabs>
          <w:tab w:val="left" w:pos="735"/>
        </w:tabs>
        <w:kinsoku/>
        <w:wordWrap/>
        <w:overflowPunct/>
        <w:topLinePunct w:val="0"/>
        <w:autoSpaceDE/>
        <w:autoSpaceDN/>
        <w:bidi w:val="0"/>
        <w:adjustRightInd w:val="0"/>
        <w:snapToGrid w:val="0"/>
        <w:spacing w:line="360" w:lineRule="auto"/>
        <w:ind w:left="420" w:leftChars="100" w:hanging="210" w:hangingChars="100"/>
        <w:textAlignment w:val="auto"/>
        <w:outlineLvl w:val="9"/>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bCs/>
          <w:color w:val="000000" w:themeColor="text1"/>
          <w:highlight w:val="none"/>
          <w14:textFill>
            <w14:solidFill>
              <w14:schemeClr w14:val="tx1"/>
            </w14:solidFill>
          </w14:textFill>
        </w:rPr>
        <w:t>4.招标文件获取方式：现场发售。</w:t>
      </w:r>
    </w:p>
    <w:p w14:paraId="34AEE131">
      <w:pPr>
        <w:keepNext w:val="0"/>
        <w:keepLines w:val="0"/>
        <w:pageBreakBefore w:val="0"/>
        <w:widowControl/>
        <w:tabs>
          <w:tab w:val="left" w:pos="735"/>
        </w:tabs>
        <w:kinsoku/>
        <w:wordWrap/>
        <w:overflowPunct/>
        <w:topLinePunct w:val="0"/>
        <w:autoSpaceDE/>
        <w:autoSpaceDN/>
        <w:bidi w:val="0"/>
        <w:adjustRightInd w:val="0"/>
        <w:snapToGrid w:val="0"/>
        <w:spacing w:line="360" w:lineRule="auto"/>
        <w:ind w:left="420" w:leftChars="100" w:hanging="210" w:hangingChars="100"/>
        <w:textAlignment w:val="auto"/>
        <w:outlineLvl w:val="9"/>
        <w:rPr>
          <w:rFonts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5.</w:t>
      </w:r>
      <w:r>
        <w:rPr>
          <w:rFonts w:hint="eastAsia" w:ascii="宋体" w:hAnsi="宋体"/>
          <w:bCs/>
          <w:color w:val="000000" w:themeColor="text1"/>
          <w:szCs w:val="21"/>
          <w:highlight w:val="none"/>
          <w14:textFill>
            <w14:solidFill>
              <w14:schemeClr w14:val="tx1"/>
            </w14:solidFill>
          </w14:textFill>
        </w:rPr>
        <w:t>购买招标文件必须携带:</w:t>
      </w:r>
    </w:p>
    <w:p w14:paraId="22440D6C">
      <w:pPr>
        <w:keepNext w:val="0"/>
        <w:keepLines w:val="0"/>
        <w:pageBreakBefore w:val="0"/>
        <w:widowControl/>
        <w:tabs>
          <w:tab w:val="left" w:pos="735"/>
        </w:tabs>
        <w:kinsoku/>
        <w:wordWrap/>
        <w:overflowPunct/>
        <w:topLinePunct w:val="0"/>
        <w:autoSpaceDE/>
        <w:autoSpaceDN/>
        <w:bidi w:val="0"/>
        <w:adjustRightInd w:val="0"/>
        <w:snapToGrid w:val="0"/>
        <w:spacing w:line="360" w:lineRule="auto"/>
        <w:ind w:left="659" w:leftChars="164" w:hanging="315" w:hangingChars="150"/>
        <w:textAlignment w:val="auto"/>
        <w:outlineLvl w:val="9"/>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1）法定代表人（负责人）证明书原件、法定代表人（负责人）授权委托书原件、法定代表人（负责人）身份证复印件、授权委托人身份证复印件、营业执照复印件和相关资质证书复印件及《购买标书登记表》加盖投标人公章到指定地址购买。</w:t>
      </w:r>
      <w:r>
        <w:rPr>
          <w:rFonts w:hint="eastAsia"/>
          <w:b/>
          <w:bCs/>
          <w:color w:val="000000" w:themeColor="text1"/>
          <w:highlight w:val="none"/>
          <w14:textFill>
            <w14:solidFill>
              <w14:schemeClr w14:val="tx1"/>
            </w14:solidFill>
          </w14:textFill>
        </w:rPr>
        <w:t>报名时投标单位的资料与以上报名条件不符合、不齐全、复印件不清晰或未盖投标人公章的将不予受理</w:t>
      </w:r>
      <w:r>
        <w:rPr>
          <w:rFonts w:hint="eastAsia" w:ascii="宋体" w:hAnsi="宋体"/>
          <w:bCs/>
          <w:color w:val="000000" w:themeColor="text1"/>
          <w:highlight w:val="none"/>
          <w14:textFill>
            <w14:solidFill>
              <w14:schemeClr w14:val="tx1"/>
            </w14:solidFill>
          </w14:textFill>
        </w:rPr>
        <w:t>。</w:t>
      </w:r>
    </w:p>
    <w:p w14:paraId="79F23F04">
      <w:pPr>
        <w:keepNext w:val="0"/>
        <w:keepLines w:val="0"/>
        <w:pageBreakBefore w:val="0"/>
        <w:widowControl/>
        <w:tabs>
          <w:tab w:val="left" w:pos="735"/>
        </w:tabs>
        <w:kinsoku/>
        <w:wordWrap/>
        <w:overflowPunct/>
        <w:topLinePunct w:val="0"/>
        <w:autoSpaceDE/>
        <w:autoSpaceDN/>
        <w:bidi w:val="0"/>
        <w:adjustRightInd w:val="0"/>
        <w:snapToGrid w:val="0"/>
        <w:spacing w:line="360" w:lineRule="auto"/>
        <w:ind w:left="660" w:leftChars="164" w:hanging="316" w:hangingChars="150"/>
        <w:textAlignment w:val="auto"/>
        <w:outlineLvl w:val="9"/>
        <w:rPr>
          <w:rFonts w:ascii="宋体" w:hAnsi="宋体" w:cs="Arial"/>
          <w:b/>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2）</w:t>
      </w:r>
      <w:r>
        <w:rPr>
          <w:rFonts w:hint="eastAsia" w:ascii="宋体" w:hAnsi="宋体"/>
          <w:b w:val="0"/>
          <w:bCs w:val="0"/>
          <w:color w:val="000000" w:themeColor="text1"/>
          <w:highlight w:val="none"/>
          <w14:textFill>
            <w14:solidFill>
              <w14:schemeClr w14:val="tx1"/>
            </w14:solidFill>
          </w14:textFill>
        </w:rPr>
        <w:t>供应商须提供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的</w:t>
      </w:r>
      <w:r>
        <w:rPr>
          <w:rFonts w:hint="eastAsia" w:ascii="宋体" w:hAnsi="宋体"/>
          <w:b/>
          <w:bCs/>
          <w:color w:val="000000" w:themeColor="text1"/>
          <w:highlight w:val="none"/>
          <w14:textFill>
            <w14:solidFill>
              <w14:schemeClr w14:val="tx1"/>
            </w14:solidFill>
          </w14:textFill>
        </w:rPr>
        <w:t>截图。（证明文件须加盖投标人公章）（以采购代理机构或采购人查询结果为准，如相关失信记录已失效，供应商需提供相关证明资料）。</w:t>
      </w:r>
    </w:p>
    <w:p w14:paraId="1955268A">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四.</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招标</w:t>
      </w:r>
      <w:r>
        <w:rPr>
          <w:rFonts w:hint="eastAsia" w:ascii="宋体" w:hAnsi="宋体" w:eastAsia="宋体" w:cs="宋体"/>
          <w:b/>
          <w:color w:val="000000" w:themeColor="text1"/>
          <w:sz w:val="21"/>
          <w:szCs w:val="21"/>
          <w:highlight w:val="none"/>
          <w14:textFill>
            <w14:solidFill>
              <w14:schemeClr w14:val="tx1"/>
            </w14:solidFill>
          </w14:textFill>
        </w:rPr>
        <w:t>文件的公示</w:t>
      </w:r>
    </w:p>
    <w:p w14:paraId="36764E8F">
      <w:pPr>
        <w:keepNext w:val="0"/>
        <w:keepLines w:val="0"/>
        <w:pageBreakBefore w:val="0"/>
        <w:kinsoku/>
        <w:wordWrap/>
        <w:overflowPunct/>
        <w:topLinePunct w:val="0"/>
        <w:autoSpaceDE/>
        <w:autoSpaceDN/>
        <w:bidi w:val="0"/>
        <w:spacing w:line="360" w:lineRule="auto"/>
        <w:ind w:firstLine="210" w:firstLineChars="100"/>
        <w:textAlignment w:val="auto"/>
        <w:outlineLvl w:val="9"/>
        <w:rPr>
          <w:rFonts w:hint="eastAsia" w:ascii="宋体" w:hAnsi="宋体" w:eastAsia="宋体" w:cs="宋体"/>
          <w:bCs/>
          <w:color w:val="000000" w:themeColor="text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招标文件公示时</w:t>
      </w:r>
      <w:r>
        <w:rPr>
          <w:rFonts w:hint="eastAsia" w:ascii="宋体" w:hAnsi="宋体" w:eastAsia="宋体" w:cs="宋体"/>
          <w:bCs/>
          <w:color w:val="000000" w:themeColor="text1"/>
          <w:highlight w:val="none"/>
          <w14:textFill>
            <w14:solidFill>
              <w14:schemeClr w14:val="tx1"/>
            </w14:solidFill>
          </w14:textFill>
        </w:rPr>
        <w:t xml:space="preserve">间及下载：  </w:t>
      </w:r>
      <w:sdt>
        <w:sdtPr>
          <w:rPr>
            <w:rFonts w:hint="eastAsia" w:ascii="宋体" w:hAnsi="宋体" w:eastAsia="宋体" w:cs="宋体"/>
            <w:color w:val="000000" w:themeColor="text1"/>
            <w:highlight w:val="none"/>
            <w14:textFill>
              <w14:solidFill>
                <w14:schemeClr w14:val="tx1"/>
              </w14:solidFill>
            </w14:textFill>
          </w:rPr>
          <w:id w:val="785397802"/>
          <w:lock w:val="sdtLocked"/>
          <w:placeholder>
            <w:docPart w:val="{3e06b179-ff53-448b-b9eb-3ff6c55a5c19}"/>
          </w:placeholder>
          <w:date w:fullDate="2026-07-14T00:00:00Z">
            <w:dateFormat w:val="yyyy'年'M'月'd'日'"/>
            <w:lid w:val="zh-CN"/>
            <w:storeMappedDataAs w:val="datetime"/>
            <w:calendar w:val="gregorian"/>
          </w:date>
        </w:sdtPr>
        <w:sdtEndPr>
          <w:rPr>
            <w:rFonts w:hint="eastAsia" w:ascii="宋体" w:hAnsi="宋体" w:eastAsia="宋体" w:cs="宋体"/>
            <w:color w:val="000000" w:themeColor="text1"/>
            <w:highlight w:val="none"/>
            <w14:textFill>
              <w14:solidFill>
                <w14:schemeClr w14:val="tx1"/>
              </w14:solidFill>
            </w14:textFill>
          </w:rPr>
        </w:sdtEndPr>
        <w:sdtContent>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2026年7月14日</w:t>
          </w:r>
        </w:sdtContent>
      </w:sdt>
      <w:r>
        <w:rPr>
          <w:rFonts w:hint="eastAsia" w:ascii="宋体" w:hAnsi="宋体" w:eastAsia="宋体" w:cs="宋体"/>
          <w:color w:val="000000" w:themeColor="text1"/>
          <w:szCs w:val="21"/>
          <w:highlight w:val="none"/>
          <w14:textFill>
            <w14:solidFill>
              <w14:schemeClr w14:val="tx1"/>
            </w14:solidFill>
          </w14:textFill>
        </w:rPr>
        <w:t xml:space="preserve">至 </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2026年7月</w:t>
      </w:r>
      <w:r>
        <w:rPr>
          <w:rFonts w:hint="eastAsia" w:ascii="宋体" w:hAnsi="宋体" w:cs="宋体"/>
          <w:color w:val="000000" w:themeColor="text1"/>
          <w:kern w:val="2"/>
          <w:sz w:val="21"/>
          <w:szCs w:val="24"/>
          <w:highlight w:val="none"/>
          <w:lang w:val="en-US" w:eastAsia="zh-CN" w:bidi="ar-SA"/>
          <w14:textFill>
            <w14:solidFill>
              <w14:schemeClr w14:val="tx1"/>
            </w14:solidFill>
          </w14:textFill>
        </w:rPr>
        <w:t>28</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日</w:t>
      </w:r>
      <w:r>
        <w:rPr>
          <w:rFonts w:hint="eastAsia" w:ascii="宋体" w:hAnsi="宋体" w:eastAsia="宋体" w:cs="宋体"/>
          <w:bCs/>
          <w:color w:val="000000" w:themeColor="text1"/>
          <w:highlight w:val="none"/>
          <w14:textFill>
            <w14:solidFill>
              <w14:schemeClr w14:val="tx1"/>
            </w14:solidFill>
          </w14:textFill>
        </w:rPr>
        <w:t>。</w:t>
      </w:r>
    </w:p>
    <w:p w14:paraId="461B3135">
      <w:pPr>
        <w:keepNext w:val="0"/>
        <w:keepLines w:val="0"/>
        <w:pageBreakBefore w:val="0"/>
        <w:widowControl/>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五.</w:t>
      </w:r>
      <w:r>
        <w:rPr>
          <w:rFonts w:hint="eastAsia" w:ascii="宋体" w:hAnsi="宋体" w:eastAsia="宋体" w:cs="宋体"/>
          <w:b/>
          <w:bCs/>
          <w:color w:val="000000" w:themeColor="text1"/>
          <w:szCs w:val="21"/>
          <w:highlight w:val="none"/>
          <w14:textFill>
            <w14:solidFill>
              <w14:schemeClr w14:val="tx1"/>
            </w14:solidFill>
          </w14:textFill>
        </w:rPr>
        <w:t>投标截止时间、开标时间及地点</w:t>
      </w:r>
    </w:p>
    <w:p w14:paraId="5815D0D2">
      <w:pPr>
        <w:keepNext w:val="0"/>
        <w:keepLines w:val="0"/>
        <w:pageBreakBefore w:val="0"/>
        <w:widowControl/>
        <w:tabs>
          <w:tab w:val="left" w:pos="735"/>
        </w:tabs>
        <w:kinsoku/>
        <w:wordWrap/>
        <w:overflowPunct/>
        <w:topLinePunct w:val="0"/>
        <w:autoSpaceDE/>
        <w:autoSpaceDN/>
        <w:bidi w:val="0"/>
        <w:adjustRightInd w:val="0"/>
        <w:snapToGrid w:val="0"/>
        <w:spacing w:line="360" w:lineRule="auto"/>
        <w:textAlignment w:val="auto"/>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w:t>
      </w:r>
      <w:r>
        <w:rPr>
          <w:rFonts w:hint="eastAsia" w:ascii="宋体" w:hAnsi="宋体" w:eastAsia="宋体" w:cs="宋体"/>
          <w:color w:val="000000" w:themeColor="text1"/>
          <w:highlight w:val="none"/>
          <w:lang w:val="en-US" w:eastAsia="zh-CN"/>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 xml:space="preserve"> 1.递交投标文件时间： </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2026年8月</w:t>
      </w:r>
      <w:r>
        <w:rPr>
          <w:rFonts w:hint="eastAsia" w:ascii="宋体" w:hAnsi="宋体" w:cs="宋体"/>
          <w:color w:val="000000" w:themeColor="text1"/>
          <w:kern w:val="2"/>
          <w:sz w:val="21"/>
          <w:szCs w:val="24"/>
          <w:highlight w:val="none"/>
          <w:lang w:val="en-US" w:eastAsia="zh-CN" w:bidi="ar-SA"/>
          <w14:textFill>
            <w14:solidFill>
              <w14:schemeClr w14:val="tx1"/>
            </w14:solidFill>
          </w14:textFill>
        </w:rPr>
        <w:t>12</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日</w:t>
      </w:r>
      <w:r>
        <w:rPr>
          <w:rFonts w:hint="eastAsia" w:ascii="宋体" w:hAnsi="宋体" w:cs="宋体"/>
          <w:color w:val="000000" w:themeColor="text1"/>
          <w:highlight w:val="none"/>
          <w:lang w:val="en-US" w:eastAsia="zh-CN"/>
          <w14:textFill>
            <w14:solidFill>
              <w14:schemeClr w14:val="tx1"/>
            </w14:solidFill>
          </w14:textFill>
        </w:rPr>
        <w:t>14</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3</w:t>
      </w:r>
      <w:r>
        <w:rPr>
          <w:rFonts w:hint="eastAsia" w:ascii="宋体" w:hAnsi="宋体" w:eastAsia="宋体" w:cs="宋体"/>
          <w:color w:val="000000" w:themeColor="text1"/>
          <w:highlight w:val="none"/>
          <w14:textFill>
            <w14:solidFill>
              <w14:schemeClr w14:val="tx1"/>
            </w14:solidFill>
          </w14:textFill>
        </w:rPr>
        <w:t>0-</w:t>
      </w:r>
      <w:r>
        <w:rPr>
          <w:rFonts w:hint="eastAsia" w:ascii="宋体" w:hAnsi="宋体" w:cs="宋体"/>
          <w:color w:val="000000" w:themeColor="text1"/>
          <w:highlight w:val="none"/>
          <w:lang w:val="en-US" w:eastAsia="zh-CN"/>
          <w14:textFill>
            <w14:solidFill>
              <w14:schemeClr w14:val="tx1"/>
            </w14:solidFill>
          </w14:textFill>
        </w:rPr>
        <w:t>15</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00</w:t>
      </w:r>
      <w:r>
        <w:rPr>
          <w:rFonts w:hint="eastAsia" w:ascii="宋体" w:hAnsi="宋体" w:eastAsia="宋体" w:cs="宋体"/>
          <w:color w:val="000000" w:themeColor="text1"/>
          <w:highlight w:val="none"/>
          <w14:textFill>
            <w14:solidFill>
              <w14:schemeClr w14:val="tx1"/>
            </w14:solidFill>
          </w14:textFill>
        </w:rPr>
        <w:t xml:space="preserve"> (北京时间)。</w:t>
      </w:r>
    </w:p>
    <w:p w14:paraId="36FAE56E">
      <w:pPr>
        <w:keepNext w:val="0"/>
        <w:keepLines w:val="0"/>
        <w:pageBreakBefore w:val="0"/>
        <w:widowControl/>
        <w:tabs>
          <w:tab w:val="left" w:pos="735"/>
        </w:tabs>
        <w:kinsoku/>
        <w:wordWrap/>
        <w:overflowPunct/>
        <w:topLinePunct w:val="0"/>
        <w:autoSpaceDE/>
        <w:autoSpaceDN/>
        <w:bidi w:val="0"/>
        <w:adjustRightInd w:val="0"/>
        <w:snapToGrid w:val="0"/>
        <w:spacing w:line="360" w:lineRule="auto"/>
        <w:ind w:firstLine="210" w:firstLineChars="100"/>
        <w:textAlignment w:val="auto"/>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2.投标截止时间、开标时间： </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2026年8月</w:t>
      </w:r>
      <w:r>
        <w:rPr>
          <w:rFonts w:hint="eastAsia" w:ascii="宋体" w:hAnsi="宋体" w:cs="宋体"/>
          <w:color w:val="000000" w:themeColor="text1"/>
          <w:kern w:val="2"/>
          <w:sz w:val="21"/>
          <w:szCs w:val="24"/>
          <w:highlight w:val="none"/>
          <w:lang w:val="en-US" w:eastAsia="zh-CN" w:bidi="ar-SA"/>
          <w14:textFill>
            <w14:solidFill>
              <w14:schemeClr w14:val="tx1"/>
            </w14:solidFill>
          </w14:textFill>
        </w:rPr>
        <w:t>12</w:t>
      </w: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日</w:t>
      </w:r>
      <w:r>
        <w:rPr>
          <w:rFonts w:hint="eastAsia" w:ascii="宋体" w:hAnsi="宋体" w:cs="宋体"/>
          <w:color w:val="000000" w:themeColor="text1"/>
          <w:highlight w:val="none"/>
          <w:lang w:val="en-US" w:eastAsia="zh-CN"/>
          <w14:textFill>
            <w14:solidFill>
              <w14:schemeClr w14:val="tx1"/>
            </w14:solidFill>
          </w14:textFill>
        </w:rPr>
        <w:t>15</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00</w:t>
      </w:r>
      <w:r>
        <w:rPr>
          <w:rFonts w:hint="eastAsia" w:ascii="宋体" w:hAnsi="宋体" w:eastAsia="宋体" w:cs="宋体"/>
          <w:color w:val="000000" w:themeColor="text1"/>
          <w:highlight w:val="none"/>
          <w14:textFill>
            <w14:solidFill>
              <w14:schemeClr w14:val="tx1"/>
            </w14:solidFill>
          </w14:textFill>
        </w:rPr>
        <w:t>(北京时间)。</w:t>
      </w:r>
    </w:p>
    <w:p w14:paraId="40DF13E0">
      <w:pPr>
        <w:pStyle w:val="19"/>
        <w:keepNext w:val="0"/>
        <w:keepLines w:val="0"/>
        <w:pageBreakBefore w:val="0"/>
        <w:kinsoku/>
        <w:wordWrap/>
        <w:overflowPunct/>
        <w:topLinePunct w:val="0"/>
        <w:autoSpaceDE/>
        <w:autoSpaceDN/>
        <w:bidi w:val="0"/>
        <w:adjustRightInd/>
        <w:snapToGrid/>
        <w:spacing w:line="360" w:lineRule="auto"/>
        <w:ind w:left="0" w:leftChars="0" w:firstLine="426" w:firstLineChars="203"/>
        <w:textAlignment w:val="auto"/>
        <w:outlineLvl w:val="9"/>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4"/>
          <w:highlight w:val="none"/>
          <w:lang w:val="en-US" w:eastAsia="zh-CN" w:bidi="ar-SA"/>
          <w14:textFill>
            <w14:solidFill>
              <w14:schemeClr w14:val="tx1"/>
            </w14:solidFill>
          </w14:textFill>
        </w:rPr>
        <w:t>3.递交投标文件地点、开标地点：阳江市江城区猫山四街33号A座2楼201开标室</w:t>
      </w:r>
    </w:p>
    <w:p w14:paraId="2EE6EB2C">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六.本项目联系方式：</w:t>
      </w:r>
    </w:p>
    <w:p w14:paraId="4AF82EC1">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 xml:space="preserve"> 1.采购人信息</w:t>
      </w:r>
    </w:p>
    <w:p w14:paraId="762BDF3E">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9"/>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名称：</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阳江市阳东区合山镇第二小学</w:t>
      </w:r>
    </w:p>
    <w:p w14:paraId="271F2198">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9"/>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地    址：阳江市阳东区合山镇李棋路124号</w:t>
      </w:r>
    </w:p>
    <w:p w14:paraId="7EC0A7DD">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9"/>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联 系 人：冼开湛</w:t>
      </w:r>
    </w:p>
    <w:p w14:paraId="4514964E">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9"/>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联系电话：13542635168</w:t>
      </w:r>
    </w:p>
    <w:p w14:paraId="013F29A0">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 xml:space="preserve"> 2.采购代理机构信息</w:t>
      </w:r>
    </w:p>
    <w:p w14:paraId="561A8027">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9"/>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名称：</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bookmarkStart w:id="120" w:name="_GoBack"/>
      <w:bookmarkEnd w:id="120"/>
    </w:p>
    <w:p w14:paraId="5EF78746">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9"/>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地址：</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阳江市江城区猫山四街33号A座2楼</w:t>
      </w:r>
    </w:p>
    <w:p w14:paraId="33A9A7F5">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9"/>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联系方式：</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0662-3167266</w:t>
      </w:r>
    </w:p>
    <w:p w14:paraId="0E91710D">
      <w:pPr>
        <w:pStyle w:val="19"/>
        <w:keepNext w:val="0"/>
        <w:keepLines w:val="0"/>
        <w:pageBreakBefore w:val="0"/>
        <w:kinsoku/>
        <w:wordWrap/>
        <w:overflowPunct/>
        <w:topLinePunct w:val="0"/>
        <w:autoSpaceDE/>
        <w:autoSpaceDN/>
        <w:bidi w:val="0"/>
        <w:adjustRightInd/>
        <w:snapToGrid/>
        <w:spacing w:line="360" w:lineRule="auto"/>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 xml:space="preserve"> 3.项目联系方式</w:t>
      </w:r>
    </w:p>
    <w:p w14:paraId="0E44FB77">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9"/>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项目联系人：</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谢小姐</w:t>
      </w:r>
    </w:p>
    <w:p w14:paraId="08E61D5A">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电话：</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0662-3167266</w:t>
      </w:r>
    </w:p>
    <w:p w14:paraId="34FBDA04">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0C0E5B8C">
      <w:pPr>
        <w:pStyle w:val="19"/>
        <w:keepNext w:val="0"/>
        <w:keepLines w:val="0"/>
        <w:pageBreakBefore w:val="0"/>
        <w:kinsoku/>
        <w:wordWrap/>
        <w:overflowPunct/>
        <w:topLinePunct w:val="0"/>
        <w:autoSpaceDE/>
        <w:autoSpaceDN/>
        <w:bidi w:val="0"/>
        <w:adjustRightInd/>
        <w:snapToGrid/>
        <w:spacing w:line="360" w:lineRule="auto"/>
        <w:ind w:firstLine="480"/>
        <w:jc w:val="right"/>
        <w:textAlignment w:val="auto"/>
        <w:outlineLvl w:val="9"/>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p>
    <w:p w14:paraId="4D0BA224">
      <w:pPr>
        <w:pStyle w:val="19"/>
        <w:keepNext w:val="0"/>
        <w:keepLines w:val="0"/>
        <w:pageBreakBefore w:val="0"/>
        <w:kinsoku/>
        <w:wordWrap/>
        <w:overflowPunct/>
        <w:topLinePunct w:val="0"/>
        <w:autoSpaceDE/>
        <w:autoSpaceDN/>
        <w:bidi w:val="0"/>
        <w:adjustRightInd/>
        <w:snapToGrid/>
        <w:spacing w:line="360" w:lineRule="auto"/>
        <w:ind w:firstLine="480"/>
        <w:jc w:val="right"/>
        <w:textAlignment w:val="auto"/>
        <w:outlineLvl w:val="9"/>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p>
    <w:p w14:paraId="5ACD884F">
      <w:pPr>
        <w:pStyle w:val="19"/>
        <w:keepNext w:val="0"/>
        <w:keepLines w:val="0"/>
        <w:pageBreakBefore w:val="0"/>
        <w:kinsoku/>
        <w:wordWrap/>
        <w:overflowPunct/>
        <w:topLinePunct w:val="0"/>
        <w:autoSpaceDE/>
        <w:autoSpaceDN/>
        <w:bidi w:val="0"/>
        <w:adjustRightInd/>
        <w:snapToGrid/>
        <w:spacing w:line="360" w:lineRule="auto"/>
        <w:ind w:firstLine="480"/>
        <w:jc w:val="right"/>
        <w:textAlignment w:val="auto"/>
        <w:outlineLvl w:val="9"/>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2026年7月14日</w:t>
      </w:r>
    </w:p>
    <w:p w14:paraId="2DB6FFD1">
      <w:pP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br w:type="page"/>
      </w:r>
    </w:p>
    <w:p w14:paraId="53B046C1">
      <w:pPr>
        <w:pStyle w:val="19"/>
        <w:keepNext w:val="0"/>
        <w:keepLines w:val="0"/>
        <w:pageBreakBefore w:val="0"/>
        <w:widowControl/>
        <w:kinsoku/>
        <w:wordWrap/>
        <w:overflowPunct/>
        <w:topLinePunct w:val="0"/>
        <w:autoSpaceDE/>
        <w:autoSpaceDN/>
        <w:bidi w:val="0"/>
        <w:adjustRightInd/>
        <w:snapToGrid/>
        <w:spacing w:line="360" w:lineRule="auto"/>
        <w:ind w:firstLine="482"/>
        <w:jc w:val="center"/>
        <w:textAlignment w:val="auto"/>
        <w:outlineLvl w:val="0"/>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bookmarkStart w:id="1" w:name="_Toc17988"/>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第二章 采购需求</w:t>
      </w:r>
      <w:bookmarkEnd w:id="1"/>
    </w:p>
    <w:p w14:paraId="336FD5A4">
      <w:pPr>
        <w:pStyle w:val="22"/>
        <w:keepNext w:val="0"/>
        <w:keepLines w:val="0"/>
        <w:pageBreakBefore w:val="0"/>
        <w:widowControl w:val="0"/>
        <w:kinsoku/>
        <w:wordWrap/>
        <w:overflowPunct/>
        <w:topLinePunct w:val="0"/>
        <w:autoSpaceDE/>
        <w:autoSpaceDN/>
        <w:bidi w:val="0"/>
        <w:adjustRightInd/>
        <w:spacing w:line="360" w:lineRule="auto"/>
        <w:ind w:firstLine="0" w:firstLineChars="0"/>
        <w:textAlignment w:val="auto"/>
        <w:outlineLvl w:val="9"/>
        <w:rPr>
          <w:rFonts w:hint="eastAsia" w:ascii="宋体" w:hAnsi="宋体"/>
          <w:b/>
          <w:color w:val="000000" w:themeColor="text1"/>
          <w:szCs w:val="21"/>
          <w:highlight w:val="none"/>
          <w:lang w:val="en-US" w:eastAsia="zh-CN"/>
          <w14:textFill>
            <w14:solidFill>
              <w14:schemeClr w14:val="tx1"/>
            </w14:solidFill>
          </w14:textFill>
        </w:rPr>
      </w:pPr>
      <w:r>
        <w:rPr>
          <w:rFonts w:hint="eastAsia" w:ascii="宋体" w:hAnsi="宋体"/>
          <w:b/>
          <w:color w:val="000000" w:themeColor="text1"/>
          <w:szCs w:val="21"/>
          <w:highlight w:val="none"/>
          <w:lang w:val="en-US" w:eastAsia="zh-CN"/>
          <w14:textFill>
            <w14:solidFill>
              <w14:schemeClr w14:val="tx1"/>
            </w14:solidFill>
          </w14:textFill>
        </w:rPr>
        <w:t>一、项目概况</w:t>
      </w:r>
    </w:p>
    <w:p w14:paraId="2E1EFE08">
      <w:pPr>
        <w:pStyle w:val="22"/>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outlineLvl w:val="9"/>
        <w:rPr>
          <w:rFonts w:hint="default" w:ascii="宋体" w:hAnsi="宋体"/>
          <w:b w:val="0"/>
          <w:bCs/>
          <w:color w:val="000000" w:themeColor="text1"/>
          <w:szCs w:val="21"/>
          <w:highlight w:val="none"/>
          <w:lang w:val="en-US" w:eastAsia="zh-CN"/>
          <w14:textFill>
            <w14:solidFill>
              <w14:schemeClr w14:val="tx1"/>
            </w14:solidFill>
          </w14:textFill>
        </w:rPr>
      </w:pPr>
      <w:r>
        <w:rPr>
          <w:rFonts w:hint="default" w:ascii="宋体" w:hAnsi="宋体"/>
          <w:b w:val="0"/>
          <w:bCs/>
          <w:color w:val="000000" w:themeColor="text1"/>
          <w:szCs w:val="21"/>
          <w:highlight w:val="none"/>
          <w:lang w:val="en-US" w:eastAsia="zh-CN"/>
          <w14:textFill>
            <w14:solidFill>
              <w14:schemeClr w14:val="tx1"/>
            </w14:solidFill>
          </w14:textFill>
        </w:rPr>
        <w:t>本项目为阳江市阳东区合山镇第二小学饭堂食材配送服务项目，为合山镇第二小学师生提供早餐及午餐食材。初步估算就餐师生约为900人。</w:t>
      </w:r>
    </w:p>
    <w:p w14:paraId="57D03198">
      <w:pPr>
        <w:pStyle w:val="22"/>
        <w:keepNext w:val="0"/>
        <w:keepLines w:val="0"/>
        <w:pageBreakBefore w:val="0"/>
        <w:widowControl w:val="0"/>
        <w:kinsoku/>
        <w:wordWrap/>
        <w:overflowPunct/>
        <w:topLinePunct w:val="0"/>
        <w:autoSpaceDE/>
        <w:autoSpaceDN/>
        <w:bidi w:val="0"/>
        <w:adjustRightInd/>
        <w:spacing w:line="360" w:lineRule="auto"/>
        <w:ind w:firstLine="0" w:firstLineChars="0"/>
        <w:textAlignment w:val="auto"/>
        <w:outlineLvl w:val="9"/>
        <w:rPr>
          <w:rFonts w:hint="eastAsia"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lang w:val="en-US" w:eastAsia="zh-CN"/>
          <w14:textFill>
            <w14:solidFill>
              <w14:schemeClr w14:val="tx1"/>
            </w14:solidFill>
          </w14:textFill>
        </w:rPr>
        <w:t>二</w:t>
      </w:r>
      <w:r>
        <w:rPr>
          <w:rFonts w:hint="eastAsia" w:ascii="宋体" w:hAnsi="宋体"/>
          <w:b/>
          <w:color w:val="000000" w:themeColor="text1"/>
          <w:szCs w:val="21"/>
          <w:highlight w:val="none"/>
          <w14:textFill>
            <w14:solidFill>
              <w14:schemeClr w14:val="tx1"/>
            </w14:solidFill>
          </w14:textFill>
        </w:rPr>
        <w:t>、总体要求</w:t>
      </w:r>
    </w:p>
    <w:p w14:paraId="243F015C">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w:t>
      </w:r>
      <w:r>
        <w:rPr>
          <w:rFonts w:hint="eastAsia" w:ascii="宋体" w:hAnsi="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★所有食材要求为非转基因食品。</w:t>
      </w:r>
    </w:p>
    <w:p w14:paraId="29C4026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2</w:t>
      </w:r>
      <w:r>
        <w:rPr>
          <w:rFonts w:hint="eastAsia" w:ascii="宋体" w:hAnsi="宋体"/>
          <w:color w:val="000000" w:themeColor="text1"/>
          <w:highlight w:val="none"/>
          <w:lang w:eastAsia="zh-CN"/>
          <w14:textFill>
            <w14:solidFill>
              <w14:schemeClr w14:val="tx1"/>
            </w14:solidFill>
          </w14:textFill>
        </w:rPr>
        <w:t>.</w:t>
      </w:r>
      <w:r>
        <w:rPr>
          <w:rFonts w:hint="eastAsia" w:ascii="宋体" w:hAnsi="宋体"/>
          <w:color w:val="000000" w:themeColor="text1"/>
          <w:highlight w:val="none"/>
          <w14:textFill>
            <w14:solidFill>
              <w14:schemeClr w14:val="tx1"/>
            </w14:solidFill>
          </w14:textFill>
        </w:rPr>
        <w:t>所供的物品必须符合</w:t>
      </w:r>
      <w:r>
        <w:rPr>
          <w:rFonts w:hint="eastAsia" w:ascii="宋体" w:hAnsi="宋体"/>
          <w:color w:val="000000" w:themeColor="text1"/>
          <w:highlight w:val="none"/>
          <w:lang w:eastAsia="zh-CN"/>
          <w14:textFill>
            <w14:solidFill>
              <w14:schemeClr w14:val="tx1"/>
            </w14:solidFill>
          </w14:textFill>
        </w:rPr>
        <w:t>《</w:t>
      </w:r>
      <w:r>
        <w:rPr>
          <w:rFonts w:hint="eastAsia" w:ascii="宋体" w:hAnsi="宋体"/>
          <w:color w:val="000000" w:themeColor="text1"/>
          <w:highlight w:val="none"/>
          <w14:textFill>
            <w14:solidFill>
              <w14:schemeClr w14:val="tx1"/>
            </w14:solidFill>
          </w14:textFill>
        </w:rPr>
        <w:t>中华人民共和国食品</w:t>
      </w:r>
      <w:r>
        <w:rPr>
          <w:rFonts w:hint="eastAsia" w:ascii="宋体" w:hAnsi="宋体"/>
          <w:color w:val="000000" w:themeColor="text1"/>
          <w:highlight w:val="none"/>
          <w:lang w:val="en-US" w:eastAsia="zh-CN"/>
          <w14:textFill>
            <w14:solidFill>
              <w14:schemeClr w14:val="tx1"/>
            </w14:solidFill>
          </w14:textFill>
        </w:rPr>
        <w:t>安全</w:t>
      </w:r>
      <w:r>
        <w:rPr>
          <w:rFonts w:hint="eastAsia" w:ascii="宋体" w:hAnsi="宋体"/>
          <w:color w:val="000000" w:themeColor="text1"/>
          <w:highlight w:val="none"/>
          <w14:textFill>
            <w14:solidFill>
              <w14:schemeClr w14:val="tx1"/>
            </w14:solidFill>
          </w14:textFill>
        </w:rPr>
        <w:t>法</w:t>
      </w:r>
      <w:r>
        <w:rPr>
          <w:rFonts w:hint="eastAsia" w:ascii="宋体" w:hAnsi="宋体"/>
          <w:color w:val="000000" w:themeColor="text1"/>
          <w:highlight w:val="none"/>
          <w:lang w:eastAsia="zh-CN"/>
          <w14:textFill>
            <w14:solidFill>
              <w14:schemeClr w14:val="tx1"/>
            </w14:solidFill>
          </w14:textFill>
        </w:rPr>
        <w:t>》</w:t>
      </w:r>
      <w:r>
        <w:rPr>
          <w:rFonts w:hint="eastAsia" w:ascii="宋体" w:hAnsi="宋体"/>
          <w:color w:val="000000" w:themeColor="text1"/>
          <w:highlight w:val="none"/>
          <w14:textFill>
            <w14:solidFill>
              <w14:schemeClr w14:val="tx1"/>
            </w14:solidFill>
          </w14:textFill>
        </w:rPr>
        <w:t>要求。</w:t>
      </w:r>
    </w:p>
    <w:p w14:paraId="53A6307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lang w:val="en-US" w:eastAsia="zh-CN"/>
          <w14:textFill>
            <w14:solidFill>
              <w14:schemeClr w14:val="tx1"/>
            </w14:solidFill>
          </w14:textFill>
        </w:rPr>
        <w:t>.本项目包含为采购人完成贫困地区农副产品采购任务。</w:t>
      </w:r>
    </w:p>
    <w:p w14:paraId="28AC0B04">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val="en-US" w:eastAsia="zh-CN"/>
          <w14:textFill>
            <w14:solidFill>
              <w14:schemeClr w14:val="tx1"/>
            </w14:solidFill>
          </w14:textFill>
        </w:rPr>
        <w:t>.中标</w:t>
      </w:r>
      <w:r>
        <w:rPr>
          <w:rFonts w:hint="eastAsia" w:ascii="宋体" w:hAnsi="宋体" w:cs="宋体"/>
          <w:color w:val="000000" w:themeColor="text1"/>
          <w:sz w:val="21"/>
          <w:szCs w:val="21"/>
          <w:highlight w:val="none"/>
          <w:lang w:val="en-US" w:eastAsia="zh-CN"/>
          <w14:textFill>
            <w14:solidFill>
              <w14:schemeClr w14:val="tx1"/>
            </w14:solidFill>
          </w14:textFill>
        </w:rPr>
        <w:t>供应商</w:t>
      </w:r>
      <w:r>
        <w:rPr>
          <w:rFonts w:hint="eastAsia" w:ascii="宋体" w:hAnsi="宋体" w:eastAsia="宋体" w:cs="宋体"/>
          <w:color w:val="000000" w:themeColor="text1"/>
          <w:sz w:val="21"/>
          <w:szCs w:val="21"/>
          <w:highlight w:val="none"/>
          <w:lang w:val="en-US" w:eastAsia="zh-CN"/>
          <w14:textFill>
            <w14:solidFill>
              <w14:schemeClr w14:val="tx1"/>
            </w14:solidFill>
          </w14:textFill>
        </w:rPr>
        <w:t>按照采购人提出的物品订货清单，不论数量多少，保证在规定的时间（以采购人下的供货通知单为依据）、地点（食堂）送货。</w:t>
      </w:r>
    </w:p>
    <w:p w14:paraId="2620D22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lang w:val="en-US" w:eastAsia="zh-CN"/>
          <w14:textFill>
            <w14:solidFill>
              <w14:schemeClr w14:val="tx1"/>
            </w14:solidFill>
          </w14:textFill>
        </w:rPr>
        <w:t>.中标</w:t>
      </w:r>
      <w:r>
        <w:rPr>
          <w:rFonts w:hint="eastAsia" w:ascii="宋体" w:hAnsi="宋体" w:cs="宋体"/>
          <w:color w:val="000000" w:themeColor="text1"/>
          <w:sz w:val="21"/>
          <w:szCs w:val="21"/>
          <w:highlight w:val="none"/>
          <w:lang w:val="en-US" w:eastAsia="zh-CN"/>
          <w14:textFill>
            <w14:solidFill>
              <w14:schemeClr w14:val="tx1"/>
            </w14:solidFill>
          </w14:textFill>
        </w:rPr>
        <w:t>供应商</w:t>
      </w:r>
      <w:r>
        <w:rPr>
          <w:rFonts w:hint="eastAsia" w:ascii="宋体" w:hAnsi="宋体" w:eastAsia="宋体" w:cs="宋体"/>
          <w:color w:val="000000" w:themeColor="text1"/>
          <w:sz w:val="21"/>
          <w:szCs w:val="21"/>
          <w:highlight w:val="none"/>
          <w:lang w:val="en-US" w:eastAsia="zh-CN"/>
          <w14:textFill>
            <w14:solidFill>
              <w14:schemeClr w14:val="tx1"/>
            </w14:solidFill>
          </w14:textFill>
        </w:rPr>
        <w:t>对采购人提出的临时性服务要求应按时、按质、按量将货品送到指定地点。</w:t>
      </w:r>
    </w:p>
    <w:p w14:paraId="5A278AFB">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lang w:eastAsia="zh-CN"/>
          <w14:textFill>
            <w14:solidFill>
              <w14:schemeClr w14:val="tx1"/>
            </w14:solidFill>
          </w14:textFill>
        </w:rPr>
        <w:t>.每天食材具体供应量以前一天采购人通知订购的品种、数量为准，</w:t>
      </w:r>
      <w:r>
        <w:rPr>
          <w:rFonts w:hint="eastAsia" w:ascii="宋体" w:hAnsi="宋体" w:cs="宋体"/>
          <w:color w:val="000000" w:themeColor="text1"/>
          <w:sz w:val="21"/>
          <w:szCs w:val="21"/>
          <w:highlight w:val="none"/>
          <w:lang w:eastAsia="zh-CN"/>
          <w14:textFill>
            <w14:solidFill>
              <w14:schemeClr w14:val="tx1"/>
            </w14:solidFill>
          </w14:textFill>
        </w:rPr>
        <w:t>中标供应商</w:t>
      </w:r>
      <w:r>
        <w:rPr>
          <w:rFonts w:hint="eastAsia" w:ascii="宋体" w:hAnsi="宋体" w:eastAsia="宋体" w:cs="宋体"/>
          <w:color w:val="000000" w:themeColor="text1"/>
          <w:sz w:val="21"/>
          <w:szCs w:val="21"/>
          <w:highlight w:val="none"/>
          <w:lang w:eastAsia="zh-CN"/>
          <w14:textFill>
            <w14:solidFill>
              <w14:schemeClr w14:val="tx1"/>
            </w14:solidFill>
          </w14:textFill>
        </w:rPr>
        <w:t>须按时运送到指定地点，并保证配送品种数量、重量的准确性，最终以采购人的验收为准，要随货提供含食材名称、单位、数量、售价及金额等送货清单，供双方验收签字确认，各持一份，作为送、收货的凭证。</w:t>
      </w:r>
    </w:p>
    <w:p w14:paraId="0C1DD670">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除不可抗力，投标人不得因其他任何理由延迟送货，以致影响采购人的正常供餐，否则投标人承担由此产生的一切损失和费用。</w:t>
      </w:r>
    </w:p>
    <w:p w14:paraId="621B245B">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cs="宋体"/>
          <w:color w:val="000000" w:themeColor="text1"/>
          <w:sz w:val="21"/>
          <w:szCs w:val="21"/>
          <w:highlight w:val="none"/>
          <w:lang w:eastAsia="zh-CN"/>
          <w14:textFill>
            <w14:solidFill>
              <w14:schemeClr w14:val="tx1"/>
            </w14:solidFill>
          </w14:textFill>
        </w:rPr>
        <w:t>中标供应商</w:t>
      </w:r>
      <w:r>
        <w:rPr>
          <w:rFonts w:hint="eastAsia" w:ascii="宋体" w:hAnsi="宋体" w:eastAsia="宋体" w:cs="宋体"/>
          <w:color w:val="000000" w:themeColor="text1"/>
          <w:sz w:val="21"/>
          <w:szCs w:val="21"/>
          <w:highlight w:val="none"/>
          <w:lang w:eastAsia="zh-CN"/>
          <w14:textFill>
            <w14:solidFill>
              <w14:schemeClr w14:val="tx1"/>
            </w14:solidFill>
          </w14:textFill>
        </w:rPr>
        <w:t>应严格按采购人要求供应食材，不得变更，否则，釆购人有权拒收。如因市场流通问题确实需要变更的，应及时向采购人申请，按采购人回复的意见执行。</w:t>
      </w:r>
    </w:p>
    <w:p w14:paraId="429F7A12">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如合同期内有国家政策规定采购其他食品要求的，应按国家政策要求执行。</w:t>
      </w:r>
    </w:p>
    <w:p w14:paraId="6252A1C5">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cs="宋体"/>
          <w:color w:val="000000" w:themeColor="text1"/>
          <w:sz w:val="21"/>
          <w:szCs w:val="21"/>
          <w:highlight w:val="none"/>
          <w:lang w:eastAsia="zh-CN"/>
          <w14:textFill>
            <w14:solidFill>
              <w14:schemeClr w14:val="tx1"/>
            </w14:solidFill>
          </w14:textFill>
        </w:rPr>
        <w:t>中标供应商</w:t>
      </w:r>
      <w:r>
        <w:rPr>
          <w:rFonts w:hint="eastAsia" w:ascii="宋体" w:hAnsi="宋体" w:eastAsia="宋体" w:cs="宋体"/>
          <w:color w:val="000000" w:themeColor="text1"/>
          <w:sz w:val="21"/>
          <w:szCs w:val="21"/>
          <w:highlight w:val="none"/>
          <w:lang w:eastAsia="zh-CN"/>
          <w14:textFill>
            <w14:solidFill>
              <w14:schemeClr w14:val="tx1"/>
            </w14:solidFill>
          </w14:textFill>
        </w:rPr>
        <w:t>配送食材时专门派一名员工跟单办理业务，按每天制定的采购单提供专门配送服务。必须在每天按照采购方规定时间内把所配送的食堂原材料按质按量送达指定地点, 由</w:t>
      </w:r>
      <w:r>
        <w:rPr>
          <w:rFonts w:hint="eastAsia" w:ascii="宋体" w:hAnsi="宋体" w:cs="宋体"/>
          <w:color w:val="000000" w:themeColor="text1"/>
          <w:sz w:val="21"/>
          <w:szCs w:val="21"/>
          <w:highlight w:val="none"/>
          <w:lang w:val="en-US" w:eastAsia="zh-CN"/>
          <w14:textFill>
            <w14:solidFill>
              <w14:schemeClr w14:val="tx1"/>
            </w14:solidFill>
          </w14:textFill>
        </w:rPr>
        <w:t>学校验收</w:t>
      </w:r>
      <w:r>
        <w:rPr>
          <w:rFonts w:hint="eastAsia" w:ascii="宋体" w:hAnsi="宋体" w:eastAsia="宋体" w:cs="宋体"/>
          <w:color w:val="000000" w:themeColor="text1"/>
          <w:sz w:val="21"/>
          <w:szCs w:val="21"/>
          <w:highlight w:val="none"/>
          <w:lang w:eastAsia="zh-CN"/>
          <w14:textFill>
            <w14:solidFill>
              <w14:schemeClr w14:val="tx1"/>
            </w14:solidFill>
          </w14:textFill>
        </w:rPr>
        <w:t>人员验收核对后入库。</w:t>
      </w:r>
    </w:p>
    <w:p w14:paraId="09DAC0A2">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11.</w:t>
      </w:r>
      <w:r>
        <w:rPr>
          <w:rFonts w:hint="eastAsia" w:ascii="宋体" w:hAnsi="宋体" w:eastAsia="宋体" w:cs="宋体"/>
          <w:color w:val="000000" w:themeColor="text1"/>
          <w:sz w:val="21"/>
          <w:szCs w:val="21"/>
          <w:highlight w:val="none"/>
          <w:lang w:val="en-US" w:eastAsia="zh-CN"/>
          <w14:textFill>
            <w14:solidFill>
              <w14:schemeClr w14:val="tx1"/>
            </w14:solidFill>
          </w14:textFill>
        </w:rPr>
        <w:t>根据</w:t>
      </w: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《未成年人学校保护规定》第三十六条</w:t>
      </w:r>
      <w:r>
        <w:rPr>
          <w:rFonts w:hint="eastAsia" w:ascii="宋体" w:hAnsi="宋体" w:eastAsia="宋体" w:cs="宋体"/>
          <w:i w:val="0"/>
          <w:iCs w:val="0"/>
          <w:caps w:val="0"/>
          <w:color w:val="000000" w:themeColor="text1"/>
          <w:spacing w:val="0"/>
          <w:sz w:val="21"/>
          <w:szCs w:val="21"/>
          <w:highlight w:val="none"/>
          <w:shd w:val="clear" w:color="auto"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学校应当严格执行入职报告和准入查询制度，不得聘用有下列情形的人员：</w:t>
      </w:r>
    </w:p>
    <w:p w14:paraId="4A22FA6D">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wordWrap/>
        <w:topLinePunct w:val="0"/>
        <w:bidi w:val="0"/>
        <w:spacing w:before="0" w:beforeAutospacing="0" w:after="0" w:afterAutospacing="0" w:line="360" w:lineRule="auto"/>
        <w:ind w:left="0" w:right="0" w:firstLine="0"/>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　　</w:t>
      </w:r>
      <w:r>
        <w:rPr>
          <w:rFonts w:hint="eastAsia" w:eastAsia="宋体" w:cs="宋体"/>
          <w:i w:val="0"/>
          <w:iCs w:val="0"/>
          <w:caps w:val="0"/>
          <w:color w:val="000000" w:themeColor="text1"/>
          <w:spacing w:val="0"/>
          <w:sz w:val="21"/>
          <w:szCs w:val="21"/>
          <w:highlight w:val="none"/>
          <w:shd w:val="clear" w:color="auto" w:fill="FFFFFF"/>
          <w:lang w:val="en-US" w:eastAsia="zh-CN"/>
          <w14:textFill>
            <w14:solidFill>
              <w14:schemeClr w14:val="tx1"/>
            </w14:solidFill>
          </w14:textFill>
        </w:rPr>
        <w:t>1）</w:t>
      </w: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受到剥夺政治权利或者因故意犯罪受到有期徒刑以上刑事处罚的；</w:t>
      </w:r>
    </w:p>
    <w:p w14:paraId="064165C8">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wordWrap/>
        <w:topLinePunct w:val="0"/>
        <w:bidi w:val="0"/>
        <w:spacing w:before="0" w:beforeAutospacing="0" w:after="0" w:afterAutospacing="0" w:line="360" w:lineRule="auto"/>
        <w:ind w:left="0" w:right="0" w:firstLine="0"/>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　　</w:t>
      </w:r>
      <w:r>
        <w:rPr>
          <w:rFonts w:hint="eastAsia" w:eastAsia="宋体" w:cs="宋体"/>
          <w:i w:val="0"/>
          <w:iCs w:val="0"/>
          <w:caps w:val="0"/>
          <w:color w:val="000000" w:themeColor="text1"/>
          <w:spacing w:val="0"/>
          <w:sz w:val="21"/>
          <w:szCs w:val="21"/>
          <w:highlight w:val="none"/>
          <w:shd w:val="clear" w:color="auto" w:fill="FFFFFF"/>
          <w:lang w:val="en-US" w:eastAsia="zh-CN"/>
          <w14:textFill>
            <w14:solidFill>
              <w14:schemeClr w14:val="tx1"/>
            </w14:solidFill>
          </w14:textFill>
        </w:rPr>
        <w:t>2</w:t>
      </w: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）因卖淫、嫖娼、吸毒、赌博等违法行为受到治安管理处罚的；</w:t>
      </w:r>
    </w:p>
    <w:p w14:paraId="7AC3E489">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wordWrap/>
        <w:topLinePunct w:val="0"/>
        <w:bidi w:val="0"/>
        <w:spacing w:before="0" w:beforeAutospacing="0" w:after="0" w:afterAutospacing="0" w:line="360" w:lineRule="auto"/>
        <w:ind w:left="0" w:right="0" w:firstLine="420"/>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pPr>
      <w:r>
        <w:rPr>
          <w:rFonts w:hint="eastAsia" w:eastAsia="宋体" w:cs="宋体"/>
          <w:i w:val="0"/>
          <w:iCs w:val="0"/>
          <w:caps w:val="0"/>
          <w:color w:val="000000" w:themeColor="text1"/>
          <w:spacing w:val="0"/>
          <w:sz w:val="21"/>
          <w:szCs w:val="21"/>
          <w:highlight w:val="none"/>
          <w:shd w:val="clear" w:color="auto" w:fill="FFFFFF"/>
          <w:lang w:val="en-US" w:eastAsia="zh-CN"/>
          <w14:textFill>
            <w14:solidFill>
              <w14:schemeClr w14:val="tx1"/>
            </w14:solidFill>
          </w14:textFill>
        </w:rPr>
        <w:t>3</w:t>
      </w: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）因虐待、性骚扰、体罚或者侮辱学生等情形被开除或者解聘的；</w:t>
      </w:r>
    </w:p>
    <w:p w14:paraId="08A93023">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wordWrap/>
        <w:topLinePunct w:val="0"/>
        <w:bidi w:val="0"/>
        <w:spacing w:before="0" w:beforeAutospacing="0" w:after="0" w:afterAutospacing="0" w:line="360" w:lineRule="auto"/>
        <w:ind w:left="0" w:right="0" w:firstLine="420"/>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shd w:val="clear" w:color="auto" w:fill="FFFFFF"/>
          <w:lang w:val="en-US" w:eastAsia="zh-CN"/>
          <w14:textFill>
            <w14:solidFill>
              <w14:schemeClr w14:val="tx1"/>
            </w14:solidFill>
          </w14:textFill>
        </w:rPr>
        <w:t>4</w:t>
      </w: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）实施其他被纳入教育领域从业禁止范围的行为的。</w:t>
      </w:r>
    </w:p>
    <w:p w14:paraId="23B06985">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wordWrap/>
        <w:topLinePunct w:val="0"/>
        <w:bidi w:val="0"/>
        <w:spacing w:before="0" w:beforeAutospacing="0" w:after="0" w:afterAutospacing="0" w:line="360" w:lineRule="auto"/>
        <w:ind w:left="0" w:right="0" w:firstLine="420"/>
        <w:rPr>
          <w:rFonts w:hint="eastAsia" w:ascii="宋体" w:hAnsi="宋体" w:eastAsia="宋体" w:cs="宋体"/>
          <w:color w:val="000000" w:themeColor="text1"/>
          <w:sz w:val="21"/>
          <w:szCs w:val="21"/>
          <w:highlight w:val="none"/>
          <w:lang w:val="en-US"/>
          <w14:textFill>
            <w14:solidFill>
              <w14:schemeClr w14:val="tx1"/>
            </w14:solidFill>
          </w14:textFill>
        </w:rPr>
      </w:pPr>
      <w:r>
        <w:rPr>
          <w:rFonts w:hint="eastAsia" w:ascii="宋体" w:hAnsi="宋体" w:eastAsia="宋体" w:cs="宋体"/>
          <w:i w:val="0"/>
          <w:iCs w:val="0"/>
          <w:caps w:val="0"/>
          <w:color w:val="000000" w:themeColor="text1"/>
          <w:spacing w:val="0"/>
          <w:kern w:val="0"/>
          <w:sz w:val="21"/>
          <w:szCs w:val="21"/>
          <w:highlight w:val="none"/>
          <w:shd w:val="clear" w:color="auto" w:fill="FFFFFF"/>
          <w:lang w:val="en-US" w:eastAsia="zh-CN" w:bidi="ar"/>
          <w14:textFill>
            <w14:solidFill>
              <w14:schemeClr w14:val="tx1"/>
            </w14:solidFill>
          </w14:textFill>
        </w:rPr>
        <w:t>中标公司不得违反</w:t>
      </w: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《未成年人学校保护规定》第三十六条</w:t>
      </w:r>
      <w:r>
        <w:rPr>
          <w:rFonts w:hint="eastAsia" w:ascii="宋体" w:hAnsi="宋体" w:eastAsia="宋体" w:cs="宋体"/>
          <w:i w:val="0"/>
          <w:iCs w:val="0"/>
          <w:caps w:val="0"/>
          <w:color w:val="000000" w:themeColor="text1"/>
          <w:spacing w:val="0"/>
          <w:sz w:val="21"/>
          <w:szCs w:val="21"/>
          <w:highlight w:val="none"/>
          <w:shd w:val="clear" w:color="auto" w:fill="FFFFFF"/>
          <w:lang w:eastAsia="zh-CN"/>
          <w14:textFill>
            <w14:solidFill>
              <w14:schemeClr w14:val="tx1"/>
            </w14:solidFill>
          </w14:textFill>
        </w:rPr>
        <w:t>，进入学校的</w:t>
      </w:r>
      <w:r>
        <w:rPr>
          <w:rFonts w:hint="eastAsia" w:ascii="宋体" w:hAnsi="宋体" w:eastAsia="宋体" w:cs="宋体"/>
          <w:i w:val="0"/>
          <w:iCs w:val="0"/>
          <w:caps w:val="0"/>
          <w:color w:val="000000" w:themeColor="text1"/>
          <w:spacing w:val="0"/>
          <w:kern w:val="0"/>
          <w:sz w:val="21"/>
          <w:szCs w:val="21"/>
          <w:highlight w:val="none"/>
          <w:shd w:val="clear" w:color="auto" w:fill="FFFFFF"/>
          <w:lang w:val="en-US" w:eastAsia="zh-CN" w:bidi="ar"/>
          <w14:textFill>
            <w14:solidFill>
              <w14:schemeClr w14:val="tx1"/>
            </w14:solidFill>
          </w14:textFill>
        </w:rPr>
        <w:t>配送及相关人员，不得有以上行为。</w:t>
      </w:r>
    </w:p>
    <w:p w14:paraId="07FA046F">
      <w:pPr>
        <w:keepNext w:val="0"/>
        <w:keepLines w:val="0"/>
        <w:pageBreakBefore w:val="0"/>
        <w:widowControl w:val="0"/>
        <w:kinsoku/>
        <w:wordWrap/>
        <w:overflowPunct/>
        <w:topLinePunct w:val="0"/>
        <w:bidi w:val="0"/>
        <w:snapToGrid/>
        <w:spacing w:line="360" w:lineRule="auto"/>
        <w:rPr>
          <w:rFonts w:hint="eastAsia" w:ascii="宋体" w:hAnsi="宋体" w:eastAsia="宋体" w:cs="宋体"/>
          <w:b/>
          <w:bCs/>
          <w:color w:val="000000" w:themeColor="text1"/>
          <w:kern w:val="44"/>
          <w:sz w:val="21"/>
          <w:szCs w:val="21"/>
          <w:highlight w:val="none"/>
          <w:lang w:val="en-US" w:eastAsia="zh-CN"/>
          <w14:textFill>
            <w14:solidFill>
              <w14:schemeClr w14:val="tx1"/>
            </w14:solidFill>
          </w14:textFill>
        </w:rPr>
      </w:pPr>
      <w:r>
        <w:rPr>
          <w:rFonts w:hint="eastAsia" w:ascii="宋体" w:hAnsi="宋体" w:cs="宋体"/>
          <w:b/>
          <w:bCs/>
          <w:color w:val="000000" w:themeColor="text1"/>
          <w:kern w:val="44"/>
          <w:sz w:val="21"/>
          <w:szCs w:val="21"/>
          <w:highlight w:val="none"/>
          <w:lang w:val="en-US" w:eastAsia="zh-CN"/>
          <w14:textFill>
            <w14:solidFill>
              <w14:schemeClr w14:val="tx1"/>
            </w14:solidFill>
          </w14:textFill>
        </w:rPr>
        <w:t>三、</w:t>
      </w:r>
      <w:r>
        <w:rPr>
          <w:rFonts w:hint="eastAsia" w:ascii="宋体" w:hAnsi="宋体" w:eastAsia="宋体" w:cs="宋体"/>
          <w:b/>
          <w:bCs/>
          <w:color w:val="000000" w:themeColor="text1"/>
          <w:kern w:val="44"/>
          <w:sz w:val="21"/>
          <w:szCs w:val="21"/>
          <w:highlight w:val="none"/>
          <w:lang w:val="en-US" w:eastAsia="zh-CN"/>
          <w14:textFill>
            <w14:solidFill>
              <w14:schemeClr w14:val="tx1"/>
            </w14:solidFill>
          </w14:textFill>
        </w:rPr>
        <w:t>食品食材采购的质量管理</w:t>
      </w:r>
    </w:p>
    <w:p w14:paraId="5706764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（一）质量要求</w:t>
      </w:r>
    </w:p>
    <w:p w14:paraId="36AC92A4">
      <w:pPr>
        <w:pStyle w:val="8"/>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1"/>
          <w:szCs w:val="21"/>
          <w:highlight w:val="none"/>
          <w:lang w:val="en-US" w:eastAsia="zh-CN" w:bidi="ar-SA"/>
          <w14:textFill>
            <w14:solidFill>
              <w14:schemeClr w14:val="tx1"/>
            </w14:solidFill>
          </w14:textFill>
        </w:rPr>
        <w:t>1.食品安全的指标。应符合相应食品安全国家标准的规定，分等分级的质量指标不低于国家有关食品质量标准的中位数水平，如质量或规格等级划分为1、2、3、4、5或大（L）、中（M）、小（S）的，应选择1、2、3或大（L）、中（M）等级。</w:t>
      </w:r>
    </w:p>
    <w:p w14:paraId="2B3F5CB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包装与标志要求：</w:t>
      </w:r>
    </w:p>
    <w:p w14:paraId="4F5491D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①包装：容器(框、箱、袋)要求清洁、干燥、牢固、透气，无污染、无异味、无霉变现象。</w:t>
      </w:r>
    </w:p>
    <w:p w14:paraId="2F35375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②标志：每件食材包装必须按《农产品包装和标识管理办法》贴标签，并标明产地、品种、净含量、生产单位及地址和采收日期等。</w:t>
      </w:r>
    </w:p>
    <w:p w14:paraId="4145AD8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鲜肉、鲜禽、鲜鱼、蛋类基本要求：</w:t>
      </w:r>
    </w:p>
    <w:p w14:paraId="29E1298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①所供食材应保持较好的外观和质量等级，严格遵守《动物检疫管理办法》和《中华人民共和国食品安全法》等相关规定，保证无异味、无霉烂变质，肉类保证来源于正规肉联厂，供货时须提交当批次有效的动物检疫合格证复印件（原件备查）</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3465753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②鱼类鲜活利用率不低于95%。</w:t>
      </w:r>
    </w:p>
    <w:p w14:paraId="603B697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③鲜肉类为当日新鮮肉，质量指标应符合GB/T 9959.1的相应技术要求。国家有定点屠宰、检验检疫要求的品种，应来自定点屠宰厂出品、有国家规定的动物产品检疫合格证明及验讫印章、肉品品质检验合格证明及验讫印章等。利用率不低于98%。</w:t>
      </w:r>
    </w:p>
    <w:p w14:paraId="1F56619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④鲜蛋的食品安全指标。应符合GB 2749的规定，感官指标不低于国家有关食品质量标准的二级指标要求，应保证新鲜。</w:t>
      </w:r>
    </w:p>
    <w:p w14:paraId="557E7B4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副食品与调味料类基本要求：</w:t>
      </w:r>
    </w:p>
    <w:p w14:paraId="2905E19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①要求符合国家相关行业标准，干爽，不霉烂、整齐、均匀、完整，无虫蛀、无杂质，保持应有的色泽，剩余保质期不少于原保质期</w:t>
      </w:r>
      <w:r>
        <w:rPr>
          <w:rFonts w:hint="eastAsia" w:ascii="宋体" w:hAnsi="宋体" w:eastAsia="宋体" w:cs="宋体"/>
          <w:color w:val="000000" w:themeColor="text1"/>
          <w:sz w:val="21"/>
          <w:szCs w:val="21"/>
          <w:highlight w:val="none"/>
          <w:lang w:val="en-US" w:eastAsia="zh-CN"/>
          <w14:textFill>
            <w14:solidFill>
              <w14:schemeClr w14:val="tx1"/>
            </w14:solidFill>
          </w14:textFill>
        </w:rPr>
        <w:t>60%</w:t>
      </w:r>
      <w:r>
        <w:rPr>
          <w:rFonts w:hint="eastAsia" w:ascii="宋体" w:hAnsi="宋体" w:eastAsia="宋体" w:cs="宋体"/>
          <w:color w:val="000000" w:themeColor="text1"/>
          <w:sz w:val="21"/>
          <w:szCs w:val="21"/>
          <w:highlight w:val="none"/>
          <w14:textFill>
            <w14:solidFill>
              <w14:schemeClr w14:val="tx1"/>
            </w14:solidFill>
          </w14:textFill>
        </w:rPr>
        <w:t>，从加工、包装、运输、贮存到销售全部符合国家规定标准，标识说明完整详细包括：产品名称、净含量、配料表、制造商名称和地址、产品标准号、生产日期、保质期。</w:t>
      </w:r>
    </w:p>
    <w:p w14:paraId="42B284B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②大米必须应符合GB 2715的规定，质量指标不低于GB/T 1354一级定等指标的技术要求，取得食品生产许可证，具有产品检验报告，在保质期内，有QS标志</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3A8BC6C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③面粉必须应符合GB 2715的规定，质量指标不低于GB/T 1355的精制粉指标的技术要求</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取得食品生产许可证，具有产品检验报告，在保质期内，有QS标志。</w:t>
      </w:r>
    </w:p>
    <w:p w14:paraId="1872CBD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14:textFill>
            <w14:solidFill>
              <w14:schemeClr w14:val="tx1"/>
            </w14:solidFill>
          </w14:textFill>
        </w:rPr>
        <w:t>乳制品（仅限发酵乳、巴氏杀菌乳、灭菌乳、调制乳）的食品安全指标。应分别符合GB 19302、GB 19645、GB 25190、GB 25191、T/DAC004、T/DAC005的规定；乳制品蛋白质含量不得低于2.8g/100mL。</w:t>
      </w:r>
    </w:p>
    <w:p w14:paraId="20FD7F5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调味品的指标。不得含有人工合成着色剂，酱油、食醋应为酿造酱油和酿造食醋，不得供应配制酱油或食醋，其中酱油氨基酸态氮含量不得低于0.7g/100mL。</w:t>
      </w:r>
    </w:p>
    <w:p w14:paraId="5004F2E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14:textFill>
            <w14:solidFill>
              <w14:schemeClr w14:val="tx1"/>
            </w14:solidFill>
          </w14:textFill>
        </w:rPr>
        <w:t>果蔬类基本要求：必须是优质货品，符合卫生质量要求和国家相关行业标准，不得含有残留农药或污染物，同时须承担因所供问题果蔬引起的一切事故后果。蔬菜利用率不低于95%</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4949F3CE">
      <w:pPr>
        <w:pStyle w:val="8"/>
        <w:numPr>
          <w:ilvl w:val="0"/>
          <w:numId w:val="0"/>
        </w:numPr>
        <w:spacing w:line="360" w:lineRule="auto"/>
        <w:ind w:leftChars="20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lang w:eastAsia="zh-CN"/>
          <w14:textFill>
            <w14:solidFill>
              <w14:schemeClr w14:val="tx1"/>
            </w14:solidFill>
          </w14:textFill>
        </w:rPr>
        <w:t>食用农产品的指标。应提供食品检验合格证明，供应商对每批次食用农产品开展快检。</w:t>
      </w:r>
    </w:p>
    <w:p w14:paraId="774AB91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9.成品食用油的食品的安全指标。应符合GB 2716的规定，取得食品生产许可证，具有产品检验报告，在保质期内，有QS标志。不采购使用含转基因原料的食用油和棕榈油或含棕榈油成分（棕榈油成分占比超过50%）的食用调和油。严禁配送使用循环包装容器（周转桶）盛装的食用油。</w:t>
      </w:r>
    </w:p>
    <w:p w14:paraId="1853685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z w:val="21"/>
          <w:szCs w:val="21"/>
          <w:highlight w:val="none"/>
          <w14:textFill>
            <w14:solidFill>
              <w14:schemeClr w14:val="tx1"/>
            </w14:solidFill>
          </w14:textFill>
        </w:rPr>
        <w:t>冻品类基本要求：产品质量必须符合国家行业标准要求，有明确的商品标签，有生产日期、保质期、质量等级，不得有掺假、变质、变味、过期等现象出现，保证运输过程冷链不中断，送达目的地时外包装箱干爽，无软化现象。</w:t>
      </w:r>
    </w:p>
    <w:p w14:paraId="540D2A8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11.</w:t>
      </w:r>
      <w:r>
        <w:rPr>
          <w:rFonts w:hint="eastAsia" w:ascii="宋体" w:hAnsi="宋体" w:eastAsia="宋体" w:cs="宋体"/>
          <w:color w:val="000000" w:themeColor="text1"/>
          <w:sz w:val="21"/>
          <w:szCs w:val="21"/>
          <w:highlight w:val="none"/>
          <w14:textFill>
            <w14:solidFill>
              <w14:schemeClr w14:val="tx1"/>
            </w14:solidFill>
          </w14:textFill>
        </w:rPr>
        <w:t>冻品类基本要求：产品质量必须符合国家行业标准要求，有明确的商品标签，有生产日期、保质期、质量等级，不得有掺假、变质、变味、过期等现象出现，保证运输过程冷链不中断，送达目的地时外包装箱干爽，无软化现象。</w:t>
      </w:r>
    </w:p>
    <w:p w14:paraId="34568F8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12.学校采购冷冻食品食材金额不得超过当餐采购总金额的30%。</w:t>
      </w:r>
    </w:p>
    <w:p w14:paraId="3F3A3BE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13.学校不接受预制菜进校园。</w:t>
      </w:r>
    </w:p>
    <w:p w14:paraId="19C9FF91">
      <w:pPr>
        <w:pStyle w:val="8"/>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14.保质期要求：保质期超过15日的货品剩余保质期不得短于保质期的60%，保质期低于15日的货品必须为送货当日屠宰或制作的货品。</w:t>
      </w:r>
    </w:p>
    <w:p w14:paraId="5C9D155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（二）</w:t>
      </w:r>
      <w:r>
        <w:rPr>
          <w:rFonts w:hint="eastAsia" w:ascii="宋体" w:hAnsi="宋体" w:eastAsia="宋体" w:cs="宋体"/>
          <w:color w:val="000000" w:themeColor="text1"/>
          <w:sz w:val="21"/>
          <w:szCs w:val="21"/>
          <w:highlight w:val="none"/>
          <w14:textFill>
            <w14:solidFill>
              <w14:schemeClr w14:val="tx1"/>
            </w14:solidFill>
          </w14:textFill>
        </w:rPr>
        <w:t>数量要求</w:t>
      </w:r>
    </w:p>
    <w:p w14:paraId="74F4443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应保证斤</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两的准确性</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32AEC8F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以</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的验收数量为准，</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lang w:val="en-US" w:eastAsia="zh-CN"/>
          <w14:textFill>
            <w14:solidFill>
              <w14:schemeClr w14:val="tx1"/>
            </w14:solidFill>
          </w14:textFill>
        </w:rPr>
        <w:t>每</w:t>
      </w:r>
      <w:r>
        <w:rPr>
          <w:rFonts w:hint="eastAsia" w:ascii="宋体" w:hAnsi="宋体" w:eastAsia="宋体" w:cs="宋体"/>
          <w:color w:val="000000" w:themeColor="text1"/>
          <w:sz w:val="21"/>
          <w:szCs w:val="21"/>
          <w:highlight w:val="none"/>
          <w14:textFill>
            <w14:solidFill>
              <w14:schemeClr w14:val="tx1"/>
            </w14:solidFill>
          </w14:textFill>
        </w:rPr>
        <w:t>次随货携带一式两联的送货清单，食品经双方验收后签字确认</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56B451A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双方各持一份，全部作为收货与货款结算的凭证。</w:t>
      </w:r>
    </w:p>
    <w:p w14:paraId="630F296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四、</w:t>
      </w:r>
      <w:r>
        <w:rPr>
          <w:rFonts w:hint="eastAsia" w:ascii="宋体" w:hAnsi="宋体" w:eastAsia="宋体" w:cs="宋体"/>
          <w:b/>
          <w:bCs/>
          <w:color w:val="000000" w:themeColor="text1"/>
          <w:sz w:val="21"/>
          <w:szCs w:val="21"/>
          <w:highlight w:val="none"/>
          <w14:textFill>
            <w14:solidFill>
              <w14:schemeClr w14:val="tx1"/>
            </w14:solidFill>
          </w14:textFill>
        </w:rPr>
        <w:t>食品安全保障措</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施</w:t>
      </w:r>
    </w:p>
    <w:p w14:paraId="5DBF1AD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必须</w:t>
      </w:r>
      <w:r>
        <w:rPr>
          <w:rFonts w:hint="eastAsia" w:ascii="宋体" w:hAnsi="宋体" w:eastAsia="宋体" w:cs="宋体"/>
          <w:color w:val="000000" w:themeColor="text1"/>
          <w:sz w:val="21"/>
          <w:szCs w:val="21"/>
          <w:highlight w:val="none"/>
          <w:lang w:val="en-US" w:eastAsia="zh-CN"/>
          <w14:textFill>
            <w14:solidFill>
              <w14:schemeClr w14:val="tx1"/>
            </w14:solidFill>
          </w14:textFill>
        </w:rPr>
        <w:t>遵</w:t>
      </w:r>
      <w:r>
        <w:rPr>
          <w:rFonts w:hint="eastAsia" w:ascii="宋体" w:hAnsi="宋体" w:eastAsia="宋体" w:cs="宋体"/>
          <w:color w:val="000000" w:themeColor="text1"/>
          <w:sz w:val="21"/>
          <w:szCs w:val="21"/>
          <w:highlight w:val="none"/>
          <w14:textFill>
            <w14:solidFill>
              <w14:schemeClr w14:val="tx1"/>
            </w14:solidFill>
          </w14:textFill>
        </w:rPr>
        <w:t>守国家规定的《食品安全法》《产品</w:t>
      </w:r>
      <w:r>
        <w:rPr>
          <w:rFonts w:hint="eastAsia" w:ascii="宋体" w:hAnsi="宋体" w:eastAsia="宋体" w:cs="宋体"/>
          <w:color w:val="000000" w:themeColor="text1"/>
          <w:sz w:val="21"/>
          <w:szCs w:val="21"/>
          <w:highlight w:val="none"/>
          <w:lang w:val="en-US" w:eastAsia="zh-CN"/>
          <w14:textFill>
            <w14:solidFill>
              <w14:schemeClr w14:val="tx1"/>
            </w14:solidFill>
          </w14:textFill>
        </w:rPr>
        <w:t>质</w:t>
      </w:r>
      <w:r>
        <w:rPr>
          <w:rFonts w:hint="eastAsia" w:ascii="宋体" w:hAnsi="宋体" w:eastAsia="宋体" w:cs="宋体"/>
          <w:color w:val="000000" w:themeColor="text1"/>
          <w:sz w:val="21"/>
          <w:szCs w:val="21"/>
          <w:highlight w:val="none"/>
          <w14:textFill>
            <w14:solidFill>
              <w14:schemeClr w14:val="tx1"/>
            </w14:solidFill>
          </w14:textFill>
        </w:rPr>
        <w:t>量安全法》等法律和行政法</w:t>
      </w:r>
      <w:r>
        <w:rPr>
          <w:rFonts w:hint="eastAsia" w:ascii="宋体" w:hAnsi="宋体" w:eastAsia="宋体" w:cs="宋体"/>
          <w:color w:val="000000" w:themeColor="text1"/>
          <w:sz w:val="21"/>
          <w:szCs w:val="21"/>
          <w:highlight w:val="none"/>
          <w:lang w:val="en-US" w:eastAsia="zh-CN"/>
          <w14:textFill>
            <w14:solidFill>
              <w14:schemeClr w14:val="tx1"/>
            </w14:solidFill>
          </w14:textFill>
        </w:rPr>
        <w:t>规</w:t>
      </w:r>
      <w:r>
        <w:rPr>
          <w:rFonts w:hint="eastAsia" w:ascii="宋体" w:hAnsi="宋体" w:eastAsia="宋体" w:cs="宋体"/>
          <w:color w:val="000000" w:themeColor="text1"/>
          <w:sz w:val="21"/>
          <w:szCs w:val="21"/>
          <w:highlight w:val="none"/>
          <w14:textFill>
            <w14:solidFill>
              <w14:schemeClr w14:val="tx1"/>
            </w14:solidFill>
          </w14:textFill>
        </w:rPr>
        <w:t>的规定，提供的货品必须符合国家有</w:t>
      </w:r>
      <w:r>
        <w:rPr>
          <w:rFonts w:hint="eastAsia" w:ascii="宋体" w:hAnsi="宋体" w:eastAsia="宋体" w:cs="宋体"/>
          <w:color w:val="000000" w:themeColor="text1"/>
          <w:sz w:val="21"/>
          <w:szCs w:val="21"/>
          <w:highlight w:val="none"/>
          <w:lang w:val="en-US" w:eastAsia="zh-CN"/>
          <w14:textFill>
            <w14:solidFill>
              <w14:schemeClr w14:val="tx1"/>
            </w14:solidFill>
          </w14:textFill>
        </w:rPr>
        <w:t>关</w:t>
      </w:r>
      <w:r>
        <w:rPr>
          <w:rFonts w:hint="eastAsia" w:ascii="宋体" w:hAnsi="宋体" w:eastAsia="宋体" w:cs="宋体"/>
          <w:color w:val="000000" w:themeColor="text1"/>
          <w:sz w:val="21"/>
          <w:szCs w:val="21"/>
          <w:highlight w:val="none"/>
          <w14:textFill>
            <w14:solidFill>
              <w14:schemeClr w14:val="tx1"/>
            </w14:solidFill>
          </w14:textFill>
        </w:rPr>
        <w:t>卫生标准，保质，保</w:t>
      </w:r>
      <w:r>
        <w:rPr>
          <w:rFonts w:hint="eastAsia" w:ascii="宋体" w:hAnsi="宋体" w:eastAsia="宋体" w:cs="宋体"/>
          <w:color w:val="000000" w:themeColor="text1"/>
          <w:sz w:val="21"/>
          <w:szCs w:val="21"/>
          <w:highlight w:val="none"/>
          <w:lang w:val="en-US" w:eastAsia="zh-CN"/>
          <w14:textFill>
            <w14:solidFill>
              <w14:schemeClr w14:val="tx1"/>
            </w14:solidFill>
          </w14:textFill>
        </w:rPr>
        <w:t>量</w:t>
      </w:r>
      <w:r>
        <w:rPr>
          <w:rFonts w:hint="eastAsia" w:ascii="宋体" w:hAnsi="宋体" w:eastAsia="宋体" w:cs="宋体"/>
          <w:color w:val="000000" w:themeColor="text1"/>
          <w:sz w:val="21"/>
          <w:szCs w:val="21"/>
          <w:highlight w:val="none"/>
          <w14:textFill>
            <w14:solidFill>
              <w14:schemeClr w14:val="tx1"/>
            </w14:solidFill>
          </w14:textFill>
        </w:rPr>
        <w:t>，保鲜，严禁配送假</w:t>
      </w:r>
      <w:r>
        <w:rPr>
          <w:rFonts w:hint="eastAsia" w:ascii="宋体" w:hAnsi="宋体" w:eastAsia="宋体" w:cs="宋体"/>
          <w:color w:val="000000" w:themeColor="text1"/>
          <w:sz w:val="21"/>
          <w:szCs w:val="21"/>
          <w:highlight w:val="none"/>
          <w:lang w:val="en-US" w:eastAsia="zh-CN"/>
          <w14:textFill>
            <w14:solidFill>
              <w14:schemeClr w14:val="tx1"/>
            </w14:solidFill>
          </w14:textFill>
        </w:rPr>
        <w:t>冒</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变</w:t>
      </w:r>
      <w:r>
        <w:rPr>
          <w:rFonts w:hint="eastAsia" w:ascii="宋体" w:hAnsi="宋体" w:eastAsia="宋体" w:cs="宋体"/>
          <w:color w:val="000000" w:themeColor="text1"/>
          <w:sz w:val="21"/>
          <w:szCs w:val="21"/>
          <w:highlight w:val="none"/>
          <w14:textFill>
            <w14:solidFill>
              <w14:schemeClr w14:val="tx1"/>
            </w14:solidFill>
          </w14:textFill>
        </w:rPr>
        <w:t>质，过期的农副产品。不合格的货品，</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必须包退包换。</w:t>
      </w:r>
    </w:p>
    <w:p w14:paraId="71F3BD7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应对</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购买的食品分类用器具装载，不得混装，运输过程应采取相应的保鲜防护措施。</w:t>
      </w:r>
    </w:p>
    <w:p w14:paraId="3FF0B13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14:textFill>
            <w14:solidFill>
              <w14:schemeClr w14:val="tx1"/>
            </w14:solidFill>
          </w14:textFill>
        </w:rPr>
        <w:t>如因</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所送的食品引起食用的人身体不适，发生食物中毒等问题，经质量</w:t>
      </w:r>
      <w:r>
        <w:rPr>
          <w:rFonts w:hint="eastAsia" w:ascii="宋体" w:hAnsi="宋体" w:eastAsia="宋体" w:cs="宋体"/>
          <w:color w:val="000000" w:themeColor="text1"/>
          <w:sz w:val="21"/>
          <w:szCs w:val="21"/>
          <w:highlight w:val="none"/>
          <w:lang w:val="en-US" w:eastAsia="zh-CN"/>
          <w14:textFill>
            <w14:solidFill>
              <w14:schemeClr w14:val="tx1"/>
            </w14:solidFill>
          </w14:textFill>
        </w:rPr>
        <w:t>检</w:t>
      </w:r>
      <w:r>
        <w:rPr>
          <w:rFonts w:hint="eastAsia" w:ascii="宋体" w:hAnsi="宋体" w:eastAsia="宋体" w:cs="宋体"/>
          <w:color w:val="000000" w:themeColor="text1"/>
          <w:sz w:val="21"/>
          <w:szCs w:val="21"/>
          <w:highlight w:val="none"/>
          <w14:textFill>
            <w14:solidFill>
              <w14:schemeClr w14:val="tx1"/>
            </w14:solidFill>
          </w14:textFill>
        </w:rPr>
        <w:t>验部门确定后是</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的责任，由</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承担全部经济赔</w:t>
      </w:r>
      <w:r>
        <w:rPr>
          <w:rFonts w:hint="eastAsia" w:ascii="宋体" w:hAnsi="宋体" w:eastAsia="宋体" w:cs="宋体"/>
          <w:color w:val="000000" w:themeColor="text1"/>
          <w:sz w:val="21"/>
          <w:szCs w:val="21"/>
          <w:highlight w:val="none"/>
          <w:lang w:val="en-US" w:eastAsia="zh-CN"/>
          <w14:textFill>
            <w14:solidFill>
              <w14:schemeClr w14:val="tx1"/>
            </w14:solidFill>
          </w14:textFill>
        </w:rPr>
        <w:t>偿</w:t>
      </w:r>
      <w:r>
        <w:rPr>
          <w:rFonts w:hint="eastAsia" w:ascii="宋体" w:hAnsi="宋体" w:eastAsia="宋体" w:cs="宋体"/>
          <w:color w:val="000000" w:themeColor="text1"/>
          <w:sz w:val="21"/>
          <w:szCs w:val="21"/>
          <w:highlight w:val="none"/>
          <w14:textFill>
            <w14:solidFill>
              <w14:schemeClr w14:val="tx1"/>
            </w14:solidFill>
          </w14:textFill>
        </w:rPr>
        <w:t>与法律责任。</w:t>
      </w:r>
    </w:p>
    <w:p w14:paraId="611925F9">
      <w:pPr>
        <w:pStyle w:val="8"/>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应充分理解</w:t>
      </w:r>
      <w:r>
        <w:rPr>
          <w:rFonts w:hint="eastAsia" w:ascii="宋体" w:hAnsi="宋体" w:eastAsia="宋体" w:cs="宋体"/>
          <w:color w:val="000000" w:themeColor="text1"/>
          <w:sz w:val="21"/>
          <w:szCs w:val="21"/>
          <w:highlight w:val="none"/>
          <w:lang w:val="en-US" w:eastAsia="zh-CN"/>
          <w14:textFill>
            <w14:solidFill>
              <w14:schemeClr w14:val="tx1"/>
            </w14:solidFill>
          </w14:textFill>
        </w:rPr>
        <w:t>并</w:t>
      </w:r>
      <w:r>
        <w:rPr>
          <w:rFonts w:hint="eastAsia" w:ascii="宋体" w:hAnsi="宋体" w:eastAsia="宋体" w:cs="宋体"/>
          <w:color w:val="000000" w:themeColor="text1"/>
          <w:sz w:val="21"/>
          <w:szCs w:val="21"/>
          <w:highlight w:val="none"/>
          <w14:textFill>
            <w14:solidFill>
              <w14:schemeClr w14:val="tx1"/>
            </w14:solidFill>
          </w14:textFill>
        </w:rPr>
        <w:t>认</w:t>
      </w:r>
      <w:r>
        <w:rPr>
          <w:rFonts w:hint="eastAsia" w:ascii="宋体" w:hAnsi="宋体" w:eastAsia="宋体" w:cs="宋体"/>
          <w:color w:val="000000" w:themeColor="text1"/>
          <w:sz w:val="21"/>
          <w:szCs w:val="21"/>
          <w:highlight w:val="none"/>
          <w:lang w:val="en-US" w:eastAsia="zh-CN"/>
          <w14:textFill>
            <w14:solidFill>
              <w14:schemeClr w14:val="tx1"/>
            </w14:solidFill>
          </w14:textFill>
        </w:rPr>
        <w:t>真遵循</w:t>
      </w:r>
      <w:r>
        <w:rPr>
          <w:rFonts w:hint="eastAsia" w:ascii="宋体" w:hAnsi="宋体" w:eastAsia="宋体" w:cs="宋体"/>
          <w:color w:val="000000" w:themeColor="text1"/>
          <w:sz w:val="21"/>
          <w:szCs w:val="21"/>
          <w:highlight w:val="none"/>
          <w14:textFill>
            <w14:solidFill>
              <w14:schemeClr w14:val="tx1"/>
            </w14:solidFill>
          </w14:textFill>
        </w:rPr>
        <w:t>本招标文件的要求，所提供的货物满足招标文件要求</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保证供应的货品均为正规生产的新鲜（冰鲜除外）检验合格</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无毒</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无辐射、无侵权货品，符合国家有关卫生、质量</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包装和保质标准，要使用有效期的货品，其剩余有效期不得少于标注有效期的</w:t>
      </w:r>
      <w:r>
        <w:rPr>
          <w:rFonts w:hint="eastAsia" w:ascii="宋体" w:hAnsi="宋体" w:eastAsia="宋体" w:cs="宋体"/>
          <w:color w:val="000000" w:themeColor="text1"/>
          <w:sz w:val="21"/>
          <w:szCs w:val="21"/>
          <w:highlight w:val="none"/>
          <w:lang w:val="en-US" w:eastAsia="zh-CN"/>
          <w14:textFill>
            <w14:solidFill>
              <w14:schemeClr w14:val="tx1"/>
            </w14:solidFill>
          </w14:textFill>
        </w:rPr>
        <w:t>60%。保质期低于15日的货品必须为送货当日屠宰或制作的货品。</w:t>
      </w:r>
    </w:p>
    <w:p w14:paraId="47291382">
      <w:pPr>
        <w:pStyle w:val="8"/>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提供的鲜鱼</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肉类保证每日新鲜，提供的猪肉</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牛肉</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羊肉均为</w:t>
      </w:r>
      <w:r>
        <w:rPr>
          <w:rFonts w:hint="eastAsia" w:ascii="宋体" w:hAnsi="宋体" w:eastAsia="宋体" w:cs="宋体"/>
          <w:color w:val="000000" w:themeColor="text1"/>
          <w:sz w:val="21"/>
          <w:szCs w:val="21"/>
          <w:highlight w:val="none"/>
          <w:lang w:val="en-US" w:eastAsia="zh-CN"/>
          <w14:textFill>
            <w14:solidFill>
              <w14:schemeClr w14:val="tx1"/>
            </w14:solidFill>
          </w14:textFill>
        </w:rPr>
        <w:t>阳江市</w:t>
      </w:r>
      <w:r>
        <w:rPr>
          <w:rFonts w:hint="eastAsia" w:ascii="宋体" w:hAnsi="宋体" w:eastAsia="宋体" w:cs="宋体"/>
          <w:color w:val="000000" w:themeColor="text1"/>
          <w:sz w:val="21"/>
          <w:szCs w:val="21"/>
          <w:highlight w:val="none"/>
          <w14:textFill>
            <w14:solidFill>
              <w14:schemeClr w14:val="tx1"/>
            </w14:solidFill>
          </w14:textFill>
        </w:rPr>
        <w:t>定点</w:t>
      </w:r>
      <w:r>
        <w:rPr>
          <w:rFonts w:hint="eastAsia" w:ascii="宋体" w:hAnsi="宋体" w:eastAsia="宋体" w:cs="宋体"/>
          <w:color w:val="000000" w:themeColor="text1"/>
          <w:sz w:val="21"/>
          <w:szCs w:val="21"/>
          <w:highlight w:val="none"/>
          <w:lang w:val="en-US" w:eastAsia="zh-CN"/>
          <w14:textFill>
            <w14:solidFill>
              <w14:schemeClr w14:val="tx1"/>
            </w14:solidFill>
          </w14:textFill>
        </w:rPr>
        <w:t>屠宰</w:t>
      </w:r>
      <w:r>
        <w:rPr>
          <w:rFonts w:hint="eastAsia" w:ascii="宋体" w:hAnsi="宋体" w:eastAsia="宋体" w:cs="宋体"/>
          <w:color w:val="000000" w:themeColor="text1"/>
          <w:sz w:val="21"/>
          <w:szCs w:val="21"/>
          <w:highlight w:val="none"/>
          <w14:textFill>
            <w14:solidFill>
              <w14:schemeClr w14:val="tx1"/>
            </w14:solidFill>
          </w14:textFill>
        </w:rPr>
        <w:t>厂（场）经检疫和肉品品质检</w:t>
      </w:r>
      <w:r>
        <w:rPr>
          <w:rFonts w:hint="eastAsia" w:ascii="宋体" w:hAnsi="宋体" w:eastAsia="宋体" w:cs="宋体"/>
          <w:color w:val="000000" w:themeColor="text1"/>
          <w:sz w:val="21"/>
          <w:szCs w:val="21"/>
          <w:highlight w:val="none"/>
          <w:lang w:val="en-US" w:eastAsia="zh-CN"/>
          <w14:textFill>
            <w14:solidFill>
              <w14:schemeClr w14:val="tx1"/>
            </w14:solidFill>
          </w14:textFill>
        </w:rPr>
        <w:t>验</w:t>
      </w:r>
      <w:r>
        <w:rPr>
          <w:rFonts w:hint="eastAsia" w:ascii="宋体" w:hAnsi="宋体" w:eastAsia="宋体" w:cs="宋体"/>
          <w:color w:val="000000" w:themeColor="text1"/>
          <w:sz w:val="21"/>
          <w:szCs w:val="21"/>
          <w:highlight w:val="none"/>
          <w14:textFill>
            <w14:solidFill>
              <w14:schemeClr w14:val="tx1"/>
            </w14:solidFill>
          </w14:textFill>
        </w:rPr>
        <w:t>合格的产</w:t>
      </w:r>
      <w:r>
        <w:rPr>
          <w:rFonts w:hint="eastAsia" w:ascii="宋体" w:hAnsi="宋体" w:eastAsia="宋体" w:cs="宋体"/>
          <w:color w:val="000000" w:themeColor="text1"/>
          <w:sz w:val="21"/>
          <w:szCs w:val="21"/>
          <w:highlight w:val="none"/>
          <w:lang w:val="en-US" w:eastAsia="zh-CN"/>
          <w14:textFill>
            <w14:solidFill>
              <w14:schemeClr w14:val="tx1"/>
            </w14:solidFill>
          </w14:textFill>
        </w:rPr>
        <w:t>品</w:t>
      </w:r>
      <w:r>
        <w:rPr>
          <w:rFonts w:hint="eastAsia" w:ascii="宋体" w:hAnsi="宋体" w:eastAsia="宋体" w:cs="宋体"/>
          <w:color w:val="000000" w:themeColor="text1"/>
          <w:sz w:val="21"/>
          <w:szCs w:val="21"/>
          <w:highlight w:val="none"/>
          <w14:textFill>
            <w14:solidFill>
              <w14:schemeClr w14:val="tx1"/>
            </w14:solidFill>
          </w14:textFill>
        </w:rPr>
        <w:t>，具有由定点屠宰厂（场）加盖验讫</w:t>
      </w:r>
      <w:r>
        <w:rPr>
          <w:rFonts w:hint="eastAsia" w:ascii="宋体" w:hAnsi="宋体" w:eastAsia="宋体" w:cs="宋体"/>
          <w:color w:val="000000" w:themeColor="text1"/>
          <w:sz w:val="21"/>
          <w:szCs w:val="21"/>
          <w:highlight w:val="none"/>
          <w:lang w:val="en-US" w:eastAsia="zh-CN"/>
          <w14:textFill>
            <w14:solidFill>
              <w14:schemeClr w14:val="tx1"/>
            </w14:solidFill>
          </w14:textFill>
        </w:rPr>
        <w:t>印</w:t>
      </w:r>
      <w:r>
        <w:rPr>
          <w:rFonts w:hint="eastAsia" w:ascii="宋体" w:hAnsi="宋体" w:eastAsia="宋体" w:cs="宋体"/>
          <w:color w:val="000000" w:themeColor="text1"/>
          <w:sz w:val="21"/>
          <w:szCs w:val="21"/>
          <w:highlight w:val="none"/>
          <w14:textFill>
            <w14:solidFill>
              <w14:schemeClr w14:val="tx1"/>
            </w14:solidFill>
          </w14:textFill>
        </w:rPr>
        <w:t>章</w:t>
      </w:r>
      <w:r>
        <w:rPr>
          <w:rFonts w:hint="eastAsia" w:ascii="宋体" w:hAnsi="宋体" w:eastAsia="宋体" w:cs="宋体"/>
          <w:color w:val="000000" w:themeColor="text1"/>
          <w:sz w:val="21"/>
          <w:szCs w:val="21"/>
          <w:highlight w:val="none"/>
          <w:lang w:val="en-US" w:eastAsia="zh-CN"/>
          <w14:textFill>
            <w14:solidFill>
              <w14:schemeClr w14:val="tx1"/>
            </w14:solidFill>
          </w14:textFill>
        </w:rPr>
        <w:t>并</w:t>
      </w:r>
      <w:r>
        <w:rPr>
          <w:rFonts w:hint="eastAsia" w:ascii="宋体" w:hAnsi="宋体" w:eastAsia="宋体" w:cs="宋体"/>
          <w:color w:val="000000" w:themeColor="text1"/>
          <w:sz w:val="21"/>
          <w:szCs w:val="21"/>
          <w:highlight w:val="none"/>
          <w14:textFill>
            <w14:solidFill>
              <w14:schemeClr w14:val="tx1"/>
            </w14:solidFill>
          </w14:textFill>
        </w:rPr>
        <w:t>出具《畜产品检</w:t>
      </w:r>
      <w:r>
        <w:rPr>
          <w:rFonts w:hint="eastAsia" w:ascii="宋体" w:hAnsi="宋体" w:eastAsia="宋体" w:cs="宋体"/>
          <w:color w:val="000000" w:themeColor="text1"/>
          <w:sz w:val="21"/>
          <w:szCs w:val="21"/>
          <w:highlight w:val="none"/>
          <w:lang w:val="en-US" w:eastAsia="zh-CN"/>
          <w14:textFill>
            <w14:solidFill>
              <w14:schemeClr w14:val="tx1"/>
            </w14:solidFill>
          </w14:textFill>
        </w:rPr>
        <w:t>验</w:t>
      </w:r>
      <w:r>
        <w:rPr>
          <w:rFonts w:hint="eastAsia" w:ascii="宋体" w:hAnsi="宋体" w:eastAsia="宋体" w:cs="宋体"/>
          <w:color w:val="000000" w:themeColor="text1"/>
          <w:sz w:val="21"/>
          <w:szCs w:val="21"/>
          <w:highlight w:val="none"/>
          <w14:textFill>
            <w14:solidFill>
              <w14:schemeClr w14:val="tx1"/>
            </w14:solidFill>
          </w14:textFill>
        </w:rPr>
        <w:t>证明</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或《动物检疫合格证明》，所有产品可追索。</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提供的</w:t>
      </w:r>
      <w:r>
        <w:rPr>
          <w:rFonts w:hint="eastAsia" w:ascii="宋体" w:hAnsi="宋体" w:eastAsia="宋体" w:cs="宋体"/>
          <w:color w:val="000000" w:themeColor="text1"/>
          <w:sz w:val="21"/>
          <w:szCs w:val="21"/>
          <w:highlight w:val="none"/>
          <w:lang w:val="en-US" w:eastAsia="zh-CN"/>
          <w14:textFill>
            <w14:solidFill>
              <w14:schemeClr w14:val="tx1"/>
            </w14:solidFill>
          </w14:textFill>
        </w:rPr>
        <w:t>蔬菜</w:t>
      </w:r>
      <w:r>
        <w:rPr>
          <w:rFonts w:hint="eastAsia" w:ascii="宋体" w:hAnsi="宋体" w:eastAsia="宋体" w:cs="宋体"/>
          <w:color w:val="000000" w:themeColor="text1"/>
          <w:sz w:val="21"/>
          <w:szCs w:val="21"/>
          <w:highlight w:val="none"/>
          <w14:textFill>
            <w14:solidFill>
              <w14:schemeClr w14:val="tx1"/>
            </w14:solidFill>
          </w14:textFill>
        </w:rPr>
        <w:t>必须保证每日新鲜，取得无公害认证优先选择，</w:t>
      </w:r>
      <w:r>
        <w:rPr>
          <w:rFonts w:hint="eastAsia" w:ascii="宋体" w:hAnsi="宋体" w:eastAsia="宋体" w:cs="宋体"/>
          <w:color w:val="000000" w:themeColor="text1"/>
          <w:sz w:val="21"/>
          <w:szCs w:val="21"/>
          <w:highlight w:val="none"/>
          <w:lang w:val="en-US" w:eastAsia="zh-CN"/>
          <w14:textFill>
            <w14:solidFill>
              <w14:schemeClr w14:val="tx1"/>
            </w14:solidFill>
          </w14:textFill>
        </w:rPr>
        <w:t>并</w:t>
      </w:r>
      <w:r>
        <w:rPr>
          <w:rFonts w:hint="eastAsia" w:ascii="宋体" w:hAnsi="宋体" w:eastAsia="宋体" w:cs="宋体"/>
          <w:color w:val="000000" w:themeColor="text1"/>
          <w:sz w:val="21"/>
          <w:szCs w:val="21"/>
          <w:highlight w:val="none"/>
          <w14:textFill>
            <w14:solidFill>
              <w14:schemeClr w14:val="tx1"/>
            </w14:solidFill>
          </w14:textFill>
        </w:rPr>
        <w:t>符合食品卫生安全法要求</w:t>
      </w:r>
      <w:r>
        <w:rPr>
          <w:rFonts w:hint="eastAsia" w:ascii="宋体" w:hAnsi="宋体" w:eastAsia="宋体" w:cs="宋体"/>
          <w:color w:val="000000" w:themeColor="text1"/>
          <w:sz w:val="21"/>
          <w:szCs w:val="21"/>
          <w:highlight w:val="none"/>
          <w:lang w:val="en-US" w:eastAsia="zh-CN"/>
          <w14:textFill>
            <w14:solidFill>
              <w14:schemeClr w14:val="tx1"/>
            </w14:solidFill>
          </w14:textFill>
        </w:rPr>
        <w:t>并</w:t>
      </w:r>
      <w:r>
        <w:rPr>
          <w:rFonts w:hint="eastAsia" w:ascii="宋体" w:hAnsi="宋体" w:eastAsia="宋体" w:cs="宋体"/>
          <w:color w:val="000000" w:themeColor="text1"/>
          <w:sz w:val="21"/>
          <w:szCs w:val="21"/>
          <w:highlight w:val="none"/>
          <w14:textFill>
            <w14:solidFill>
              <w14:schemeClr w14:val="tx1"/>
            </w14:solidFill>
          </w14:textFill>
        </w:rPr>
        <w:t>出具有效的《农产品检验报告》，达到供港</w:t>
      </w:r>
      <w:r>
        <w:rPr>
          <w:rFonts w:hint="eastAsia" w:ascii="宋体" w:hAnsi="宋体" w:eastAsia="宋体" w:cs="宋体"/>
          <w:color w:val="000000" w:themeColor="text1"/>
          <w:sz w:val="21"/>
          <w:szCs w:val="21"/>
          <w:highlight w:val="none"/>
          <w:lang w:val="en-US" w:eastAsia="zh-CN"/>
          <w14:textFill>
            <w14:solidFill>
              <w14:schemeClr w14:val="tx1"/>
            </w14:solidFill>
          </w14:textFill>
        </w:rPr>
        <w:t>蔬菜</w:t>
      </w:r>
      <w:r>
        <w:rPr>
          <w:rFonts w:hint="eastAsia" w:ascii="宋体" w:hAnsi="宋体" w:eastAsia="宋体" w:cs="宋体"/>
          <w:color w:val="000000" w:themeColor="text1"/>
          <w:sz w:val="21"/>
          <w:szCs w:val="21"/>
          <w:highlight w:val="none"/>
          <w14:textFill>
            <w14:solidFill>
              <w14:schemeClr w14:val="tx1"/>
            </w14:solidFill>
          </w14:textFill>
        </w:rPr>
        <w:t>标准。</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使用“农药测试卡”检验蔬菜农药含量，如含</w:t>
      </w:r>
      <w:r>
        <w:rPr>
          <w:rFonts w:hint="eastAsia" w:ascii="宋体" w:hAnsi="宋体" w:eastAsia="宋体" w:cs="宋体"/>
          <w:color w:val="000000" w:themeColor="text1"/>
          <w:sz w:val="21"/>
          <w:szCs w:val="21"/>
          <w:highlight w:val="none"/>
          <w:lang w:val="en-US" w:eastAsia="zh-CN"/>
          <w14:textFill>
            <w14:solidFill>
              <w14:schemeClr w14:val="tx1"/>
            </w14:solidFill>
          </w14:textFill>
        </w:rPr>
        <w:t>量</w:t>
      </w:r>
      <w:r>
        <w:rPr>
          <w:rFonts w:hint="eastAsia" w:ascii="宋体" w:hAnsi="宋体" w:eastAsia="宋体" w:cs="宋体"/>
          <w:color w:val="000000" w:themeColor="text1"/>
          <w:sz w:val="21"/>
          <w:szCs w:val="21"/>
          <w:highlight w:val="none"/>
          <w14:textFill>
            <w14:solidFill>
              <w14:schemeClr w14:val="tx1"/>
            </w14:solidFill>
          </w14:textFill>
        </w:rPr>
        <w:t>超标要求</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无条件退货或换货，出现1次含量超标情况的，</w:t>
      </w:r>
      <w:r>
        <w:rPr>
          <w:rFonts w:hint="eastAsia" w:ascii="宋体" w:hAnsi="宋体" w:eastAsia="宋体" w:cs="宋体"/>
          <w:color w:val="000000" w:themeColor="text1"/>
          <w:sz w:val="21"/>
          <w:szCs w:val="21"/>
          <w:highlight w:val="none"/>
          <w:lang w:val="en-US" w:eastAsia="zh-CN"/>
          <w14:textFill>
            <w14:solidFill>
              <w14:schemeClr w14:val="tx1"/>
            </w14:solidFill>
          </w14:textFill>
        </w:rPr>
        <w:t>并</w:t>
      </w:r>
      <w:r>
        <w:rPr>
          <w:rFonts w:hint="eastAsia" w:ascii="宋体" w:hAnsi="宋体" w:eastAsia="宋体" w:cs="宋体"/>
          <w:color w:val="000000" w:themeColor="text1"/>
          <w:sz w:val="21"/>
          <w:szCs w:val="21"/>
          <w:highlight w:val="none"/>
          <w14:textFill>
            <w14:solidFill>
              <w14:schemeClr w14:val="tx1"/>
            </w14:solidFill>
          </w14:textFill>
        </w:rPr>
        <w:t>处以</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人民</w:t>
      </w:r>
      <w:r>
        <w:rPr>
          <w:rFonts w:hint="eastAsia" w:ascii="宋体" w:hAnsi="宋体" w:eastAsia="宋体" w:cs="宋体"/>
          <w:color w:val="000000" w:themeColor="text1"/>
          <w:sz w:val="21"/>
          <w:szCs w:val="21"/>
          <w:highlight w:val="none"/>
          <w:lang w:val="en-US" w:eastAsia="zh-CN"/>
          <w14:textFill>
            <w14:solidFill>
              <w14:schemeClr w14:val="tx1"/>
            </w14:solidFill>
          </w14:textFill>
        </w:rPr>
        <w:t>币</w:t>
      </w:r>
      <w:r>
        <w:rPr>
          <w:rFonts w:hint="eastAsia" w:ascii="宋体" w:hAnsi="宋体" w:eastAsia="宋体" w:cs="宋体"/>
          <w:color w:val="000000" w:themeColor="text1"/>
          <w:sz w:val="21"/>
          <w:szCs w:val="21"/>
          <w:highlight w:val="none"/>
          <w14:textFill>
            <w14:solidFill>
              <w14:schemeClr w14:val="tx1"/>
            </w14:solidFill>
          </w14:textFill>
        </w:rPr>
        <w:t>3000元罚</w:t>
      </w:r>
      <w:r>
        <w:rPr>
          <w:rFonts w:hint="eastAsia" w:ascii="宋体" w:hAnsi="宋体" w:eastAsia="宋体" w:cs="宋体"/>
          <w:color w:val="000000" w:themeColor="text1"/>
          <w:sz w:val="21"/>
          <w:szCs w:val="21"/>
          <w:highlight w:val="none"/>
          <w:lang w:val="en-US" w:eastAsia="zh-CN"/>
          <w14:textFill>
            <w14:solidFill>
              <w14:schemeClr w14:val="tx1"/>
            </w14:solidFill>
          </w14:textFill>
        </w:rPr>
        <w:t>款</w:t>
      </w:r>
      <w:r>
        <w:rPr>
          <w:rFonts w:hint="eastAsia" w:ascii="宋体" w:hAnsi="宋体" w:eastAsia="宋体" w:cs="宋体"/>
          <w:color w:val="000000" w:themeColor="text1"/>
          <w:sz w:val="21"/>
          <w:szCs w:val="21"/>
          <w:highlight w:val="none"/>
          <w14:textFill>
            <w14:solidFill>
              <w14:schemeClr w14:val="tx1"/>
            </w14:solidFill>
          </w14:textFill>
        </w:rPr>
        <w:t>，罚</w:t>
      </w:r>
      <w:r>
        <w:rPr>
          <w:rFonts w:hint="eastAsia" w:ascii="宋体" w:hAnsi="宋体" w:eastAsia="宋体" w:cs="宋体"/>
          <w:color w:val="000000" w:themeColor="text1"/>
          <w:sz w:val="21"/>
          <w:szCs w:val="21"/>
          <w:highlight w:val="none"/>
          <w:lang w:val="en-US" w:eastAsia="zh-CN"/>
          <w14:textFill>
            <w14:solidFill>
              <w14:schemeClr w14:val="tx1"/>
            </w14:solidFill>
          </w14:textFill>
        </w:rPr>
        <w:t>款</w:t>
      </w:r>
      <w:r>
        <w:rPr>
          <w:rFonts w:hint="eastAsia" w:ascii="宋体" w:hAnsi="宋体" w:eastAsia="宋体" w:cs="宋体"/>
          <w:color w:val="000000" w:themeColor="text1"/>
          <w:sz w:val="21"/>
          <w:szCs w:val="21"/>
          <w:highlight w:val="none"/>
          <w14:textFill>
            <w14:solidFill>
              <w14:schemeClr w14:val="tx1"/>
            </w14:solidFill>
          </w14:textFill>
        </w:rPr>
        <w:t>由当批次的供货结算数内扣除。出现3次以上含</w:t>
      </w:r>
      <w:r>
        <w:rPr>
          <w:rFonts w:hint="eastAsia" w:ascii="宋体" w:hAnsi="宋体" w:eastAsia="宋体" w:cs="宋体"/>
          <w:color w:val="000000" w:themeColor="text1"/>
          <w:sz w:val="21"/>
          <w:szCs w:val="21"/>
          <w:highlight w:val="none"/>
          <w:lang w:val="en-US" w:eastAsia="zh-CN"/>
          <w14:textFill>
            <w14:solidFill>
              <w14:schemeClr w14:val="tx1"/>
            </w14:solidFill>
          </w14:textFill>
        </w:rPr>
        <w:t>量</w:t>
      </w:r>
      <w:r>
        <w:rPr>
          <w:rFonts w:hint="eastAsia" w:ascii="宋体" w:hAnsi="宋体" w:eastAsia="宋体" w:cs="宋体"/>
          <w:color w:val="000000" w:themeColor="text1"/>
          <w:sz w:val="21"/>
          <w:szCs w:val="21"/>
          <w:highlight w:val="none"/>
          <w14:textFill>
            <w14:solidFill>
              <w14:schemeClr w14:val="tx1"/>
            </w14:solidFill>
          </w14:textFill>
        </w:rPr>
        <w:t>超标情况的，</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有权单方终止合同。</w:t>
      </w:r>
    </w:p>
    <w:p w14:paraId="74C4E33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应保证所提供的鲜肉类</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生禽</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鲜水产、蔬菜种类的多样性和季节性，以保证食材新鮮感，投标人应在投标文件中列出所投相关品目</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25F7E66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货物有包装的，货物的包装应完整清洁（无损、无污</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无皱），</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有权拒收包装不整齐</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已拆封的商品。</w:t>
      </w:r>
    </w:p>
    <w:p w14:paraId="0FB515E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发现商品出现损坏（包括表</w:t>
      </w:r>
      <w:r>
        <w:rPr>
          <w:rFonts w:hint="eastAsia" w:ascii="宋体" w:hAnsi="宋体" w:eastAsia="宋体" w:cs="宋体"/>
          <w:color w:val="000000" w:themeColor="text1"/>
          <w:sz w:val="21"/>
          <w:szCs w:val="21"/>
          <w:highlight w:val="none"/>
          <w:lang w:val="en-US" w:eastAsia="zh-CN"/>
          <w14:textFill>
            <w14:solidFill>
              <w14:schemeClr w14:val="tx1"/>
            </w14:solidFill>
          </w14:textFill>
        </w:rPr>
        <w:t>面</w:t>
      </w:r>
      <w:r>
        <w:rPr>
          <w:rFonts w:hint="eastAsia" w:ascii="宋体" w:hAnsi="宋体" w:eastAsia="宋体" w:cs="宋体"/>
          <w:color w:val="000000" w:themeColor="text1"/>
          <w:sz w:val="21"/>
          <w:szCs w:val="21"/>
          <w:highlight w:val="none"/>
          <w14:textFill>
            <w14:solidFill>
              <w14:schemeClr w14:val="tx1"/>
            </w14:solidFill>
          </w14:textFill>
        </w:rPr>
        <w:t>损坏），或出现水清、串味，受潮等导致货物性质改变的，</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应无条件退货或更换商品。</w:t>
      </w:r>
    </w:p>
    <w:p w14:paraId="143B524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提供假冒伪劣</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过期、变质的</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有毒食品的，一经发现，除按</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要求无条件退货或</w:t>
      </w:r>
      <w:r>
        <w:rPr>
          <w:rFonts w:hint="eastAsia" w:ascii="宋体" w:hAnsi="宋体" w:eastAsia="宋体" w:cs="宋体"/>
          <w:color w:val="000000" w:themeColor="text1"/>
          <w:sz w:val="21"/>
          <w:szCs w:val="21"/>
          <w:highlight w:val="none"/>
          <w:lang w:val="en-US" w:eastAsia="zh-CN"/>
          <w14:textFill>
            <w14:solidFill>
              <w14:schemeClr w14:val="tx1"/>
            </w14:solidFill>
          </w14:textFill>
        </w:rPr>
        <w:t>换</w:t>
      </w:r>
      <w:r>
        <w:rPr>
          <w:rFonts w:hint="eastAsia" w:ascii="宋体" w:hAnsi="宋体" w:eastAsia="宋体" w:cs="宋体"/>
          <w:color w:val="000000" w:themeColor="text1"/>
          <w:sz w:val="21"/>
          <w:szCs w:val="21"/>
          <w:highlight w:val="none"/>
          <w14:textFill>
            <w14:solidFill>
              <w14:schemeClr w14:val="tx1"/>
            </w14:solidFill>
          </w14:textFill>
        </w:rPr>
        <w:t>货外，还将受到如下处罚：</w:t>
      </w:r>
    </w:p>
    <w:p w14:paraId="3947318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提供</w:t>
      </w:r>
      <w:r>
        <w:rPr>
          <w:rFonts w:hint="eastAsia" w:ascii="宋体" w:hAnsi="宋体" w:eastAsia="宋体" w:cs="宋体"/>
          <w:color w:val="000000" w:themeColor="text1"/>
          <w:sz w:val="21"/>
          <w:szCs w:val="21"/>
          <w:highlight w:val="none"/>
          <w:lang w:val="en-US" w:eastAsia="zh-CN"/>
          <w14:textFill>
            <w14:solidFill>
              <w14:schemeClr w14:val="tx1"/>
            </w14:solidFill>
          </w14:textFill>
        </w:rPr>
        <w:t>假</w:t>
      </w:r>
      <w:r>
        <w:rPr>
          <w:rFonts w:hint="eastAsia" w:ascii="宋体" w:hAnsi="宋体" w:eastAsia="宋体" w:cs="宋体"/>
          <w:color w:val="000000" w:themeColor="text1"/>
          <w:sz w:val="21"/>
          <w:szCs w:val="21"/>
          <w:highlight w:val="none"/>
          <w14:textFill>
            <w14:solidFill>
              <w14:schemeClr w14:val="tx1"/>
            </w14:solidFill>
          </w14:textFill>
        </w:rPr>
        <w:t>冒伪劣，过期、变质食品的，</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有权要求无条件退货或换货，</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将被处以当次供应食品货款2倍的罚款，罚款由供货结算</w:t>
      </w:r>
      <w:r>
        <w:rPr>
          <w:rFonts w:hint="eastAsia" w:ascii="宋体" w:hAnsi="宋体" w:eastAsia="宋体" w:cs="宋体"/>
          <w:color w:val="000000" w:themeColor="text1"/>
          <w:sz w:val="21"/>
          <w:szCs w:val="21"/>
          <w:highlight w:val="none"/>
          <w:lang w:val="en-US" w:eastAsia="zh-CN"/>
          <w14:textFill>
            <w14:solidFill>
              <w14:schemeClr w14:val="tx1"/>
            </w14:solidFill>
          </w14:textFill>
        </w:rPr>
        <w:t>款</w:t>
      </w:r>
      <w:r>
        <w:rPr>
          <w:rFonts w:hint="eastAsia" w:ascii="宋体" w:hAnsi="宋体" w:eastAsia="宋体" w:cs="宋体"/>
          <w:color w:val="000000" w:themeColor="text1"/>
          <w:sz w:val="21"/>
          <w:szCs w:val="21"/>
          <w:highlight w:val="none"/>
          <w14:textFill>
            <w14:solidFill>
              <w14:schemeClr w14:val="tx1"/>
            </w14:solidFill>
          </w14:textFill>
        </w:rPr>
        <w:t>内扣除。</w:t>
      </w:r>
    </w:p>
    <w:p w14:paraId="1A57499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提供有毒食品，造成食品安全事故的，经有关单位鉴定原因后，如确实为</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提供的食品问题，</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负担全数的医药费</w:t>
      </w:r>
      <w:r>
        <w:rPr>
          <w:rFonts w:hint="eastAsia" w:ascii="宋体" w:hAnsi="宋体" w:eastAsia="宋体" w:cs="宋体"/>
          <w:color w:val="000000" w:themeColor="text1"/>
          <w:sz w:val="21"/>
          <w:szCs w:val="21"/>
          <w:highlight w:val="none"/>
          <w:lang w:val="en-US" w:eastAsia="zh-CN"/>
          <w14:textFill>
            <w14:solidFill>
              <w14:schemeClr w14:val="tx1"/>
            </w14:solidFill>
          </w14:textFill>
        </w:rPr>
        <w:t>及所有经济赔偿</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将取消该</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的供货资格，没收其</w:t>
      </w:r>
      <w:r>
        <w:rPr>
          <w:rFonts w:hint="eastAsia" w:ascii="宋体" w:hAnsi="宋体" w:eastAsia="宋体" w:cs="宋体"/>
          <w:color w:val="000000" w:themeColor="text1"/>
          <w:sz w:val="21"/>
          <w:szCs w:val="21"/>
          <w:highlight w:val="none"/>
          <w:lang w:val="en-US" w:eastAsia="zh-CN"/>
          <w14:textFill>
            <w14:solidFill>
              <w14:schemeClr w14:val="tx1"/>
            </w14:solidFill>
          </w14:textFill>
        </w:rPr>
        <w:t>履</w:t>
      </w:r>
      <w:r>
        <w:rPr>
          <w:rFonts w:hint="eastAsia" w:ascii="宋体" w:hAnsi="宋体" w:eastAsia="宋体" w:cs="宋体"/>
          <w:color w:val="000000" w:themeColor="text1"/>
          <w:sz w:val="21"/>
          <w:szCs w:val="21"/>
          <w:highlight w:val="none"/>
          <w14:textFill>
            <w14:solidFill>
              <w14:schemeClr w14:val="tx1"/>
            </w14:solidFill>
          </w14:textFill>
        </w:rPr>
        <w:t>约保证金，</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同时承担相应的民事及刑事法律责任及放弃先诉抗辩权。</w:t>
      </w:r>
    </w:p>
    <w:p w14:paraId="4EC344A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五、配送服务要求</w:t>
      </w:r>
    </w:p>
    <w:p w14:paraId="7600CDA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1.中标人必须具有自有（或租赁）冷库</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w:t>
      </w:r>
    </w:p>
    <w:p w14:paraId="1662130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2.中标人必须具有自有或租赁食材配送专用车辆</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w:t>
      </w:r>
    </w:p>
    <w:p w14:paraId="68D0272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3.为确保配送食材符合安全要求，要求投标公司应具有检测设备和检测场所，检测人员具有食品检验资格证书</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w:t>
      </w:r>
    </w:p>
    <w:p w14:paraId="3E182BF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4.根据学校实际情况提供相应的配送实施方案、人员配备方案、配送应急方案、安全控制方案、售后服务方案。</w:t>
      </w:r>
    </w:p>
    <w:p w14:paraId="3B569AD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5.中标人必须购买食品安全责任险。</w:t>
      </w:r>
    </w:p>
    <w:p w14:paraId="1365095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应保证每天早上将所订的货物按照约定时间送至</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指定地方，运输车辆内外应清洁干净，无污</w:t>
      </w:r>
      <w:r>
        <w:rPr>
          <w:rFonts w:hint="eastAsia" w:ascii="宋体" w:hAnsi="宋体" w:eastAsia="宋体" w:cs="宋体"/>
          <w:color w:val="000000" w:themeColor="text1"/>
          <w:sz w:val="21"/>
          <w:szCs w:val="21"/>
          <w:highlight w:val="none"/>
          <w:lang w:val="en-US" w:eastAsia="zh-CN"/>
          <w14:textFill>
            <w14:solidFill>
              <w14:schemeClr w14:val="tx1"/>
            </w14:solidFill>
          </w14:textFill>
        </w:rPr>
        <w:t>渍</w:t>
      </w:r>
      <w:r>
        <w:rPr>
          <w:rFonts w:hint="eastAsia" w:ascii="宋体" w:hAnsi="宋体" w:eastAsia="宋体" w:cs="宋体"/>
          <w:color w:val="000000" w:themeColor="text1"/>
          <w:sz w:val="21"/>
          <w:szCs w:val="21"/>
          <w:highlight w:val="none"/>
          <w14:textFill>
            <w14:solidFill>
              <w14:schemeClr w14:val="tx1"/>
            </w14:solidFill>
          </w14:textFill>
        </w:rPr>
        <w:t>，无异味。</w:t>
      </w:r>
    </w:p>
    <w:p w14:paraId="726E959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7.如采购人</w:t>
      </w:r>
      <w:r>
        <w:rPr>
          <w:rFonts w:hint="eastAsia" w:ascii="宋体" w:hAnsi="宋体" w:eastAsia="宋体" w:cs="宋体"/>
          <w:color w:val="000000" w:themeColor="text1"/>
          <w:sz w:val="21"/>
          <w:szCs w:val="21"/>
          <w:highlight w:val="none"/>
          <w14:textFill>
            <w14:solidFill>
              <w14:schemeClr w14:val="tx1"/>
            </w14:solidFill>
          </w14:textFill>
        </w:rPr>
        <w:t>需要</w:t>
      </w:r>
      <w:r>
        <w:rPr>
          <w:rFonts w:hint="eastAsia" w:ascii="宋体" w:hAnsi="宋体" w:eastAsia="宋体" w:cs="宋体"/>
          <w:color w:val="000000" w:themeColor="text1"/>
          <w:sz w:val="21"/>
          <w:szCs w:val="21"/>
          <w:highlight w:val="none"/>
          <w:lang w:val="en-US" w:eastAsia="zh-CN"/>
          <w14:textFill>
            <w14:solidFill>
              <w14:schemeClr w14:val="tx1"/>
            </w14:solidFill>
          </w14:textFill>
        </w:rPr>
        <w:t>临时</w:t>
      </w:r>
      <w:r>
        <w:rPr>
          <w:rFonts w:hint="eastAsia" w:ascii="宋体" w:hAnsi="宋体" w:eastAsia="宋体" w:cs="宋体"/>
          <w:color w:val="000000" w:themeColor="text1"/>
          <w:sz w:val="21"/>
          <w:szCs w:val="21"/>
          <w:highlight w:val="none"/>
          <w14:textFill>
            <w14:solidFill>
              <w14:schemeClr w14:val="tx1"/>
            </w14:solidFill>
          </w14:textFill>
        </w:rPr>
        <w:t>增加补货，</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必</w:t>
      </w:r>
      <w:r>
        <w:rPr>
          <w:rFonts w:hint="eastAsia" w:ascii="宋体" w:hAnsi="宋体" w:eastAsia="宋体" w:cs="宋体"/>
          <w:color w:val="000000" w:themeColor="text1"/>
          <w:sz w:val="21"/>
          <w:szCs w:val="21"/>
          <w:highlight w:val="none"/>
          <w:lang w:val="en-US" w:eastAsia="zh-CN"/>
          <w14:textFill>
            <w14:solidFill>
              <w14:schemeClr w14:val="tx1"/>
            </w14:solidFill>
          </w14:textFill>
        </w:rPr>
        <w:t>须</w:t>
      </w:r>
      <w:r>
        <w:rPr>
          <w:rFonts w:hint="eastAsia" w:ascii="宋体" w:hAnsi="宋体" w:eastAsia="宋体" w:cs="宋体"/>
          <w:color w:val="000000" w:themeColor="text1"/>
          <w:sz w:val="21"/>
          <w:szCs w:val="21"/>
          <w:highlight w:val="none"/>
          <w14:textFill>
            <w14:solidFill>
              <w14:schemeClr w14:val="tx1"/>
            </w14:solidFill>
          </w14:textFill>
        </w:rPr>
        <w:t>在</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0分钟内</w:t>
      </w:r>
      <w:r>
        <w:rPr>
          <w:rFonts w:hint="eastAsia" w:ascii="宋体" w:hAnsi="宋体" w:eastAsia="宋体" w:cs="宋体"/>
          <w:color w:val="000000" w:themeColor="text1"/>
          <w:sz w:val="21"/>
          <w:szCs w:val="21"/>
          <w:highlight w:val="none"/>
          <w:lang w:val="en-US" w:eastAsia="zh-CN"/>
          <w14:textFill>
            <w14:solidFill>
              <w14:schemeClr w14:val="tx1"/>
            </w14:solidFill>
          </w14:textFill>
        </w:rPr>
        <w:t>将</w:t>
      </w:r>
      <w:r>
        <w:rPr>
          <w:rFonts w:hint="eastAsia" w:ascii="宋体" w:hAnsi="宋体" w:eastAsia="宋体" w:cs="宋体"/>
          <w:color w:val="000000" w:themeColor="text1"/>
          <w:sz w:val="21"/>
          <w:szCs w:val="21"/>
          <w:highlight w:val="none"/>
          <w14:textFill>
            <w14:solidFill>
              <w14:schemeClr w14:val="tx1"/>
            </w14:solidFill>
          </w14:textFill>
        </w:rPr>
        <w:t>货物保</w:t>
      </w:r>
      <w:r>
        <w:rPr>
          <w:rFonts w:hint="eastAsia" w:ascii="宋体" w:hAnsi="宋体" w:eastAsia="宋体" w:cs="宋体"/>
          <w:color w:val="000000" w:themeColor="text1"/>
          <w:sz w:val="21"/>
          <w:szCs w:val="21"/>
          <w:highlight w:val="none"/>
          <w:lang w:val="en-US" w:eastAsia="zh-CN"/>
          <w14:textFill>
            <w14:solidFill>
              <w14:schemeClr w14:val="tx1"/>
            </w14:solidFill>
          </w14:textFill>
        </w:rPr>
        <w:t>质</w:t>
      </w:r>
      <w:r>
        <w:rPr>
          <w:rFonts w:hint="eastAsia" w:ascii="宋体" w:hAnsi="宋体" w:eastAsia="宋体" w:cs="宋体"/>
          <w:color w:val="000000" w:themeColor="text1"/>
          <w:sz w:val="21"/>
          <w:szCs w:val="21"/>
          <w:highlight w:val="none"/>
          <w14:textFill>
            <w14:solidFill>
              <w14:schemeClr w14:val="tx1"/>
            </w14:solidFill>
          </w14:textFill>
        </w:rPr>
        <w:t>保</w:t>
      </w:r>
      <w:r>
        <w:rPr>
          <w:rFonts w:hint="eastAsia" w:ascii="宋体" w:hAnsi="宋体" w:eastAsia="宋体" w:cs="宋体"/>
          <w:color w:val="000000" w:themeColor="text1"/>
          <w:sz w:val="21"/>
          <w:szCs w:val="21"/>
          <w:highlight w:val="none"/>
          <w:lang w:val="en-US" w:eastAsia="zh-CN"/>
          <w14:textFill>
            <w14:solidFill>
              <w14:schemeClr w14:val="tx1"/>
            </w14:solidFill>
          </w14:textFill>
        </w:rPr>
        <w:t>量送</w:t>
      </w:r>
      <w:r>
        <w:rPr>
          <w:rFonts w:hint="eastAsia" w:ascii="宋体" w:hAnsi="宋体" w:eastAsia="宋体" w:cs="宋体"/>
          <w:color w:val="000000" w:themeColor="text1"/>
          <w:sz w:val="21"/>
          <w:szCs w:val="21"/>
          <w:highlight w:val="none"/>
          <w14:textFill>
            <w14:solidFill>
              <w14:schemeClr w14:val="tx1"/>
            </w14:solidFill>
          </w14:textFill>
        </w:rPr>
        <w:t>到</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指定场点，送错货物累计达三次（含以上）扣罚当次货</w:t>
      </w:r>
      <w:r>
        <w:rPr>
          <w:rFonts w:hint="eastAsia" w:ascii="宋体" w:hAnsi="宋体" w:eastAsia="宋体" w:cs="宋体"/>
          <w:color w:val="000000" w:themeColor="text1"/>
          <w:sz w:val="21"/>
          <w:szCs w:val="21"/>
          <w:highlight w:val="none"/>
          <w:lang w:val="en-US" w:eastAsia="zh-CN"/>
          <w14:textFill>
            <w14:solidFill>
              <w14:schemeClr w14:val="tx1"/>
            </w14:solidFill>
          </w14:textFill>
        </w:rPr>
        <w:t>款</w:t>
      </w:r>
      <w:r>
        <w:rPr>
          <w:rFonts w:hint="eastAsia" w:ascii="宋体" w:hAnsi="宋体" w:eastAsia="宋体" w:cs="宋体"/>
          <w:color w:val="000000" w:themeColor="text1"/>
          <w:sz w:val="21"/>
          <w:szCs w:val="21"/>
          <w:highlight w:val="none"/>
          <w14:textFill>
            <w14:solidFill>
              <w14:schemeClr w14:val="tx1"/>
            </w14:solidFill>
          </w14:textFill>
        </w:rPr>
        <w:t>的10%，超时每次扣罚200元，罚数由供货结算款内扣除。</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提供的货品质量未达到相关标准达三次（含）以上的将取消其中标资格。</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不能委托其他公司送货。</w:t>
      </w:r>
    </w:p>
    <w:p w14:paraId="31160AB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应当根据</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实际情况，按照与</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的约定，在规定的时间内将预定的货物如数送到指定地点。如遇不可抗力因素而造成配送延误时，</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应提前通知</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并</w:t>
      </w:r>
      <w:r>
        <w:rPr>
          <w:rFonts w:hint="eastAsia" w:ascii="宋体" w:hAnsi="宋体" w:eastAsia="宋体" w:cs="宋体"/>
          <w:color w:val="000000" w:themeColor="text1"/>
          <w:sz w:val="21"/>
          <w:szCs w:val="21"/>
          <w:highlight w:val="none"/>
          <w14:textFill>
            <w14:solidFill>
              <w14:schemeClr w14:val="tx1"/>
            </w14:solidFill>
          </w14:textFill>
        </w:rPr>
        <w:t>配合</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共同解决。除发生客观不可抗力的情况外，</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不得推迟送货。如确需延迟送货的，</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应在得知情况的同时告知</w:t>
      </w:r>
      <w:r>
        <w:rPr>
          <w:rFonts w:hint="eastAsia" w:ascii="宋体" w:hAnsi="宋体" w:eastAsia="宋体" w:cs="宋体"/>
          <w:color w:val="000000" w:themeColor="text1"/>
          <w:sz w:val="21"/>
          <w:szCs w:val="21"/>
          <w:highlight w:val="none"/>
          <w:lang w:eastAsia="zh-CN"/>
          <w14:textFill>
            <w14:solidFill>
              <w14:schemeClr w14:val="tx1"/>
            </w14:solidFill>
          </w14:textFill>
        </w:rPr>
        <w:t>采购人并</w:t>
      </w:r>
      <w:r>
        <w:rPr>
          <w:rFonts w:hint="eastAsia" w:ascii="宋体" w:hAnsi="宋体" w:eastAsia="宋体" w:cs="宋体"/>
          <w:color w:val="000000" w:themeColor="text1"/>
          <w:sz w:val="21"/>
          <w:szCs w:val="21"/>
          <w:highlight w:val="none"/>
          <w14:textFill>
            <w14:solidFill>
              <w14:schemeClr w14:val="tx1"/>
            </w14:solidFill>
          </w14:textFill>
        </w:rPr>
        <w:t>征得</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同意，由于</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拖沓造成</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利益受损的，</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有权要求</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赔</w:t>
      </w:r>
      <w:r>
        <w:rPr>
          <w:rFonts w:hint="eastAsia" w:ascii="宋体" w:hAnsi="宋体" w:eastAsia="宋体" w:cs="宋体"/>
          <w:color w:val="000000" w:themeColor="text1"/>
          <w:sz w:val="21"/>
          <w:szCs w:val="21"/>
          <w:highlight w:val="none"/>
          <w:lang w:val="en-US" w:eastAsia="zh-CN"/>
          <w14:textFill>
            <w14:solidFill>
              <w14:schemeClr w14:val="tx1"/>
            </w14:solidFill>
          </w14:textFill>
        </w:rPr>
        <w:t>偿</w:t>
      </w:r>
      <w:r>
        <w:rPr>
          <w:rFonts w:hint="eastAsia" w:ascii="宋体" w:hAnsi="宋体" w:eastAsia="宋体" w:cs="宋体"/>
          <w:color w:val="000000" w:themeColor="text1"/>
          <w:sz w:val="21"/>
          <w:szCs w:val="21"/>
          <w:highlight w:val="none"/>
          <w14:textFill>
            <w14:solidFill>
              <w14:schemeClr w14:val="tx1"/>
            </w14:solidFill>
          </w14:textFill>
        </w:rPr>
        <w:t>，出现3次上述情况的，</w:t>
      </w:r>
      <w:r>
        <w:rPr>
          <w:rFonts w:hint="eastAsia" w:ascii="宋体" w:hAnsi="宋体" w:eastAsia="宋体" w:cs="宋体"/>
          <w:color w:val="000000" w:themeColor="text1"/>
          <w:sz w:val="21"/>
          <w:szCs w:val="21"/>
          <w:highlight w:val="none"/>
          <w:lang w:val="en-US" w:eastAsia="zh-CN"/>
          <w14:textFill>
            <w14:solidFill>
              <w14:schemeClr w14:val="tx1"/>
            </w14:solidFill>
          </w14:textFill>
        </w:rPr>
        <w:t>并</w:t>
      </w:r>
      <w:r>
        <w:rPr>
          <w:rFonts w:hint="eastAsia" w:ascii="宋体" w:hAnsi="宋体" w:eastAsia="宋体" w:cs="宋体"/>
          <w:color w:val="000000" w:themeColor="text1"/>
          <w:sz w:val="21"/>
          <w:szCs w:val="21"/>
          <w:highlight w:val="none"/>
          <w14:textFill>
            <w14:solidFill>
              <w14:schemeClr w14:val="tx1"/>
            </w14:solidFill>
          </w14:textFill>
        </w:rPr>
        <w:t>处以</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人民</w:t>
      </w:r>
      <w:r>
        <w:rPr>
          <w:rFonts w:hint="eastAsia" w:ascii="宋体" w:hAnsi="宋体" w:eastAsia="宋体" w:cs="宋体"/>
          <w:color w:val="000000" w:themeColor="text1"/>
          <w:sz w:val="21"/>
          <w:szCs w:val="21"/>
          <w:highlight w:val="none"/>
          <w:lang w:val="en-US" w:eastAsia="zh-CN"/>
          <w14:textFill>
            <w14:solidFill>
              <w14:schemeClr w14:val="tx1"/>
            </w14:solidFill>
          </w14:textFill>
        </w:rPr>
        <w:t>币</w:t>
      </w:r>
      <w:r>
        <w:rPr>
          <w:rFonts w:hint="eastAsia" w:ascii="宋体" w:hAnsi="宋体" w:eastAsia="宋体" w:cs="宋体"/>
          <w:color w:val="000000" w:themeColor="text1"/>
          <w:sz w:val="21"/>
          <w:szCs w:val="21"/>
          <w:highlight w:val="none"/>
          <w14:textFill>
            <w14:solidFill>
              <w14:schemeClr w14:val="tx1"/>
            </w14:solidFill>
          </w14:textFill>
        </w:rPr>
        <w:t>1000元罚款，罚款由供货结算款内扣除。</w:t>
      </w:r>
    </w:p>
    <w:p w14:paraId="293A496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负责货品的仓</w:t>
      </w:r>
      <w:r>
        <w:rPr>
          <w:rFonts w:hint="eastAsia" w:ascii="宋体" w:hAnsi="宋体" w:eastAsia="宋体" w:cs="宋体"/>
          <w:color w:val="000000" w:themeColor="text1"/>
          <w:sz w:val="21"/>
          <w:szCs w:val="21"/>
          <w:highlight w:val="none"/>
          <w:lang w:val="en-US" w:eastAsia="zh-CN"/>
          <w14:textFill>
            <w14:solidFill>
              <w14:schemeClr w14:val="tx1"/>
            </w14:solidFill>
          </w14:textFill>
        </w:rPr>
        <w:t>储</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不提供仓库。投标人承诺如中标后将准时送货到</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指定地点，</w:t>
      </w:r>
      <w:r>
        <w:rPr>
          <w:rFonts w:hint="eastAsia" w:ascii="宋体" w:hAnsi="宋体" w:eastAsia="宋体" w:cs="宋体"/>
          <w:color w:val="000000" w:themeColor="text1"/>
          <w:sz w:val="21"/>
          <w:szCs w:val="21"/>
          <w:highlight w:val="none"/>
          <w:lang w:val="en-US"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不另行支付</w:t>
      </w:r>
      <w:r>
        <w:rPr>
          <w:rFonts w:hint="eastAsia" w:ascii="宋体" w:hAnsi="宋体" w:eastAsia="宋体" w:cs="宋体"/>
          <w:color w:val="000000" w:themeColor="text1"/>
          <w:sz w:val="21"/>
          <w:szCs w:val="21"/>
          <w:highlight w:val="none"/>
          <w:lang w:val="en-US" w:eastAsia="zh-CN"/>
          <w14:textFill>
            <w14:solidFill>
              <w14:schemeClr w14:val="tx1"/>
            </w14:solidFill>
          </w14:textFill>
        </w:rPr>
        <w:t>交</w:t>
      </w:r>
      <w:r>
        <w:rPr>
          <w:rFonts w:hint="eastAsia" w:ascii="宋体" w:hAnsi="宋体" w:eastAsia="宋体" w:cs="宋体"/>
          <w:color w:val="000000" w:themeColor="text1"/>
          <w:sz w:val="21"/>
          <w:szCs w:val="21"/>
          <w:highlight w:val="none"/>
          <w14:textFill>
            <w14:solidFill>
              <w14:schemeClr w14:val="tx1"/>
            </w14:solidFill>
          </w14:textFill>
        </w:rPr>
        <w:t>通费。</w:t>
      </w:r>
    </w:p>
    <w:p w14:paraId="50EBEFE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应根据</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实际要求运送货物，必要时应进行免费简单加工。</w:t>
      </w:r>
    </w:p>
    <w:p w14:paraId="7204E25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11.</w:t>
      </w:r>
      <w:r>
        <w:rPr>
          <w:rFonts w:hint="eastAsia" w:ascii="宋体" w:hAnsi="宋体" w:eastAsia="宋体" w:cs="宋体"/>
          <w:color w:val="000000" w:themeColor="text1"/>
          <w:sz w:val="21"/>
          <w:szCs w:val="21"/>
          <w:highlight w:val="none"/>
          <w14:textFill>
            <w14:solidFill>
              <w14:schemeClr w14:val="tx1"/>
            </w14:solidFill>
          </w14:textFill>
        </w:rPr>
        <w:t>在</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lang w:val="en-US" w:eastAsia="zh-CN"/>
          <w14:textFill>
            <w14:solidFill>
              <w14:schemeClr w14:val="tx1"/>
            </w14:solidFill>
          </w14:textFill>
        </w:rPr>
        <w:t>签</w:t>
      </w:r>
      <w:r>
        <w:rPr>
          <w:rFonts w:hint="eastAsia" w:ascii="宋体" w:hAnsi="宋体" w:eastAsia="宋体" w:cs="宋体"/>
          <w:color w:val="000000" w:themeColor="text1"/>
          <w:sz w:val="21"/>
          <w:szCs w:val="21"/>
          <w:highlight w:val="none"/>
          <w14:textFill>
            <w14:solidFill>
              <w14:schemeClr w14:val="tx1"/>
            </w14:solidFill>
          </w14:textFill>
        </w:rPr>
        <w:t>收之前，货物的所有权和风险属于</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，货物发生遗失</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损坏由</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负责</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5EFA020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12.</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应严格按照</w:t>
      </w:r>
      <w:r>
        <w:rPr>
          <w:rFonts w:hint="eastAsia" w:ascii="宋体" w:hAnsi="宋体" w:eastAsia="宋体" w:cs="宋体"/>
          <w:color w:val="000000" w:themeColor="text1"/>
          <w:sz w:val="21"/>
          <w:szCs w:val="21"/>
          <w:highlight w:val="none"/>
          <w:lang w:val="en-US" w:eastAsia="zh-CN"/>
          <w14:textFill>
            <w14:solidFill>
              <w14:schemeClr w14:val="tx1"/>
            </w14:solidFill>
          </w14:textFill>
        </w:rPr>
        <w:t>各</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的指令配送商品的数量，不得随意</w:t>
      </w:r>
      <w:r>
        <w:rPr>
          <w:rFonts w:hint="eastAsia" w:ascii="宋体" w:hAnsi="宋体" w:eastAsia="宋体" w:cs="宋体"/>
          <w:color w:val="000000" w:themeColor="text1"/>
          <w:sz w:val="21"/>
          <w:szCs w:val="21"/>
          <w:highlight w:val="none"/>
          <w:lang w:val="en-US" w:eastAsia="zh-CN"/>
          <w14:textFill>
            <w14:solidFill>
              <w14:schemeClr w14:val="tx1"/>
            </w14:solidFill>
          </w14:textFill>
        </w:rPr>
        <w:t>增减</w:t>
      </w:r>
      <w:r>
        <w:rPr>
          <w:rFonts w:hint="eastAsia" w:ascii="宋体" w:hAnsi="宋体" w:eastAsia="宋体" w:cs="宋体"/>
          <w:color w:val="000000" w:themeColor="text1"/>
          <w:sz w:val="21"/>
          <w:szCs w:val="21"/>
          <w:highlight w:val="none"/>
          <w14:textFill>
            <w14:solidFill>
              <w14:schemeClr w14:val="tx1"/>
            </w14:solidFill>
          </w14:textFill>
        </w:rPr>
        <w:t>数量，否则，</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有权拒收。</w:t>
      </w:r>
    </w:p>
    <w:p w14:paraId="4DCE8CE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13.</w:t>
      </w:r>
      <w:r>
        <w:rPr>
          <w:rFonts w:hint="eastAsia" w:ascii="宋体" w:hAnsi="宋体" w:eastAsia="宋体" w:cs="宋体"/>
          <w:color w:val="000000" w:themeColor="text1"/>
          <w:sz w:val="21"/>
          <w:szCs w:val="21"/>
          <w:highlight w:val="none"/>
          <w14:textFill>
            <w14:solidFill>
              <w14:schemeClr w14:val="tx1"/>
            </w14:solidFill>
          </w14:textFill>
        </w:rPr>
        <w:t>除客观不可抗力外，</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不得更改送货内容。如因市场流通问</w:t>
      </w:r>
      <w:r>
        <w:rPr>
          <w:rFonts w:hint="eastAsia" w:ascii="宋体" w:hAnsi="宋体" w:eastAsia="宋体" w:cs="宋体"/>
          <w:color w:val="000000" w:themeColor="text1"/>
          <w:sz w:val="21"/>
          <w:szCs w:val="21"/>
          <w:highlight w:val="none"/>
          <w:lang w:val="en-US" w:eastAsia="zh-CN"/>
          <w14:textFill>
            <w14:solidFill>
              <w14:schemeClr w14:val="tx1"/>
            </w14:solidFill>
          </w14:textFill>
        </w:rPr>
        <w:t>题</w:t>
      </w:r>
      <w:r>
        <w:rPr>
          <w:rFonts w:hint="eastAsia" w:ascii="宋体" w:hAnsi="宋体" w:eastAsia="宋体" w:cs="宋体"/>
          <w:color w:val="000000" w:themeColor="text1"/>
          <w:sz w:val="21"/>
          <w:szCs w:val="21"/>
          <w:highlight w:val="none"/>
          <w14:textFill>
            <w14:solidFill>
              <w14:schemeClr w14:val="tx1"/>
            </w14:solidFill>
          </w14:textFill>
        </w:rPr>
        <w:t>确实需要变更供货内容的，</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应在得知情况的同时告知</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lang w:val="en-US" w:eastAsia="zh-CN"/>
          <w14:textFill>
            <w14:solidFill>
              <w14:schemeClr w14:val="tx1"/>
            </w14:solidFill>
          </w14:textFill>
        </w:rPr>
        <w:t>并</w:t>
      </w:r>
      <w:r>
        <w:rPr>
          <w:rFonts w:hint="eastAsia" w:ascii="宋体" w:hAnsi="宋体" w:eastAsia="宋体" w:cs="宋体"/>
          <w:color w:val="000000" w:themeColor="text1"/>
          <w:sz w:val="21"/>
          <w:szCs w:val="21"/>
          <w:highlight w:val="none"/>
          <w14:textFill>
            <w14:solidFill>
              <w14:schemeClr w14:val="tx1"/>
            </w14:solidFill>
          </w14:textFill>
        </w:rPr>
        <w:t>事先征得书面申请，</w:t>
      </w:r>
      <w:r>
        <w:rPr>
          <w:rFonts w:hint="eastAsia" w:ascii="宋体" w:hAnsi="宋体" w:eastAsia="宋体" w:cs="宋体"/>
          <w:color w:val="000000" w:themeColor="text1"/>
          <w:sz w:val="21"/>
          <w:szCs w:val="21"/>
          <w:highlight w:val="none"/>
          <w:lang w:val="en-US" w:eastAsia="zh-CN"/>
          <w14:textFill>
            <w14:solidFill>
              <w14:schemeClr w14:val="tx1"/>
            </w14:solidFill>
          </w14:textFill>
        </w:rPr>
        <w:t>并</w:t>
      </w:r>
      <w:r>
        <w:rPr>
          <w:rFonts w:hint="eastAsia" w:ascii="宋体" w:hAnsi="宋体" w:eastAsia="宋体" w:cs="宋体"/>
          <w:color w:val="000000" w:themeColor="text1"/>
          <w:sz w:val="21"/>
          <w:szCs w:val="21"/>
          <w:highlight w:val="none"/>
          <w14:textFill>
            <w14:solidFill>
              <w14:schemeClr w14:val="tx1"/>
            </w14:solidFill>
          </w14:textFill>
        </w:rPr>
        <w:t>经</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同意后方可改变。经发现</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有私自更改菜单中货品时以违约论处，由此产生的一切损失和费用由</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承担。出现3次上述情况的，并处以人民币1000元罚款，罚款由供货结算款内扣</w:t>
      </w:r>
      <w:r>
        <w:rPr>
          <w:rFonts w:hint="eastAsia" w:ascii="宋体" w:hAnsi="宋体" w:eastAsia="宋体" w:cs="宋体"/>
          <w:color w:val="000000" w:themeColor="text1"/>
          <w:sz w:val="21"/>
          <w:szCs w:val="21"/>
          <w:highlight w:val="none"/>
          <w:lang w:val="en-US" w:eastAsia="zh-CN"/>
          <w14:textFill>
            <w14:solidFill>
              <w14:schemeClr w14:val="tx1"/>
            </w14:solidFill>
          </w14:textFill>
        </w:rPr>
        <w:t>除。</w:t>
      </w:r>
    </w:p>
    <w:p w14:paraId="114F9EF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14.</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发现采购货物不能正常食用的，</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应无条件退换。</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lang w:val="en-US" w:eastAsia="zh-CN"/>
          <w14:textFill>
            <w14:solidFill>
              <w14:schemeClr w14:val="tx1"/>
            </w14:solidFill>
          </w14:textFill>
        </w:rPr>
        <w:t>未</w:t>
      </w:r>
      <w:r>
        <w:rPr>
          <w:rFonts w:hint="eastAsia" w:ascii="宋体" w:hAnsi="宋体" w:eastAsia="宋体" w:cs="宋体"/>
          <w:color w:val="000000" w:themeColor="text1"/>
          <w:sz w:val="21"/>
          <w:szCs w:val="21"/>
          <w:highlight w:val="none"/>
          <w14:textFill>
            <w14:solidFill>
              <w14:schemeClr w14:val="tx1"/>
            </w14:solidFill>
          </w14:textFill>
        </w:rPr>
        <w:t>能履行招标文件和合同所定事项，或供应不合格的</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假冒伪劣</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以次充好的商品，</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退货后将记录在案，</w:t>
      </w:r>
      <w:r>
        <w:rPr>
          <w:rFonts w:hint="eastAsia" w:ascii="宋体" w:hAnsi="宋体" w:eastAsia="宋体" w:cs="宋体"/>
          <w:color w:val="000000" w:themeColor="text1"/>
          <w:sz w:val="21"/>
          <w:szCs w:val="21"/>
          <w:highlight w:val="none"/>
          <w:lang w:val="en-US" w:eastAsia="zh-CN"/>
          <w14:textFill>
            <w14:solidFill>
              <w14:schemeClr w14:val="tx1"/>
            </w14:solidFill>
          </w14:textFill>
        </w:rPr>
        <w:t>并</w:t>
      </w:r>
      <w:r>
        <w:rPr>
          <w:rFonts w:hint="eastAsia" w:ascii="宋体" w:hAnsi="宋体" w:eastAsia="宋体" w:cs="宋体"/>
          <w:color w:val="000000" w:themeColor="text1"/>
          <w:sz w:val="21"/>
          <w:szCs w:val="21"/>
          <w:highlight w:val="none"/>
          <w14:textFill>
            <w14:solidFill>
              <w14:schemeClr w14:val="tx1"/>
            </w14:solidFill>
          </w14:textFill>
        </w:rPr>
        <w:t>对</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予以处罚，除要承担因此产生的一切损失和费用外，情节严重的可取消其供应资格。</w:t>
      </w:r>
    </w:p>
    <w:p w14:paraId="2ECC07D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不能按核定的供货价交付某些商品，不能提供与其承诺相符的服务或</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存在违反招标文件和合同的行为，</w:t>
      </w:r>
      <w:r>
        <w:rPr>
          <w:rFonts w:hint="eastAsia" w:ascii="宋体" w:hAnsi="宋体" w:eastAsia="宋体" w:cs="宋体"/>
          <w:color w:val="000000" w:themeColor="text1"/>
          <w:sz w:val="21"/>
          <w:szCs w:val="21"/>
          <w:highlight w:val="none"/>
          <w:lang w:val="en-US" w:eastAsia="zh-CN"/>
          <w14:textFill>
            <w14:solidFill>
              <w14:schemeClr w14:val="tx1"/>
            </w14:solidFill>
          </w14:textFill>
        </w:rPr>
        <w:t>并</w:t>
      </w:r>
      <w:r>
        <w:rPr>
          <w:rFonts w:hint="eastAsia" w:ascii="宋体" w:hAnsi="宋体" w:eastAsia="宋体" w:cs="宋体"/>
          <w:color w:val="000000" w:themeColor="text1"/>
          <w:sz w:val="21"/>
          <w:szCs w:val="21"/>
          <w:highlight w:val="none"/>
          <w14:textFill>
            <w14:solidFill>
              <w14:schemeClr w14:val="tx1"/>
            </w14:solidFill>
          </w14:textFill>
        </w:rPr>
        <w:t>且不予纠正的，将取消其中标资格。此项以下违约责任包括但不限于下列各项：</w:t>
      </w:r>
    </w:p>
    <w:p w14:paraId="1EC8A9B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在收到</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订货要求后，在承诺的供货时间内不能供货的；</w:t>
      </w:r>
    </w:p>
    <w:p w14:paraId="6942197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中标商品在保质期出现损坏的，</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应承诺提供替换服务，因替</w:t>
      </w:r>
      <w:r>
        <w:rPr>
          <w:rFonts w:hint="eastAsia" w:ascii="宋体" w:hAnsi="宋体" w:eastAsia="宋体" w:cs="宋体"/>
          <w:color w:val="000000" w:themeColor="text1"/>
          <w:sz w:val="21"/>
          <w:szCs w:val="21"/>
          <w:highlight w:val="none"/>
          <w:lang w:val="en-US" w:eastAsia="zh-CN"/>
          <w14:textFill>
            <w14:solidFill>
              <w14:schemeClr w14:val="tx1"/>
            </w14:solidFill>
          </w14:textFill>
        </w:rPr>
        <w:t>换</w:t>
      </w:r>
      <w:r>
        <w:rPr>
          <w:rFonts w:hint="eastAsia" w:ascii="宋体" w:hAnsi="宋体" w:eastAsia="宋体" w:cs="宋体"/>
          <w:color w:val="000000" w:themeColor="text1"/>
          <w:sz w:val="21"/>
          <w:szCs w:val="21"/>
          <w:highlight w:val="none"/>
          <w14:textFill>
            <w14:solidFill>
              <w14:schemeClr w14:val="tx1"/>
            </w14:solidFill>
          </w14:textFill>
        </w:rPr>
        <w:t>货物产生的费用由</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负责</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639A49D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3</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的送货单应详</w:t>
      </w:r>
      <w:r>
        <w:rPr>
          <w:rFonts w:hint="eastAsia" w:ascii="宋体" w:hAnsi="宋体" w:eastAsia="宋体" w:cs="宋体"/>
          <w:color w:val="000000" w:themeColor="text1"/>
          <w:sz w:val="21"/>
          <w:szCs w:val="21"/>
          <w:highlight w:val="none"/>
          <w:lang w:val="en-US" w:eastAsia="zh-CN"/>
          <w14:textFill>
            <w14:solidFill>
              <w14:schemeClr w14:val="tx1"/>
            </w14:solidFill>
          </w14:textFill>
        </w:rPr>
        <w:t>细注</w:t>
      </w:r>
      <w:r>
        <w:rPr>
          <w:rFonts w:hint="eastAsia" w:ascii="宋体" w:hAnsi="宋体" w:eastAsia="宋体" w:cs="宋体"/>
          <w:color w:val="000000" w:themeColor="text1"/>
          <w:sz w:val="21"/>
          <w:szCs w:val="21"/>
          <w:highlight w:val="none"/>
          <w14:textFill>
            <w14:solidFill>
              <w14:schemeClr w14:val="tx1"/>
            </w14:solidFill>
          </w14:textFill>
        </w:rPr>
        <w:t>明商品的品牌</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品种</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单价</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数量，送货单不得涂改。标记不清的，</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将拒绝签收。结算期末</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还应提供送货清单供</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结算。</w:t>
      </w:r>
    </w:p>
    <w:p w14:paraId="556FCBF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4</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指定的送货专员应穿着便于辨认的工衣和配戴胸卡，送货专员在</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单位活动应严格遵守</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单位各项规章制度，不得做出有损</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形象和利益的事情。</w:t>
      </w:r>
    </w:p>
    <w:p w14:paraId="77530B6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不得泄露</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的商业秘密。泄密造成</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损失的，</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将承担由此产生的一切损失和法律责任。</w:t>
      </w:r>
    </w:p>
    <w:p w14:paraId="1A50F1A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应严格</w:t>
      </w:r>
      <w:r>
        <w:rPr>
          <w:rFonts w:hint="eastAsia" w:ascii="宋体" w:hAnsi="宋体" w:eastAsia="宋体" w:cs="宋体"/>
          <w:color w:val="000000" w:themeColor="text1"/>
          <w:sz w:val="21"/>
          <w:szCs w:val="21"/>
          <w:highlight w:val="none"/>
          <w:lang w:val="en-US" w:eastAsia="zh-CN"/>
          <w14:textFill>
            <w14:solidFill>
              <w14:schemeClr w14:val="tx1"/>
            </w14:solidFill>
          </w14:textFill>
        </w:rPr>
        <w:t>遵守</w:t>
      </w:r>
      <w:r>
        <w:rPr>
          <w:rFonts w:hint="eastAsia" w:ascii="宋体" w:hAnsi="宋体" w:eastAsia="宋体" w:cs="宋体"/>
          <w:color w:val="000000" w:themeColor="text1"/>
          <w:sz w:val="21"/>
          <w:szCs w:val="21"/>
          <w:highlight w:val="none"/>
          <w14:textFill>
            <w14:solidFill>
              <w14:schemeClr w14:val="tx1"/>
            </w14:solidFill>
          </w14:textFill>
        </w:rPr>
        <w:t>《食品卫生法》和《动物</w:t>
      </w:r>
      <w:r>
        <w:rPr>
          <w:rFonts w:hint="eastAsia" w:ascii="宋体" w:hAnsi="宋体" w:eastAsia="宋体" w:cs="宋体"/>
          <w:color w:val="000000" w:themeColor="text1"/>
          <w:sz w:val="21"/>
          <w:szCs w:val="21"/>
          <w:highlight w:val="none"/>
          <w:lang w:val="en-US" w:eastAsia="zh-CN"/>
          <w14:textFill>
            <w14:solidFill>
              <w14:schemeClr w14:val="tx1"/>
            </w14:solidFill>
          </w14:textFill>
        </w:rPr>
        <w:t>检</w:t>
      </w:r>
      <w:r>
        <w:rPr>
          <w:rFonts w:hint="eastAsia" w:ascii="宋体" w:hAnsi="宋体" w:eastAsia="宋体" w:cs="宋体"/>
          <w:color w:val="000000" w:themeColor="text1"/>
          <w:sz w:val="21"/>
          <w:szCs w:val="21"/>
          <w:highlight w:val="none"/>
          <w14:textFill>
            <w14:solidFill>
              <w14:schemeClr w14:val="tx1"/>
            </w14:solidFill>
          </w14:textFill>
        </w:rPr>
        <w:t>疫法》等相关规定，一经发现供应以下食品，除全部退货外，将取消</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的供货资格，没收全部履约保证金，</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并承担由此造成的经济责任和法律责任</w:t>
      </w:r>
    </w:p>
    <w:p w14:paraId="35435D7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①</w:t>
      </w:r>
      <w:r>
        <w:rPr>
          <w:rFonts w:hint="eastAsia" w:ascii="宋体" w:hAnsi="宋体" w:eastAsia="宋体" w:cs="宋体"/>
          <w:color w:val="000000" w:themeColor="text1"/>
          <w:sz w:val="21"/>
          <w:szCs w:val="21"/>
          <w:highlight w:val="none"/>
          <w:lang w:val="en-US" w:eastAsia="zh-CN"/>
          <w14:textFill>
            <w14:solidFill>
              <w14:schemeClr w14:val="tx1"/>
            </w14:solidFill>
          </w14:textFill>
        </w:rPr>
        <w:t>腐败</w:t>
      </w:r>
      <w:r>
        <w:rPr>
          <w:rFonts w:hint="eastAsia" w:ascii="宋体" w:hAnsi="宋体" w:eastAsia="宋体" w:cs="宋体"/>
          <w:color w:val="000000" w:themeColor="text1"/>
          <w:sz w:val="21"/>
          <w:szCs w:val="21"/>
          <w:highlight w:val="none"/>
          <w14:textFill>
            <w14:solidFill>
              <w14:schemeClr w14:val="tx1"/>
            </w14:solidFill>
          </w14:textFill>
        </w:rPr>
        <w:t>变质、油</w:t>
      </w:r>
      <w:r>
        <w:rPr>
          <w:rFonts w:hint="eastAsia" w:ascii="宋体" w:hAnsi="宋体" w:eastAsia="宋体" w:cs="宋体"/>
          <w:color w:val="000000" w:themeColor="text1"/>
          <w:sz w:val="21"/>
          <w:szCs w:val="21"/>
          <w:highlight w:val="none"/>
          <w:lang w:val="en-US" w:eastAsia="zh-CN"/>
          <w14:textFill>
            <w14:solidFill>
              <w14:schemeClr w14:val="tx1"/>
            </w14:solidFill>
          </w14:textFill>
        </w:rPr>
        <w:t>脂</w:t>
      </w:r>
      <w:r>
        <w:rPr>
          <w:rFonts w:hint="eastAsia" w:ascii="宋体" w:hAnsi="宋体" w:eastAsia="宋体" w:cs="宋体"/>
          <w:color w:val="000000" w:themeColor="text1"/>
          <w:sz w:val="21"/>
          <w:szCs w:val="21"/>
          <w:highlight w:val="none"/>
          <w14:textFill>
            <w14:solidFill>
              <w14:schemeClr w14:val="tx1"/>
            </w14:solidFill>
          </w14:textFill>
        </w:rPr>
        <w:t>酸败、霉变、生虫，污</w:t>
      </w:r>
      <w:r>
        <w:rPr>
          <w:rFonts w:hint="eastAsia" w:ascii="宋体" w:hAnsi="宋体" w:eastAsia="宋体" w:cs="宋体"/>
          <w:color w:val="000000" w:themeColor="text1"/>
          <w:sz w:val="21"/>
          <w:szCs w:val="21"/>
          <w:highlight w:val="none"/>
          <w:lang w:val="en-US" w:eastAsia="zh-CN"/>
          <w14:textFill>
            <w14:solidFill>
              <w14:schemeClr w14:val="tx1"/>
            </w14:solidFill>
          </w14:textFill>
        </w:rPr>
        <w:t>秽</w:t>
      </w:r>
      <w:r>
        <w:rPr>
          <w:rFonts w:hint="eastAsia" w:ascii="宋体" w:hAnsi="宋体" w:eastAsia="宋体" w:cs="宋体"/>
          <w:color w:val="000000" w:themeColor="text1"/>
          <w:sz w:val="21"/>
          <w:szCs w:val="21"/>
          <w:highlight w:val="none"/>
          <w14:textFill>
            <w14:solidFill>
              <w14:schemeClr w14:val="tx1"/>
            </w14:solidFill>
          </w14:textFill>
        </w:rPr>
        <w:t>不洁、混有异物或者其他感官性状异常，对人体健康有害的</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p>
    <w:p w14:paraId="151ADCC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②含有毒，有害物质或者被有害物质污染，对人体健</w:t>
      </w:r>
      <w:r>
        <w:rPr>
          <w:rFonts w:hint="eastAsia" w:ascii="宋体" w:hAnsi="宋体" w:eastAsia="宋体" w:cs="宋体"/>
          <w:color w:val="000000" w:themeColor="text1"/>
          <w:sz w:val="21"/>
          <w:szCs w:val="21"/>
          <w:highlight w:val="none"/>
          <w:lang w:val="en-US" w:eastAsia="zh-CN"/>
          <w14:textFill>
            <w14:solidFill>
              <w14:schemeClr w14:val="tx1"/>
            </w14:solidFill>
          </w14:textFill>
        </w:rPr>
        <w:t>康</w:t>
      </w:r>
      <w:r>
        <w:rPr>
          <w:rFonts w:hint="eastAsia" w:ascii="宋体" w:hAnsi="宋体" w:eastAsia="宋体" w:cs="宋体"/>
          <w:color w:val="000000" w:themeColor="text1"/>
          <w:sz w:val="21"/>
          <w:szCs w:val="21"/>
          <w:highlight w:val="none"/>
          <w14:textFill>
            <w14:solidFill>
              <w14:schemeClr w14:val="tx1"/>
            </w14:solidFill>
          </w14:textFill>
        </w:rPr>
        <w:t>有害的；</w:t>
      </w:r>
    </w:p>
    <w:p w14:paraId="0A50145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③含有致病性</w:t>
      </w:r>
      <w:r>
        <w:rPr>
          <w:rFonts w:hint="eastAsia" w:ascii="宋体" w:hAnsi="宋体" w:eastAsia="宋体" w:cs="宋体"/>
          <w:color w:val="000000" w:themeColor="text1"/>
          <w:sz w:val="21"/>
          <w:szCs w:val="21"/>
          <w:highlight w:val="none"/>
          <w:lang w:val="en-US" w:eastAsia="zh-CN"/>
          <w14:textFill>
            <w14:solidFill>
              <w14:schemeClr w14:val="tx1"/>
            </w14:solidFill>
          </w14:textFill>
        </w:rPr>
        <w:t>寄</w:t>
      </w:r>
      <w:r>
        <w:rPr>
          <w:rFonts w:hint="eastAsia" w:ascii="宋体" w:hAnsi="宋体" w:eastAsia="宋体" w:cs="宋体"/>
          <w:color w:val="000000" w:themeColor="text1"/>
          <w:sz w:val="21"/>
          <w:szCs w:val="21"/>
          <w:highlight w:val="none"/>
          <w14:textFill>
            <w14:solidFill>
              <w14:schemeClr w14:val="tx1"/>
            </w14:solidFill>
          </w14:textFill>
        </w:rPr>
        <w:t>生虫，微生物或者微生物含量超过国家</w:t>
      </w:r>
      <w:r>
        <w:rPr>
          <w:rFonts w:hint="eastAsia" w:ascii="宋体" w:hAnsi="宋体" w:eastAsia="宋体" w:cs="宋体"/>
          <w:color w:val="000000" w:themeColor="text1"/>
          <w:sz w:val="21"/>
          <w:szCs w:val="21"/>
          <w:highlight w:val="none"/>
          <w:lang w:val="en-US" w:eastAsia="zh-CN"/>
          <w14:textFill>
            <w14:solidFill>
              <w14:schemeClr w14:val="tx1"/>
            </w14:solidFill>
          </w14:textFill>
        </w:rPr>
        <w:t>限</w:t>
      </w:r>
      <w:r>
        <w:rPr>
          <w:rFonts w:hint="eastAsia" w:ascii="宋体" w:hAnsi="宋体" w:eastAsia="宋体" w:cs="宋体"/>
          <w:color w:val="000000" w:themeColor="text1"/>
          <w:sz w:val="21"/>
          <w:szCs w:val="21"/>
          <w:highlight w:val="none"/>
          <w14:textFill>
            <w14:solidFill>
              <w14:schemeClr w14:val="tx1"/>
            </w14:solidFill>
          </w14:textFill>
        </w:rPr>
        <w:t>定标准的；</w:t>
      </w:r>
    </w:p>
    <w:p w14:paraId="76CE490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④</w:t>
      </w:r>
      <w:r>
        <w:rPr>
          <w:rFonts w:hint="eastAsia" w:ascii="宋体" w:hAnsi="宋体" w:eastAsia="宋体" w:cs="宋体"/>
          <w:color w:val="000000" w:themeColor="text1"/>
          <w:sz w:val="21"/>
          <w:szCs w:val="21"/>
          <w:highlight w:val="none"/>
          <w:lang w:val="en-US" w:eastAsia="zh-CN"/>
          <w14:textFill>
            <w14:solidFill>
              <w14:schemeClr w14:val="tx1"/>
            </w14:solidFill>
          </w14:textFill>
        </w:rPr>
        <w:t>未</w:t>
      </w:r>
      <w:r>
        <w:rPr>
          <w:rFonts w:hint="eastAsia" w:ascii="宋体" w:hAnsi="宋体" w:eastAsia="宋体" w:cs="宋体"/>
          <w:color w:val="000000" w:themeColor="text1"/>
          <w:sz w:val="21"/>
          <w:szCs w:val="21"/>
          <w:highlight w:val="none"/>
          <w14:textFill>
            <w14:solidFill>
              <w14:schemeClr w14:val="tx1"/>
            </w14:solidFill>
          </w14:textFill>
        </w:rPr>
        <w:t>经动物检疫部门检疫</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检验或者</w:t>
      </w:r>
      <w:r>
        <w:rPr>
          <w:rFonts w:hint="eastAsia" w:ascii="宋体" w:hAnsi="宋体" w:eastAsia="宋体" w:cs="宋体"/>
          <w:color w:val="000000" w:themeColor="text1"/>
          <w:sz w:val="21"/>
          <w:szCs w:val="21"/>
          <w:highlight w:val="none"/>
          <w:lang w:val="en-US" w:eastAsia="zh-CN"/>
          <w14:textFill>
            <w14:solidFill>
              <w14:schemeClr w14:val="tx1"/>
            </w14:solidFill>
          </w14:textFill>
        </w:rPr>
        <w:t>检</w:t>
      </w:r>
      <w:r>
        <w:rPr>
          <w:rFonts w:hint="eastAsia" w:ascii="宋体" w:hAnsi="宋体" w:eastAsia="宋体" w:cs="宋体"/>
          <w:color w:val="000000" w:themeColor="text1"/>
          <w:sz w:val="21"/>
          <w:szCs w:val="21"/>
          <w:highlight w:val="none"/>
          <w14:textFill>
            <w14:solidFill>
              <w14:schemeClr w14:val="tx1"/>
            </w14:solidFill>
          </w14:textFill>
        </w:rPr>
        <w:t>疫</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检验不合格的肉类及其制品；</w:t>
      </w:r>
    </w:p>
    <w:p w14:paraId="65951F4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⑤病死、毒死或者死因不明的禽，畜、</w:t>
      </w:r>
      <w:r>
        <w:rPr>
          <w:rFonts w:hint="eastAsia" w:ascii="宋体" w:hAnsi="宋体" w:eastAsia="宋体" w:cs="宋体"/>
          <w:color w:val="000000" w:themeColor="text1"/>
          <w:sz w:val="21"/>
          <w:szCs w:val="21"/>
          <w:highlight w:val="none"/>
          <w:lang w:val="en-US" w:eastAsia="zh-CN"/>
          <w14:textFill>
            <w14:solidFill>
              <w14:schemeClr w14:val="tx1"/>
            </w14:solidFill>
          </w14:textFill>
        </w:rPr>
        <w:t>兽</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水产动物等及其制品；</w:t>
      </w:r>
    </w:p>
    <w:p w14:paraId="5FE120F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⑥掺假、掺杂</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伪造，影响营养</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卫生的；</w:t>
      </w:r>
    </w:p>
    <w:p w14:paraId="05DF4EF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⑦用非食品原料加工的，加入非食品用化学物质或者将非食品当作食品的；</w:t>
      </w:r>
    </w:p>
    <w:p w14:paraId="284081A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⑧超过保质期限的</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p>
    <w:p w14:paraId="2D8C7F2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⑨其它违反《食品卫生法》和《动物检疫法》的。</w:t>
      </w:r>
    </w:p>
    <w:p w14:paraId="2B31BCE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16.</w:t>
      </w:r>
      <w:r>
        <w:rPr>
          <w:rFonts w:hint="eastAsia" w:ascii="宋体" w:hAnsi="宋体" w:eastAsia="宋体" w:cs="宋体"/>
          <w:color w:val="000000" w:themeColor="text1"/>
          <w:sz w:val="21"/>
          <w:szCs w:val="21"/>
          <w:highlight w:val="none"/>
          <w14:textFill>
            <w14:solidFill>
              <w14:schemeClr w14:val="tx1"/>
            </w14:solidFill>
          </w14:textFill>
        </w:rPr>
        <w:t>食材验收方法：对于</w:t>
      </w:r>
      <w:r>
        <w:rPr>
          <w:rFonts w:hint="eastAsia" w:ascii="宋体" w:hAnsi="宋体" w:eastAsia="宋体" w:cs="宋体"/>
          <w:color w:val="000000" w:themeColor="text1"/>
          <w:sz w:val="21"/>
          <w:szCs w:val="21"/>
          <w:highlight w:val="none"/>
          <w:lang w:eastAsia="zh-CN"/>
          <w14:textFill>
            <w14:solidFill>
              <w14:schemeClr w14:val="tx1"/>
            </w14:solidFill>
          </w14:textFill>
        </w:rPr>
        <w:t>中标人</w:t>
      </w:r>
      <w:r>
        <w:rPr>
          <w:rFonts w:hint="eastAsia" w:ascii="宋体" w:hAnsi="宋体" w:eastAsia="宋体" w:cs="宋体"/>
          <w:color w:val="000000" w:themeColor="text1"/>
          <w:sz w:val="21"/>
          <w:szCs w:val="21"/>
          <w:highlight w:val="none"/>
          <w14:textFill>
            <w14:solidFill>
              <w14:schemeClr w14:val="tx1"/>
            </w14:solidFill>
          </w14:textFill>
        </w:rPr>
        <w:t>送达的食材，由</w:t>
      </w:r>
      <w:r>
        <w:rPr>
          <w:rFonts w:hint="eastAsia" w:ascii="宋体" w:hAnsi="宋体" w:eastAsia="宋体" w:cs="宋体"/>
          <w:color w:val="000000" w:themeColor="text1"/>
          <w:sz w:val="21"/>
          <w:szCs w:val="21"/>
          <w:highlight w:val="none"/>
          <w:lang w:eastAsia="zh-CN"/>
          <w14:textFill>
            <w14:solidFill>
              <w14:schemeClr w14:val="tx1"/>
            </w14:solidFill>
          </w14:textFill>
        </w:rPr>
        <w:t>采购人</w:t>
      </w:r>
      <w:r>
        <w:rPr>
          <w:rFonts w:hint="eastAsia" w:ascii="宋体" w:hAnsi="宋体" w:eastAsia="宋体" w:cs="宋体"/>
          <w:color w:val="000000" w:themeColor="text1"/>
          <w:sz w:val="21"/>
          <w:szCs w:val="21"/>
          <w:highlight w:val="none"/>
          <w14:textFill>
            <w14:solidFill>
              <w14:schemeClr w14:val="tx1"/>
            </w14:solidFill>
          </w14:textFill>
        </w:rPr>
        <w:t>派出负责人员检查及签收，签收前将对送达食材的包装完好情况、污染情况、霉变情况、食材来源、质量检验报告、零售价格、交付数量等信息进行检查登记，以确保食材质量、来源符合要求，并为食材结算提供依据，所验收的食材质量应与招标文件、投标文件响应的各种类食材的具体质量要求相一致。</w:t>
      </w:r>
    </w:p>
    <w:p w14:paraId="468CDDAF">
      <w:pPr>
        <w:keepNext w:val="0"/>
        <w:keepLines w:val="0"/>
        <w:pageBreakBefore w:val="0"/>
        <w:widowControl w:val="0"/>
        <w:kinsoku/>
        <w:wordWrap/>
        <w:overflowPunct/>
        <w:topLinePunct w:val="0"/>
        <w:bidi w:val="0"/>
        <w:snapToGrid/>
        <w:spacing w:line="360" w:lineRule="auto"/>
        <w:rPr>
          <w:rFonts w:hint="eastAsia" w:ascii="宋体" w:hAnsi="宋体" w:eastAsia="宋体" w:cs="宋体"/>
          <w:b/>
          <w:bCs/>
          <w:color w:val="000000" w:themeColor="text1"/>
          <w:kern w:val="44"/>
          <w:sz w:val="21"/>
          <w:szCs w:val="21"/>
          <w:highlight w:val="none"/>
          <w:lang w:eastAsia="zh-CN"/>
          <w14:textFill>
            <w14:solidFill>
              <w14:schemeClr w14:val="tx1"/>
            </w14:solidFill>
          </w14:textFill>
        </w:rPr>
      </w:pPr>
      <w:r>
        <w:rPr>
          <w:rFonts w:hint="eastAsia" w:ascii="宋体" w:hAnsi="宋体" w:cs="宋体"/>
          <w:b/>
          <w:bCs/>
          <w:color w:val="000000" w:themeColor="text1"/>
          <w:kern w:val="44"/>
          <w:sz w:val="21"/>
          <w:szCs w:val="21"/>
          <w:highlight w:val="none"/>
          <w:lang w:val="en-US" w:eastAsia="zh-CN"/>
          <w14:textFill>
            <w14:solidFill>
              <w14:schemeClr w14:val="tx1"/>
            </w14:solidFill>
          </w14:textFill>
        </w:rPr>
        <w:t>六</w:t>
      </w:r>
      <w:r>
        <w:rPr>
          <w:rFonts w:hint="eastAsia" w:ascii="宋体" w:hAnsi="宋体" w:eastAsia="宋体" w:cs="宋体"/>
          <w:b/>
          <w:bCs/>
          <w:color w:val="000000" w:themeColor="text1"/>
          <w:kern w:val="44"/>
          <w:sz w:val="21"/>
          <w:szCs w:val="21"/>
          <w:highlight w:val="none"/>
          <w:lang w:eastAsia="zh-CN"/>
          <w14:textFill>
            <w14:solidFill>
              <w14:schemeClr w14:val="tx1"/>
            </w14:solidFill>
          </w14:textFill>
        </w:rPr>
        <w:t>、项目内容</w:t>
      </w:r>
    </w:p>
    <w:p w14:paraId="4E5A6296">
      <w:pPr>
        <w:keepNext w:val="0"/>
        <w:keepLines w:val="0"/>
        <w:pageBreakBefore w:val="0"/>
        <w:widowControl w:val="0"/>
        <w:numPr>
          <w:ilvl w:val="0"/>
          <w:numId w:val="0"/>
        </w:numPr>
        <w:kinsoku/>
        <w:wordWrap/>
        <w:overflowPunct/>
        <w:topLinePunct w:val="0"/>
        <w:bidi w:val="0"/>
        <w:snapToGrid/>
        <w:spacing w:line="360" w:lineRule="auto"/>
        <w:ind w:left="0" w:leftChars="0" w:firstLine="525" w:firstLineChars="25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本项目为食堂采购大米、食用油、面粉、鲜肉蔬菜、调料、乳制品等主副食品。中标供应商需按采购单位实际需求分期分批提供。</w:t>
      </w:r>
    </w:p>
    <w:p w14:paraId="27D36570">
      <w:pPr>
        <w:keepNext w:val="0"/>
        <w:keepLines w:val="0"/>
        <w:pageBreakBefore w:val="0"/>
        <w:widowControl w:val="0"/>
        <w:numPr>
          <w:ilvl w:val="0"/>
          <w:numId w:val="0"/>
        </w:numPr>
        <w:kinsoku/>
        <w:wordWrap/>
        <w:overflowPunct/>
        <w:topLinePunct w:val="0"/>
        <w:bidi w:val="0"/>
        <w:snapToGrid/>
        <w:spacing w:line="360" w:lineRule="auto"/>
        <w:ind w:left="0" w:leftChars="0" w:firstLine="315" w:firstLineChars="15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饭堂早、</w:t>
      </w:r>
      <w:r>
        <w:rPr>
          <w:rFonts w:hint="eastAsia" w:ascii="宋体" w:hAnsi="宋体" w:eastAsia="宋体" w:cs="宋体"/>
          <w:color w:val="000000" w:themeColor="text1"/>
          <w:sz w:val="21"/>
          <w:szCs w:val="21"/>
          <w:highlight w:val="none"/>
          <w:lang w:val="en-US" w:eastAsia="zh-CN"/>
          <w14:textFill>
            <w14:solidFill>
              <w14:schemeClr w14:val="tx1"/>
            </w14:solidFill>
          </w14:textFill>
        </w:rPr>
        <w:t>午</w:t>
      </w:r>
      <w:r>
        <w:rPr>
          <w:rFonts w:hint="eastAsia" w:ascii="宋体" w:hAnsi="宋体" w:eastAsia="宋体" w:cs="宋体"/>
          <w:color w:val="000000" w:themeColor="text1"/>
          <w:sz w:val="21"/>
          <w:szCs w:val="21"/>
          <w:highlight w:val="none"/>
          <w:lang w:eastAsia="zh-CN"/>
          <w14:textFill>
            <w14:solidFill>
              <w14:schemeClr w14:val="tx1"/>
            </w14:solidFill>
          </w14:textFill>
        </w:rPr>
        <w:t>餐用膳所需农副产品、粮油副食供应配送服务。</w:t>
      </w:r>
    </w:p>
    <w:p w14:paraId="5C9A87EA">
      <w:pPr>
        <w:keepNext w:val="0"/>
        <w:keepLines w:val="0"/>
        <w:pageBreakBefore w:val="0"/>
        <w:widowControl w:val="0"/>
        <w:numPr>
          <w:ilvl w:val="0"/>
          <w:numId w:val="0"/>
        </w:numPr>
        <w:kinsoku/>
        <w:wordWrap/>
        <w:overflowPunct/>
        <w:topLinePunct w:val="0"/>
        <w:bidi w:val="0"/>
        <w:snapToGrid/>
        <w:spacing w:line="360" w:lineRule="auto"/>
        <w:ind w:left="0" w:leftChars="0" w:firstLine="315" w:firstLineChars="15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食材原材料包括农业生产所带来的副产品，包括农、林、牧、副、渔五业产品， 分为粮食、经济作物、禽畜产品、干鲜果、干鲜菜及调味品、药材、土副产品、水产品等若干大类。</w:t>
      </w:r>
    </w:p>
    <w:p w14:paraId="4EF7613C">
      <w:pPr>
        <w:keepNext w:val="0"/>
        <w:keepLines w:val="0"/>
        <w:pageBreakBefore w:val="0"/>
        <w:widowControl w:val="0"/>
        <w:numPr>
          <w:ilvl w:val="0"/>
          <w:numId w:val="0"/>
        </w:numPr>
        <w:kinsoku/>
        <w:wordWrap/>
        <w:overflowPunct/>
        <w:topLinePunct w:val="0"/>
        <w:bidi w:val="0"/>
        <w:snapToGrid/>
        <w:spacing w:line="360" w:lineRule="auto"/>
        <w:ind w:left="0" w:leftChars="0" w:firstLine="315" w:firstLineChars="15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lang w:eastAsia="zh-CN"/>
          <w14:textFill>
            <w14:solidFill>
              <w14:schemeClr w14:val="tx1"/>
            </w14:solidFill>
          </w14:textFill>
        </w:rPr>
        <w:t>副食品是指一般是经过精加工的食品和粮油制品。</w:t>
      </w:r>
    </w:p>
    <w:p w14:paraId="1E574BAA">
      <w:pPr>
        <w:keepNext w:val="0"/>
        <w:keepLines w:val="0"/>
        <w:pageBreakBefore w:val="0"/>
        <w:widowControl w:val="0"/>
        <w:numPr>
          <w:ilvl w:val="0"/>
          <w:numId w:val="0"/>
        </w:numPr>
        <w:kinsoku/>
        <w:wordWrap/>
        <w:overflowPunct/>
        <w:topLinePunct w:val="0"/>
        <w:bidi w:val="0"/>
        <w:snapToGrid/>
        <w:spacing w:line="360" w:lineRule="auto"/>
        <w:ind w:left="0" w:leftChars="0" w:firstLine="315" w:firstLineChars="15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eastAsia="zh-CN"/>
          <w14:textFill>
            <w14:solidFill>
              <w14:schemeClr w14:val="tx1"/>
            </w14:solidFill>
          </w14:textFill>
        </w:rPr>
        <w:t>粮谷分为谷类、麦类、杂粮类和豆类。包括：稻谷、小麦、玉米、高粱、谷子。</w:t>
      </w:r>
    </w:p>
    <w:p w14:paraId="27B1B2A5">
      <w:pPr>
        <w:keepNext w:val="0"/>
        <w:keepLines w:val="0"/>
        <w:pageBreakBefore w:val="0"/>
        <w:widowControl w:val="0"/>
        <w:numPr>
          <w:ilvl w:val="0"/>
          <w:numId w:val="0"/>
        </w:numPr>
        <w:kinsoku/>
        <w:wordWrap/>
        <w:overflowPunct/>
        <w:topLinePunct w:val="0"/>
        <w:bidi w:val="0"/>
        <w:snapToGrid/>
        <w:spacing w:line="360" w:lineRule="auto"/>
        <w:ind w:left="0" w:leftChars="0" w:firstLine="315" w:firstLineChars="15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5.</w:t>
      </w:r>
      <w:r>
        <w:rPr>
          <w:rFonts w:hint="eastAsia" w:ascii="宋体" w:hAnsi="宋体" w:eastAsia="宋体" w:cs="宋体"/>
          <w:color w:val="000000" w:themeColor="text1"/>
          <w:sz w:val="21"/>
          <w:szCs w:val="21"/>
          <w:highlight w:val="none"/>
          <w:lang w:eastAsia="zh-CN"/>
          <w14:textFill>
            <w14:solidFill>
              <w14:schemeClr w14:val="tx1"/>
            </w14:solidFill>
          </w14:textFill>
        </w:rPr>
        <w:t>大麦、</w:t>
      </w:r>
      <w:r>
        <w:rPr>
          <w:rFonts w:hint="eastAsia" w:ascii="宋体" w:hAnsi="宋体" w:eastAsia="宋体" w:cs="宋体"/>
          <w:color w:val="000000" w:themeColor="text1"/>
          <w:sz w:val="21"/>
          <w:szCs w:val="21"/>
          <w:highlight w:val="none"/>
          <w:lang w:val="en-US" w:eastAsia="zh-CN"/>
          <w14:textFill>
            <w14:solidFill>
              <w14:schemeClr w14:val="tx1"/>
            </w14:solidFill>
          </w14:textFill>
        </w:rPr>
        <w:t>荞</w:t>
      </w:r>
      <w:r>
        <w:rPr>
          <w:rFonts w:hint="eastAsia" w:ascii="宋体" w:hAnsi="宋体" w:eastAsia="宋体" w:cs="宋体"/>
          <w:color w:val="000000" w:themeColor="text1"/>
          <w:sz w:val="21"/>
          <w:szCs w:val="21"/>
          <w:highlight w:val="none"/>
          <w:lang w:eastAsia="zh-CN"/>
          <w14:textFill>
            <w14:solidFill>
              <w14:schemeClr w14:val="tx1"/>
            </w14:solidFill>
          </w14:textFill>
        </w:rPr>
        <w:t>麦、大豆、小豆、绿豆、蚕豆、芸豆、甘薯等。</w:t>
      </w:r>
    </w:p>
    <w:p w14:paraId="4D4EB85F">
      <w:pPr>
        <w:keepNext w:val="0"/>
        <w:keepLines w:val="0"/>
        <w:pageBreakBefore w:val="0"/>
        <w:widowControl w:val="0"/>
        <w:numPr>
          <w:ilvl w:val="0"/>
          <w:numId w:val="0"/>
        </w:numPr>
        <w:kinsoku/>
        <w:wordWrap/>
        <w:overflowPunct/>
        <w:topLinePunct w:val="0"/>
        <w:bidi w:val="0"/>
        <w:snapToGrid/>
        <w:spacing w:line="360" w:lineRule="auto"/>
        <w:ind w:left="0" w:leftChars="0" w:firstLine="315" w:firstLineChars="15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lang w:eastAsia="zh-CN"/>
          <w14:textFill>
            <w14:solidFill>
              <w14:schemeClr w14:val="tx1"/>
            </w14:solidFill>
          </w14:textFill>
        </w:rPr>
        <w:t>成品粮包括：大米、小麦粉、小米、油菜籽、白芝麻、黑芝麻、棉籽、葵花籽、香瓜籽、油茶籽、</w:t>
      </w:r>
      <w:r>
        <w:rPr>
          <w:rFonts w:hint="eastAsia" w:ascii="宋体" w:hAnsi="宋体" w:eastAsia="宋体" w:cs="宋体"/>
          <w:color w:val="000000" w:themeColor="text1"/>
          <w:sz w:val="21"/>
          <w:szCs w:val="21"/>
          <w:highlight w:val="none"/>
          <w:lang w:val="en-US" w:eastAsia="zh-CN"/>
          <w14:textFill>
            <w14:solidFill>
              <w14:schemeClr w14:val="tx1"/>
            </w14:solidFill>
          </w14:textFill>
        </w:rPr>
        <w:t>棕榈</w:t>
      </w:r>
      <w:r>
        <w:rPr>
          <w:rFonts w:hint="eastAsia" w:ascii="宋体" w:hAnsi="宋体" w:eastAsia="宋体" w:cs="宋体"/>
          <w:color w:val="000000" w:themeColor="text1"/>
          <w:sz w:val="21"/>
          <w:szCs w:val="21"/>
          <w:highlight w:val="none"/>
          <w:lang w:eastAsia="zh-CN"/>
          <w14:textFill>
            <w14:solidFill>
              <w14:schemeClr w14:val="tx1"/>
            </w14:solidFill>
          </w14:textFill>
        </w:rPr>
        <w:t>籽等。</w:t>
      </w:r>
    </w:p>
    <w:p w14:paraId="561352FD">
      <w:pPr>
        <w:keepNext w:val="0"/>
        <w:keepLines w:val="0"/>
        <w:pageBreakBefore w:val="0"/>
        <w:widowControl w:val="0"/>
        <w:numPr>
          <w:ilvl w:val="0"/>
          <w:numId w:val="0"/>
        </w:numPr>
        <w:kinsoku/>
        <w:wordWrap/>
        <w:overflowPunct/>
        <w:topLinePunct w:val="0"/>
        <w:bidi w:val="0"/>
        <w:snapToGrid/>
        <w:spacing w:line="360" w:lineRule="auto"/>
        <w:ind w:left="0" w:leftChars="0" w:firstLine="315" w:firstLineChars="15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lang w:eastAsia="zh-CN"/>
          <w14:textFill>
            <w14:solidFill>
              <w14:schemeClr w14:val="tx1"/>
            </w14:solidFill>
          </w14:textFill>
        </w:rPr>
        <w:t>油脂包括：花生油、菜油、香油、葵花籽油、</w:t>
      </w:r>
      <w:r>
        <w:rPr>
          <w:rFonts w:hint="eastAsia" w:ascii="宋体" w:hAnsi="宋体" w:eastAsia="宋体" w:cs="宋体"/>
          <w:color w:val="000000" w:themeColor="text1"/>
          <w:sz w:val="21"/>
          <w:szCs w:val="21"/>
          <w:highlight w:val="none"/>
          <w:lang w:val="en-US" w:eastAsia="zh-CN"/>
          <w14:textFill>
            <w14:solidFill>
              <w14:schemeClr w14:val="tx1"/>
            </w14:solidFill>
          </w14:textFill>
        </w:rPr>
        <w:t>蓖麻</w:t>
      </w:r>
      <w:r>
        <w:rPr>
          <w:rFonts w:hint="eastAsia" w:ascii="宋体" w:hAnsi="宋体" w:eastAsia="宋体" w:cs="宋体"/>
          <w:color w:val="000000" w:themeColor="text1"/>
          <w:sz w:val="21"/>
          <w:szCs w:val="21"/>
          <w:highlight w:val="none"/>
          <w:lang w:eastAsia="zh-CN"/>
          <w14:textFill>
            <w14:solidFill>
              <w14:schemeClr w14:val="tx1"/>
            </w14:solidFill>
          </w14:textFill>
        </w:rPr>
        <w:t>籽油、大豆油、玉米胚油、</w:t>
      </w:r>
      <w:r>
        <w:rPr>
          <w:rFonts w:hint="eastAsia" w:ascii="宋体" w:hAnsi="宋体" w:eastAsia="宋体" w:cs="宋体"/>
          <w:color w:val="000000" w:themeColor="text1"/>
          <w:sz w:val="21"/>
          <w:szCs w:val="21"/>
          <w:highlight w:val="none"/>
          <w:lang w:val="en-US" w:eastAsia="zh-CN"/>
          <w14:textFill>
            <w14:solidFill>
              <w14:schemeClr w14:val="tx1"/>
            </w14:solidFill>
          </w14:textFill>
        </w:rPr>
        <w:t>棕榈</w:t>
      </w:r>
      <w:r>
        <w:rPr>
          <w:rFonts w:hint="eastAsia" w:ascii="宋体" w:hAnsi="宋体" w:eastAsia="宋体" w:cs="宋体"/>
          <w:color w:val="000000" w:themeColor="text1"/>
          <w:sz w:val="21"/>
          <w:szCs w:val="21"/>
          <w:highlight w:val="none"/>
          <w:lang w:eastAsia="zh-CN"/>
          <w14:textFill>
            <w14:solidFill>
              <w14:schemeClr w14:val="tx1"/>
            </w14:solidFill>
          </w14:textFill>
        </w:rPr>
        <w:t>油、橄榄油、色拉油、调和油、调味油、起</w:t>
      </w:r>
      <w:r>
        <w:rPr>
          <w:rFonts w:hint="eastAsia" w:ascii="宋体" w:hAnsi="宋体" w:eastAsia="宋体" w:cs="宋体"/>
          <w:color w:val="000000" w:themeColor="text1"/>
          <w:sz w:val="21"/>
          <w:szCs w:val="21"/>
          <w:highlight w:val="none"/>
          <w:lang w:val="en-US" w:eastAsia="zh-CN"/>
          <w14:textFill>
            <w14:solidFill>
              <w14:schemeClr w14:val="tx1"/>
            </w14:solidFill>
          </w14:textFill>
        </w:rPr>
        <w:t>酥</w:t>
      </w:r>
      <w:r>
        <w:rPr>
          <w:rFonts w:hint="eastAsia" w:ascii="宋体" w:hAnsi="宋体" w:eastAsia="宋体" w:cs="宋体"/>
          <w:color w:val="000000" w:themeColor="text1"/>
          <w:sz w:val="21"/>
          <w:szCs w:val="21"/>
          <w:highlight w:val="none"/>
          <w:lang w:eastAsia="zh-CN"/>
          <w14:textFill>
            <w14:solidFill>
              <w14:schemeClr w14:val="tx1"/>
            </w14:solidFill>
          </w14:textFill>
        </w:rPr>
        <w:t>油等。</w:t>
      </w:r>
    </w:p>
    <w:p w14:paraId="3E48540B">
      <w:pPr>
        <w:keepNext w:val="0"/>
        <w:keepLines w:val="0"/>
        <w:pageBreakBefore w:val="0"/>
        <w:widowControl w:val="0"/>
        <w:numPr>
          <w:ilvl w:val="0"/>
          <w:numId w:val="0"/>
        </w:numPr>
        <w:kinsoku/>
        <w:wordWrap/>
        <w:overflowPunct/>
        <w:topLinePunct w:val="0"/>
        <w:bidi w:val="0"/>
        <w:snapToGrid/>
        <w:spacing w:line="360" w:lineRule="auto"/>
        <w:ind w:left="0" w:leftChars="0" w:firstLine="315" w:firstLineChars="15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lang w:eastAsia="zh-CN"/>
          <w14:textFill>
            <w14:solidFill>
              <w14:schemeClr w14:val="tx1"/>
            </w14:solidFill>
          </w14:textFill>
        </w:rPr>
        <w:t>粮油制品包括：杂面茶、挂面、龙须面、</w:t>
      </w:r>
      <w:r>
        <w:rPr>
          <w:rFonts w:hint="eastAsia" w:ascii="宋体" w:hAnsi="宋体" w:eastAsia="宋体" w:cs="宋体"/>
          <w:color w:val="000000" w:themeColor="text1"/>
          <w:sz w:val="21"/>
          <w:szCs w:val="21"/>
          <w:highlight w:val="none"/>
          <w:lang w:val="en-US" w:eastAsia="zh-CN"/>
          <w14:textFill>
            <w14:solidFill>
              <w14:schemeClr w14:val="tx1"/>
            </w14:solidFill>
          </w14:textFill>
        </w:rPr>
        <w:t>荞</w:t>
      </w:r>
      <w:r>
        <w:rPr>
          <w:rFonts w:hint="eastAsia" w:ascii="宋体" w:hAnsi="宋体" w:eastAsia="宋体" w:cs="宋体"/>
          <w:color w:val="000000" w:themeColor="text1"/>
          <w:sz w:val="21"/>
          <w:szCs w:val="21"/>
          <w:highlight w:val="none"/>
          <w:lang w:eastAsia="zh-CN"/>
          <w14:textFill>
            <w14:solidFill>
              <w14:schemeClr w14:val="tx1"/>
            </w14:solidFill>
          </w14:textFill>
        </w:rPr>
        <w:t>麦挂面、通心面、凉面、面饼、米粉、饼干、烧饼、面筋、可可粉、色拉调料、芝麻酱、花生酱等。</w:t>
      </w:r>
    </w:p>
    <w:p w14:paraId="2022916F">
      <w:pPr>
        <w:keepNext w:val="0"/>
        <w:keepLines w:val="0"/>
        <w:pageBreakBefore w:val="0"/>
        <w:widowControl w:val="0"/>
        <w:numPr>
          <w:ilvl w:val="0"/>
          <w:numId w:val="0"/>
        </w:numPr>
        <w:kinsoku/>
        <w:wordWrap/>
        <w:overflowPunct/>
        <w:topLinePunct w:val="0"/>
        <w:bidi w:val="0"/>
        <w:snapToGrid/>
        <w:spacing w:line="360" w:lineRule="auto"/>
        <w:ind w:left="0" w:leftChars="0" w:firstLine="315" w:firstLineChars="15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lang w:eastAsia="zh-CN"/>
          <w14:textFill>
            <w14:solidFill>
              <w14:schemeClr w14:val="tx1"/>
            </w14:solidFill>
          </w14:textFill>
        </w:rPr>
        <w:t>所供应的蔬菜瓜果类食品必须有检测中心</w:t>
      </w:r>
      <w:r>
        <w:rPr>
          <w:rFonts w:hint="eastAsia" w:ascii="宋体" w:hAnsi="宋体" w:eastAsia="宋体" w:cs="宋体"/>
          <w:color w:val="000000" w:themeColor="text1"/>
          <w:sz w:val="21"/>
          <w:szCs w:val="21"/>
          <w:highlight w:val="none"/>
          <w:lang w:val="en-US" w:eastAsia="zh-CN"/>
          <w14:textFill>
            <w14:solidFill>
              <w14:schemeClr w14:val="tx1"/>
            </w14:solidFill>
          </w14:textFill>
        </w:rPr>
        <w:t>提</w:t>
      </w:r>
      <w:r>
        <w:rPr>
          <w:rFonts w:hint="eastAsia" w:ascii="宋体" w:hAnsi="宋体" w:eastAsia="宋体" w:cs="宋体"/>
          <w:color w:val="000000" w:themeColor="text1"/>
          <w:sz w:val="21"/>
          <w:szCs w:val="21"/>
          <w:highlight w:val="none"/>
          <w:lang w:eastAsia="zh-CN"/>
          <w14:textFill>
            <w14:solidFill>
              <w14:schemeClr w14:val="tx1"/>
            </w14:solidFill>
          </w14:textFill>
        </w:rPr>
        <w:t>供的农药检测证明，且量足价平，并提供有完善的售后服务。</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1" w:type="dxa"/>
          <w:bottom w:w="0" w:type="dxa"/>
          <w:right w:w="11" w:type="dxa"/>
        </w:tblCellMar>
      </w:tblPr>
      <w:tblGrid>
        <w:gridCol w:w="1063"/>
        <w:gridCol w:w="1246"/>
        <w:gridCol w:w="5"/>
        <w:gridCol w:w="6545"/>
      </w:tblGrid>
      <w:tr w14:paraId="5D781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28" w:hRule="exact"/>
          <w:jc w:val="center"/>
        </w:trPr>
        <w:tc>
          <w:tcPr>
            <w:tcW w:w="2314" w:type="dxa"/>
            <w:gridSpan w:val="3"/>
            <w:shd w:val="clear" w:color="auto" w:fill="FFFFFF"/>
            <w:noWrap w:val="0"/>
            <w:vAlign w:val="center"/>
          </w:tcPr>
          <w:p w14:paraId="470F1A20">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类别</w:t>
            </w:r>
          </w:p>
        </w:tc>
        <w:tc>
          <w:tcPr>
            <w:tcW w:w="6545" w:type="dxa"/>
            <w:shd w:val="clear" w:color="auto" w:fill="FFFFFF"/>
            <w:noWrap w:val="0"/>
            <w:vAlign w:val="center"/>
          </w:tcPr>
          <w:p w14:paraId="41B1BB2B">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leftChars="0" w:right="0" w:rightChars="0" w:firstLine="0" w:firstLineChars="0"/>
              <w:jc w:val="center"/>
              <w:textAlignment w:val="auto"/>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种类名称</w:t>
            </w:r>
          </w:p>
        </w:tc>
      </w:tr>
      <w:tr w14:paraId="4EAE3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2053" w:hRule="exact"/>
          <w:jc w:val="center"/>
        </w:trPr>
        <w:tc>
          <w:tcPr>
            <w:tcW w:w="1063" w:type="dxa"/>
            <w:vMerge w:val="restart"/>
            <w:shd w:val="clear" w:color="auto" w:fill="FFFFFF"/>
            <w:noWrap w:val="0"/>
            <w:vAlign w:val="center"/>
          </w:tcPr>
          <w:p w14:paraId="7589D6EB">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食材原材料</w:t>
            </w:r>
          </w:p>
        </w:tc>
        <w:tc>
          <w:tcPr>
            <w:tcW w:w="1251" w:type="dxa"/>
            <w:gridSpan w:val="2"/>
            <w:shd w:val="clear" w:color="auto" w:fill="FFFFFF"/>
            <w:noWrap w:val="0"/>
            <w:vAlign w:val="center"/>
          </w:tcPr>
          <w:p w14:paraId="797AF872">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16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蔬菜类</w:t>
            </w:r>
          </w:p>
        </w:tc>
        <w:tc>
          <w:tcPr>
            <w:tcW w:w="6545" w:type="dxa"/>
            <w:shd w:val="clear" w:color="auto" w:fill="FFFFFF"/>
            <w:noWrap w:val="0"/>
            <w:vAlign w:val="center"/>
          </w:tcPr>
          <w:p w14:paraId="182A8309">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生菜、上海青、小白菜、苦麦菜、包心菜、通心菜、芥菜、奶白菜、 韭菜、西洋菜、枸杞叶、绍菜、潺菜、番薯叶、香花菜、大白菜、 春菜、菜心、油麦菜、</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苋</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菜、韭菜花、葱、姜、沙姜、蒜头、蒜苗、 蒜心、菜花、圆椒、尖椒、兰豆、豆角、西芹、香芹、韭黄、芫茜（香菜）、菠菜、紫苏叶、</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莴</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笋、皇帝菜、豆芽、洋葱、蒜头、胶笋、芦笋、牛</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蒡</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、京葱、雪里红、菜花、西兰花等。</w:t>
            </w:r>
          </w:p>
        </w:tc>
      </w:tr>
      <w:tr w14:paraId="7D0C3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898" w:hRule="exact"/>
          <w:jc w:val="center"/>
        </w:trPr>
        <w:tc>
          <w:tcPr>
            <w:tcW w:w="1063" w:type="dxa"/>
            <w:vMerge w:val="continue"/>
            <w:shd w:val="clear" w:color="auto" w:fill="FFFFFF"/>
            <w:noWrap w:val="0"/>
            <w:vAlign w:val="center"/>
          </w:tcPr>
          <w:p w14:paraId="199C5FC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1251" w:type="dxa"/>
            <w:gridSpan w:val="2"/>
            <w:shd w:val="clear" w:color="auto" w:fill="FFFFFF"/>
            <w:noWrap w:val="0"/>
            <w:vAlign w:val="center"/>
          </w:tcPr>
          <w:p w14:paraId="5DE772B6">
            <w:pPr>
              <w:pStyle w:val="26"/>
              <w:keepNext w:val="0"/>
              <w:keepLines w:val="0"/>
              <w:pageBreakBefore w:val="0"/>
              <w:widowControl w:val="0"/>
              <w:shd w:val="clear" w:color="auto" w:fill="auto"/>
              <w:kinsoku/>
              <w:wordWrap/>
              <w:overflowPunct/>
              <w:topLinePunct w:val="0"/>
              <w:autoSpaceDE/>
              <w:autoSpaceDN/>
              <w:bidi w:val="0"/>
              <w:adjustRightInd/>
              <w:snapToGrid/>
              <w:spacing w:before="0" w:after="220" w:line="320" w:lineRule="exact"/>
              <w:ind w:left="0" w:right="0" w:firstLine="16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瓜果类</w:t>
            </w:r>
          </w:p>
          <w:p w14:paraId="30F3C590">
            <w:pPr>
              <w:pStyle w:val="26"/>
              <w:keepNext w:val="0"/>
              <w:keepLines w:val="0"/>
              <w:pageBreakBefore w:val="0"/>
              <w:widowControl w:val="0"/>
              <w:shd w:val="clear" w:color="auto" w:fill="auto"/>
              <w:kinsoku/>
              <w:wordWrap/>
              <w:overflowPunct/>
              <w:topLinePunct w:val="0"/>
              <w:autoSpaceDE/>
              <w:autoSpaceDN/>
              <w:bidi w:val="0"/>
              <w:adjustRightInd/>
              <w:snapToGrid/>
              <w:spacing w:before="0" w:after="220" w:line="320" w:lineRule="exact"/>
              <w:ind w:left="0" w:leftChars="0" w:right="0" w:firstLine="0" w:firstLineChars="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（含蔬果、水果产品）</w:t>
            </w:r>
          </w:p>
        </w:tc>
        <w:tc>
          <w:tcPr>
            <w:tcW w:w="6545" w:type="dxa"/>
            <w:shd w:val="clear" w:color="auto" w:fill="FFFFFF"/>
            <w:noWrap w:val="0"/>
            <w:vAlign w:val="center"/>
          </w:tcPr>
          <w:p w14:paraId="7536F7AC">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 xml:space="preserve">青瓜、白瓜、丝瓜、节瓜、冬瓜、南瓜、葫芦瓜、水瓜、佛手瓜、 木瓜、苦瓜、茄瓜、黄瓜、云南小瓜、西红市、土豆、黄豆、 </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青豆、</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板粟、玉米、花生、毛豆、鲜百合、沙葛、马蹄、红薯、芋头、粉葛、莲藕、淮山、鲜莲子等。香蕉、粉蕉、香蕉、橙、苹果、雪梨、石榴、番石榴、龙眼、香瓜、柿子、红枣、青枣、香梨、圣女果、 西瓜、哈蜜瓜、贡柑、沙糖桔、柚子、提子、荔枝、椰子等。</w:t>
            </w:r>
          </w:p>
        </w:tc>
      </w:tr>
      <w:tr w14:paraId="074BF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162" w:hRule="exact"/>
          <w:jc w:val="center"/>
        </w:trPr>
        <w:tc>
          <w:tcPr>
            <w:tcW w:w="1063" w:type="dxa"/>
            <w:vMerge w:val="continue"/>
            <w:shd w:val="clear" w:color="auto" w:fill="FFFFFF"/>
            <w:noWrap w:val="0"/>
            <w:vAlign w:val="center"/>
          </w:tcPr>
          <w:p w14:paraId="0291221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1251" w:type="dxa"/>
            <w:gridSpan w:val="2"/>
            <w:shd w:val="clear" w:color="auto" w:fill="FFFFFF"/>
            <w:noWrap w:val="0"/>
            <w:vAlign w:val="center"/>
          </w:tcPr>
          <w:p w14:paraId="5A9ED9CC">
            <w:pPr>
              <w:pStyle w:val="26"/>
              <w:keepNext w:val="0"/>
              <w:keepLines w:val="0"/>
              <w:pageBreakBefore w:val="0"/>
              <w:widowControl w:val="0"/>
              <w:shd w:val="clear" w:color="auto" w:fill="auto"/>
              <w:kinsoku/>
              <w:wordWrap/>
              <w:overflowPunct/>
              <w:topLinePunct w:val="0"/>
              <w:autoSpaceDE/>
              <w:autoSpaceDN/>
              <w:bidi w:val="0"/>
              <w:adjustRightInd/>
              <w:snapToGrid/>
              <w:spacing w:before="0" w:after="220" w:line="320" w:lineRule="exact"/>
              <w:ind w:left="0" w:right="0" w:firstLine="0"/>
              <w:jc w:val="center"/>
              <w:textAlignment w:val="auto"/>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肉类（含</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 xml:space="preserve">         </w:t>
            </w:r>
          </w:p>
          <w:p w14:paraId="02C3E2FB">
            <w:pPr>
              <w:pStyle w:val="26"/>
              <w:keepNext w:val="0"/>
              <w:keepLines w:val="0"/>
              <w:pageBreakBefore w:val="0"/>
              <w:widowControl w:val="0"/>
              <w:shd w:val="clear" w:color="auto" w:fill="auto"/>
              <w:kinsoku/>
              <w:wordWrap/>
              <w:overflowPunct/>
              <w:topLinePunct w:val="0"/>
              <w:autoSpaceDE/>
              <w:autoSpaceDN/>
              <w:bidi w:val="0"/>
              <w:adjustRightInd/>
              <w:snapToGrid/>
              <w:spacing w:before="0" w:after="220" w:line="320" w:lineRule="exact"/>
              <w:ind w:left="0" w:right="0" w:firstLine="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蛋类）</w:t>
            </w:r>
          </w:p>
        </w:tc>
        <w:tc>
          <w:tcPr>
            <w:tcW w:w="6545" w:type="dxa"/>
            <w:shd w:val="clear" w:color="auto" w:fill="FFFFFF"/>
            <w:noWrap w:val="0"/>
            <w:vAlign w:val="center"/>
          </w:tcPr>
          <w:p w14:paraId="26D5007F">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生猪（肉、骨）、生牛（肉、骨）、羊（肉、骨）、驴（肉、骨）、光 禽鸡肉、光禽鹅肉、光禽鸭肉、光禽乳鸽、鸡蛋、鸭蛋、鹅蛋、皮 蛋、咸蛋、鹤鹑蛋等</w:t>
            </w:r>
          </w:p>
        </w:tc>
      </w:tr>
      <w:tr w14:paraId="0A972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2355" w:hRule="exact"/>
          <w:jc w:val="center"/>
        </w:trPr>
        <w:tc>
          <w:tcPr>
            <w:tcW w:w="1063" w:type="dxa"/>
            <w:vMerge w:val="continue"/>
            <w:shd w:val="clear" w:color="auto" w:fill="FFFFFF"/>
            <w:noWrap w:val="0"/>
            <w:vAlign w:val="center"/>
          </w:tcPr>
          <w:p w14:paraId="7516467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1251" w:type="dxa"/>
            <w:gridSpan w:val="2"/>
            <w:shd w:val="clear" w:color="auto" w:fill="FFFFFF"/>
            <w:noWrap w:val="0"/>
            <w:vAlign w:val="center"/>
          </w:tcPr>
          <w:p w14:paraId="54DB2F7C">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16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干货类</w:t>
            </w:r>
          </w:p>
        </w:tc>
        <w:tc>
          <w:tcPr>
            <w:tcW w:w="6545" w:type="dxa"/>
            <w:shd w:val="clear" w:color="auto" w:fill="FFFFFF"/>
            <w:noWrap w:val="0"/>
            <w:vAlign w:val="center"/>
          </w:tcPr>
          <w:p w14:paraId="70C0CC82">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菜干、干冬菇、干木耳、干茶树菇、陈皮、提子干、鸡骨草、五指 毛桃、干腐皮、干金针菜、干沙姜、干葱头、昆布、干云耳、虾米、 瑶柱、贝壳类干货、当归、无花果、干</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鱿</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鱼、虾皮、水草、菊花、海带、面筋、腐竹、榄角、粽叶、冬瓜干、丁香、虫草花、花旗参、 淡菜、干生</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蚝</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肉、召实、沙参、玉竹、杞子、党参、萝卜干、笋干、 薏米、红枣、赤小豆、红豆、眉豆、黄豆、百合、莲子、花生、扁 豆、绿豆、南北杏、红腰豆等。</w:t>
            </w:r>
          </w:p>
        </w:tc>
      </w:tr>
      <w:tr w14:paraId="06547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823" w:hRule="exact"/>
          <w:jc w:val="center"/>
        </w:trPr>
        <w:tc>
          <w:tcPr>
            <w:tcW w:w="1063" w:type="dxa"/>
            <w:vMerge w:val="continue"/>
            <w:shd w:val="clear" w:color="auto" w:fill="FFFFFF"/>
            <w:noWrap w:val="0"/>
            <w:vAlign w:val="center"/>
          </w:tcPr>
          <w:p w14:paraId="6E90620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1251" w:type="dxa"/>
            <w:gridSpan w:val="2"/>
            <w:shd w:val="clear" w:color="auto" w:fill="FFFFFF"/>
            <w:noWrap w:val="0"/>
            <w:vAlign w:val="center"/>
          </w:tcPr>
          <w:p w14:paraId="2F3364F8">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16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水产类</w:t>
            </w:r>
          </w:p>
          <w:p w14:paraId="1495409C">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（含咸、 淡水产</w:t>
            </w:r>
          </w:p>
          <w:p w14:paraId="32969AE1">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26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品）</w:t>
            </w:r>
          </w:p>
        </w:tc>
        <w:tc>
          <w:tcPr>
            <w:tcW w:w="6545" w:type="dxa"/>
            <w:shd w:val="clear" w:color="auto" w:fill="FFFFFF"/>
            <w:noWrap w:val="0"/>
            <w:vAlign w:val="center"/>
          </w:tcPr>
          <w:p w14:paraId="48E42A9B">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泥猛鱼、黄花鱼、白仓鱼、金仓鱼、笋壳鱼、跳跳鱼、红三鱼、海鲫鱼、乌头鱼、</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鱿</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鱼、墨鱼、多宝鱼、带鱼、沙丁鱼、海</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鲈</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、秋多鱼、扇贝、生</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蚝</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、蚌、螺、</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苋</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 xml:space="preserve">、白贝、花甲、带子、圣子、虾、蟹、 </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鲩</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鱼、大头鱼、鲫鱼、</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鲮</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鱼、生鱼、边鱼、</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鲈</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鱼、盲曹鱼、禾顺鱼、桂花鱼、泥</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鳅</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鱼、福寿鱼、沙</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苋</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等。</w:t>
            </w:r>
          </w:p>
        </w:tc>
      </w:tr>
      <w:tr w14:paraId="2C22F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900" w:hRule="exact"/>
          <w:jc w:val="center"/>
        </w:trPr>
        <w:tc>
          <w:tcPr>
            <w:tcW w:w="1063" w:type="dxa"/>
            <w:vMerge w:val="continue"/>
            <w:shd w:val="clear" w:color="auto" w:fill="FFFFFF"/>
            <w:noWrap w:val="0"/>
            <w:vAlign w:val="center"/>
          </w:tcPr>
          <w:p w14:paraId="6540458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1251" w:type="dxa"/>
            <w:gridSpan w:val="2"/>
            <w:shd w:val="clear" w:color="auto" w:fill="FFFFFF"/>
            <w:noWrap w:val="0"/>
            <w:vAlign w:val="center"/>
          </w:tcPr>
          <w:p w14:paraId="233A3894">
            <w:pPr>
              <w:pStyle w:val="26"/>
              <w:keepNext w:val="0"/>
              <w:keepLines w:val="0"/>
              <w:pageBreakBefore w:val="0"/>
              <w:widowControl w:val="0"/>
              <w:shd w:val="clear" w:color="auto" w:fill="auto"/>
              <w:kinsoku/>
              <w:wordWrap/>
              <w:overflowPunct/>
              <w:topLinePunct w:val="0"/>
              <w:autoSpaceDE/>
              <w:autoSpaceDN/>
              <w:bidi w:val="0"/>
              <w:adjustRightInd/>
              <w:snapToGrid/>
              <w:spacing w:before="0" w:after="220" w:line="320" w:lineRule="exact"/>
              <w:ind w:left="287" w:leftChars="114" w:right="0" w:hanging="48" w:hangingChars="23"/>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食用菌菇类</w:t>
            </w:r>
          </w:p>
        </w:tc>
        <w:tc>
          <w:tcPr>
            <w:tcW w:w="6545" w:type="dxa"/>
            <w:shd w:val="clear" w:color="auto" w:fill="FFFFFF"/>
            <w:noWrap w:val="0"/>
            <w:vAlign w:val="center"/>
          </w:tcPr>
          <w:p w14:paraId="7D3117C9">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金针菇、茶树菇、海鲜菇、鲜平菇、鲜草菇、袖珍菇、鲜冬菇、鲜木耳等</w:t>
            </w:r>
          </w:p>
        </w:tc>
      </w:tr>
      <w:tr w14:paraId="42178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946" w:hRule="exact"/>
          <w:jc w:val="center"/>
        </w:trPr>
        <w:tc>
          <w:tcPr>
            <w:tcW w:w="1063" w:type="dxa"/>
            <w:vMerge w:val="continue"/>
            <w:shd w:val="clear" w:color="auto" w:fill="FFFFFF"/>
            <w:noWrap w:val="0"/>
            <w:vAlign w:val="top"/>
          </w:tcPr>
          <w:p w14:paraId="22783D5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1246" w:type="dxa"/>
            <w:shd w:val="clear" w:color="auto" w:fill="FFFFFF"/>
            <w:noWrap w:val="0"/>
            <w:vAlign w:val="center"/>
          </w:tcPr>
          <w:p w14:paraId="04AD52B2">
            <w:pPr>
              <w:pStyle w:val="26"/>
              <w:keepNext w:val="0"/>
              <w:keepLines w:val="0"/>
              <w:pageBreakBefore w:val="0"/>
              <w:widowControl w:val="0"/>
              <w:shd w:val="clear" w:color="auto" w:fill="auto"/>
              <w:kinsoku/>
              <w:wordWrap/>
              <w:overflowPunct/>
              <w:topLinePunct w:val="0"/>
              <w:autoSpaceDE/>
              <w:autoSpaceDN/>
              <w:bidi w:val="0"/>
              <w:adjustRightInd/>
              <w:snapToGrid/>
              <w:spacing w:before="0" w:after="220" w:line="320" w:lineRule="exact"/>
              <w:ind w:left="0" w:leftChars="0" w:right="0" w:firstLine="0" w:firstLineChars="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豆制品类</w:t>
            </w:r>
          </w:p>
        </w:tc>
        <w:tc>
          <w:tcPr>
            <w:tcW w:w="6550" w:type="dxa"/>
            <w:gridSpan w:val="2"/>
            <w:shd w:val="clear" w:color="auto" w:fill="FFFFFF"/>
            <w:noWrap w:val="0"/>
            <w:vAlign w:val="center"/>
          </w:tcPr>
          <w:p w14:paraId="7E7DDA30">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豆腐、白豆干、凉皮、烟干、炸豆腐、香干丝、小豆卜、华晨豆卜、 千张皮、香干、面筋等。</w:t>
            </w:r>
          </w:p>
        </w:tc>
      </w:tr>
      <w:tr w14:paraId="2E3B8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196" w:hRule="exact"/>
          <w:jc w:val="center"/>
        </w:trPr>
        <w:tc>
          <w:tcPr>
            <w:tcW w:w="1063" w:type="dxa"/>
            <w:vMerge w:val="continue"/>
            <w:shd w:val="clear" w:color="auto" w:fill="FFFFFF"/>
            <w:noWrap w:val="0"/>
            <w:vAlign w:val="top"/>
          </w:tcPr>
          <w:p w14:paraId="0C6B45B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1246" w:type="dxa"/>
            <w:shd w:val="clear" w:color="auto" w:fill="FFFFFF"/>
            <w:noWrap w:val="0"/>
            <w:vAlign w:val="center"/>
          </w:tcPr>
          <w:p w14:paraId="10416EBB">
            <w:pPr>
              <w:pStyle w:val="26"/>
              <w:keepNext w:val="0"/>
              <w:keepLines w:val="0"/>
              <w:pageBreakBefore w:val="0"/>
              <w:widowControl w:val="0"/>
              <w:shd w:val="clear" w:color="auto" w:fill="auto"/>
              <w:kinsoku/>
              <w:wordWrap/>
              <w:overflowPunct/>
              <w:topLinePunct w:val="0"/>
              <w:autoSpaceDE/>
              <w:autoSpaceDN/>
              <w:bidi w:val="0"/>
              <w:adjustRightInd/>
              <w:snapToGrid/>
              <w:spacing w:before="0" w:after="220" w:line="320" w:lineRule="exact"/>
              <w:ind w:left="0" w:right="0" w:firstLine="16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米面制</w:t>
            </w:r>
          </w:p>
          <w:p w14:paraId="26E17B21">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品类</w:t>
            </w:r>
          </w:p>
        </w:tc>
        <w:tc>
          <w:tcPr>
            <w:tcW w:w="6550" w:type="dxa"/>
            <w:gridSpan w:val="2"/>
            <w:shd w:val="clear" w:color="auto" w:fill="FFFFFF"/>
            <w:noWrap w:val="0"/>
            <w:vAlign w:val="center"/>
          </w:tcPr>
          <w:p w14:paraId="6B22977B">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河粉、布拉肠、饺子皮、云吞皮、猪肠粉、陈村粉、</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濑</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粉、面条（非</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干</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面类）、粉条、糯米盏、饺子、云吞、汤圆</w:t>
            </w:r>
            <w:r>
              <w:rPr>
                <w:rFonts w:hint="eastAsia" w:ascii="宋体" w:hAnsi="宋体" w:eastAsia="宋体" w:cs="宋体"/>
                <w:color w:val="000000" w:themeColor="text1"/>
                <w:spacing w:val="0"/>
                <w:w w:val="100"/>
                <w:position w:val="0"/>
                <w:sz w:val="21"/>
                <w:szCs w:val="21"/>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生切面、包子、面 包、汤圆等。</w:t>
            </w:r>
          </w:p>
        </w:tc>
      </w:tr>
      <w:tr w14:paraId="3A560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475" w:hRule="exact"/>
          <w:jc w:val="center"/>
        </w:trPr>
        <w:tc>
          <w:tcPr>
            <w:tcW w:w="1063" w:type="dxa"/>
            <w:vMerge w:val="continue"/>
            <w:shd w:val="clear" w:color="auto" w:fill="FFFFFF"/>
            <w:noWrap w:val="0"/>
            <w:vAlign w:val="top"/>
          </w:tcPr>
          <w:p w14:paraId="42FC6D5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1246" w:type="dxa"/>
            <w:shd w:val="clear" w:color="auto" w:fill="FFFFFF"/>
            <w:noWrap w:val="0"/>
            <w:vAlign w:val="center"/>
          </w:tcPr>
          <w:p w14:paraId="44C1E56A">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16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腊味类</w:t>
            </w:r>
          </w:p>
        </w:tc>
        <w:tc>
          <w:tcPr>
            <w:tcW w:w="6550" w:type="dxa"/>
            <w:gridSpan w:val="2"/>
            <w:shd w:val="clear" w:color="auto" w:fill="FFFFFF"/>
            <w:noWrap w:val="0"/>
            <w:vAlign w:val="center"/>
          </w:tcPr>
          <w:p w14:paraId="5FA12117">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腊肉、腊肠。</w:t>
            </w:r>
          </w:p>
        </w:tc>
      </w:tr>
      <w:tr w14:paraId="51CFE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530" w:hRule="exact"/>
          <w:jc w:val="center"/>
        </w:trPr>
        <w:tc>
          <w:tcPr>
            <w:tcW w:w="1063" w:type="dxa"/>
            <w:vMerge w:val="continue"/>
            <w:shd w:val="clear" w:color="auto" w:fill="FFFFFF"/>
            <w:noWrap w:val="0"/>
            <w:vAlign w:val="top"/>
          </w:tcPr>
          <w:p w14:paraId="4A6A859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1246" w:type="dxa"/>
            <w:shd w:val="clear" w:color="auto" w:fill="FFFFFF"/>
            <w:noWrap w:val="0"/>
            <w:vAlign w:val="center"/>
          </w:tcPr>
          <w:p w14:paraId="16DA1E5C">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16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熟食类</w:t>
            </w:r>
          </w:p>
        </w:tc>
        <w:tc>
          <w:tcPr>
            <w:tcW w:w="6550" w:type="dxa"/>
            <w:gridSpan w:val="2"/>
            <w:shd w:val="clear" w:color="auto" w:fill="FFFFFF"/>
            <w:noWrap w:val="0"/>
            <w:vAlign w:val="center"/>
          </w:tcPr>
          <w:p w14:paraId="5B046438">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烧肉、烧排骨、叉烧、烧鸭、烧鹅、白切鸡、卤水肉等。</w:t>
            </w:r>
          </w:p>
        </w:tc>
      </w:tr>
      <w:tr w14:paraId="418A5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145" w:hRule="exact"/>
          <w:jc w:val="center"/>
        </w:trPr>
        <w:tc>
          <w:tcPr>
            <w:tcW w:w="1063" w:type="dxa"/>
            <w:vMerge w:val="continue"/>
            <w:shd w:val="clear" w:color="auto" w:fill="FFFFFF"/>
            <w:noWrap w:val="0"/>
            <w:vAlign w:val="top"/>
          </w:tcPr>
          <w:p w14:paraId="4B7A07E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1246" w:type="dxa"/>
            <w:shd w:val="clear" w:color="auto" w:fill="FFFFFF"/>
            <w:noWrap w:val="0"/>
            <w:vAlign w:val="center"/>
          </w:tcPr>
          <w:p w14:paraId="13401943">
            <w:pPr>
              <w:pStyle w:val="26"/>
              <w:keepNext w:val="0"/>
              <w:keepLines w:val="0"/>
              <w:pageBreakBefore w:val="0"/>
              <w:widowControl w:val="0"/>
              <w:shd w:val="clear" w:color="auto" w:fill="auto"/>
              <w:kinsoku/>
              <w:wordWrap/>
              <w:overflowPunct/>
              <w:topLinePunct w:val="0"/>
              <w:autoSpaceDE/>
              <w:autoSpaceDN/>
              <w:bidi w:val="0"/>
              <w:adjustRightInd/>
              <w:snapToGrid/>
              <w:spacing w:before="0" w:after="240" w:line="320" w:lineRule="exact"/>
              <w:ind w:left="0" w:right="0" w:firstLine="16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乳制品</w:t>
            </w:r>
          </w:p>
          <w:p w14:paraId="5461DE77">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类</w:t>
            </w:r>
          </w:p>
        </w:tc>
        <w:tc>
          <w:tcPr>
            <w:tcW w:w="6550" w:type="dxa"/>
            <w:gridSpan w:val="2"/>
            <w:shd w:val="clear" w:color="auto" w:fill="FFFFFF"/>
            <w:noWrap w:val="0"/>
            <w:vAlign w:val="center"/>
          </w:tcPr>
          <w:p w14:paraId="78CF2FFC">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鲜牛奶、杀菌奶、灭菌奶、酸奶、全脂乳粉、脱脂乳粉、全脂加糖乳粉、调味乳粉、炼乳类、乳脂肪类打蛋糕用的稀奶油、常见的配面包吃的奶油、干酪类、乳冰淇淋类、干酪素、乳糖、奶片等。</w:t>
            </w:r>
          </w:p>
        </w:tc>
      </w:tr>
      <w:tr w14:paraId="6B440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575" w:hRule="exact"/>
          <w:jc w:val="center"/>
        </w:trPr>
        <w:tc>
          <w:tcPr>
            <w:tcW w:w="1063" w:type="dxa"/>
            <w:vMerge w:val="restart"/>
            <w:shd w:val="clear" w:color="auto" w:fill="FFFFFF"/>
            <w:noWrap w:val="0"/>
            <w:vAlign w:val="center"/>
          </w:tcPr>
          <w:p w14:paraId="7B66B726">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副食品</w:t>
            </w:r>
          </w:p>
        </w:tc>
        <w:tc>
          <w:tcPr>
            <w:tcW w:w="1246" w:type="dxa"/>
            <w:shd w:val="clear" w:color="auto" w:fill="FFFFFF"/>
            <w:noWrap w:val="0"/>
            <w:vAlign w:val="center"/>
          </w:tcPr>
          <w:p w14:paraId="6A2B8F36">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16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食品类</w:t>
            </w:r>
          </w:p>
        </w:tc>
        <w:tc>
          <w:tcPr>
            <w:tcW w:w="6550" w:type="dxa"/>
            <w:gridSpan w:val="2"/>
            <w:shd w:val="clear" w:color="auto" w:fill="FFFFFF"/>
            <w:noWrap w:val="0"/>
            <w:vAlign w:val="center"/>
          </w:tcPr>
          <w:p w14:paraId="5BDDC166">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饼干、食品</w:t>
            </w:r>
            <w:r>
              <w:rPr>
                <w:rFonts w:hint="eastAsia" w:ascii="宋体" w:hAnsi="宋体" w:eastAsia="宋体" w:cs="宋体"/>
                <w:color w:val="000000" w:themeColor="text1"/>
                <w:spacing w:val="0"/>
                <w:w w:val="100"/>
                <w:position w:val="0"/>
                <w:sz w:val="21"/>
                <w:szCs w:val="21"/>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果品、罐头等。</w:t>
            </w:r>
          </w:p>
        </w:tc>
      </w:tr>
      <w:tr w14:paraId="4A935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116" w:hRule="exact"/>
          <w:jc w:val="center"/>
        </w:trPr>
        <w:tc>
          <w:tcPr>
            <w:tcW w:w="1063" w:type="dxa"/>
            <w:vMerge w:val="continue"/>
            <w:shd w:val="clear" w:color="auto" w:fill="FFFFFF"/>
            <w:noWrap w:val="0"/>
            <w:vAlign w:val="top"/>
          </w:tcPr>
          <w:p w14:paraId="6752CC8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1246" w:type="dxa"/>
            <w:shd w:val="clear" w:color="auto" w:fill="FFFFFF"/>
            <w:noWrap w:val="0"/>
            <w:vAlign w:val="center"/>
          </w:tcPr>
          <w:p w14:paraId="70BCD283">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160"/>
              <w:jc w:val="both"/>
              <w:textAlignment w:val="auto"/>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原粮产</w:t>
            </w:r>
          </w:p>
          <w:p w14:paraId="6F5D4D91">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品</w:t>
            </w:r>
          </w:p>
        </w:tc>
        <w:tc>
          <w:tcPr>
            <w:tcW w:w="6550" w:type="dxa"/>
            <w:gridSpan w:val="2"/>
            <w:shd w:val="clear" w:color="auto" w:fill="FFFFFF"/>
            <w:noWrap w:val="0"/>
            <w:vAlign w:val="center"/>
          </w:tcPr>
          <w:p w14:paraId="39A24624">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left"/>
              <w:textAlignment w:val="auto"/>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谷类、麦类、杂粮类和豆类。包括稻谷、小麦、燕麦、玉米粉、高粱、</w:t>
            </w:r>
          </w:p>
          <w:p w14:paraId="3FF9B73D">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谷子、大麦、</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荞</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麦、大豆、小豆等。</w:t>
            </w:r>
          </w:p>
        </w:tc>
      </w:tr>
      <w:tr w14:paraId="14059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946" w:hRule="exact"/>
          <w:jc w:val="center"/>
        </w:trPr>
        <w:tc>
          <w:tcPr>
            <w:tcW w:w="1063" w:type="dxa"/>
            <w:vMerge w:val="continue"/>
            <w:shd w:val="clear" w:color="auto" w:fill="FFFFFF"/>
            <w:noWrap w:val="0"/>
            <w:vAlign w:val="top"/>
          </w:tcPr>
          <w:p w14:paraId="4E338AA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1246" w:type="dxa"/>
            <w:shd w:val="clear" w:color="auto" w:fill="FFFFFF"/>
            <w:noWrap w:val="0"/>
            <w:vAlign w:val="center"/>
          </w:tcPr>
          <w:p w14:paraId="1B6132F4">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16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成品粮</w:t>
            </w:r>
          </w:p>
        </w:tc>
        <w:tc>
          <w:tcPr>
            <w:tcW w:w="6550" w:type="dxa"/>
            <w:gridSpan w:val="2"/>
            <w:shd w:val="clear" w:color="auto" w:fill="FFFFFF"/>
            <w:noWrap w:val="0"/>
            <w:vAlign w:val="center"/>
          </w:tcPr>
          <w:p w14:paraId="5BFD3E4F">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大米、小麦粉，小米、油菜籽、白芝麻、黑芝麻、棉籽、葵花籽、 香瓜籽、油茶籽、</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棕榈</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籽等。</w:t>
            </w:r>
          </w:p>
        </w:tc>
      </w:tr>
      <w:tr w14:paraId="138A2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791" w:hRule="exact"/>
          <w:jc w:val="center"/>
        </w:trPr>
        <w:tc>
          <w:tcPr>
            <w:tcW w:w="1063" w:type="dxa"/>
            <w:vMerge w:val="continue"/>
            <w:shd w:val="clear" w:color="auto" w:fill="FFFFFF"/>
            <w:noWrap w:val="0"/>
            <w:vAlign w:val="center"/>
          </w:tcPr>
          <w:p w14:paraId="0A6F6F60">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1246" w:type="dxa"/>
            <w:shd w:val="clear" w:color="auto" w:fill="FFFFFF"/>
            <w:noWrap w:val="0"/>
            <w:vAlign w:val="center"/>
          </w:tcPr>
          <w:p w14:paraId="55E0B51E">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油脂</w:t>
            </w:r>
          </w:p>
        </w:tc>
        <w:tc>
          <w:tcPr>
            <w:tcW w:w="6550" w:type="dxa"/>
            <w:gridSpan w:val="2"/>
            <w:shd w:val="clear" w:color="auto" w:fill="FFFFFF"/>
            <w:noWrap w:val="0"/>
            <w:vAlign w:val="center"/>
          </w:tcPr>
          <w:p w14:paraId="64769ACA">
            <w:pPr>
              <w:pStyle w:val="26"/>
              <w:keepNext w:val="0"/>
              <w:keepLines w:val="0"/>
              <w:pageBreakBefore w:val="0"/>
              <w:widowControl w:val="0"/>
              <w:shd w:val="clear" w:color="auto" w:fill="auto"/>
              <w:kinsoku/>
              <w:wordWrap/>
              <w:overflowPunct/>
              <w:topLinePunct w:val="0"/>
              <w:autoSpaceDE/>
              <w:autoSpaceDN/>
              <w:bidi w:val="0"/>
              <w:adjustRightInd/>
              <w:snapToGrid/>
              <w:spacing w:before="0" w:after="220" w:line="320" w:lineRule="exact"/>
              <w:ind w:left="0" w:right="0" w:firstLine="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花生油、菜油、香油、葵花籽油、</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蓖麻</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籽油、大豆油、玉米胚油、</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棕榈</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油、橄榄油</w:t>
            </w:r>
            <w:r>
              <w:rPr>
                <w:rFonts w:hint="eastAsia" w:ascii="宋体" w:hAnsi="宋体" w:eastAsia="宋体" w:cs="宋体"/>
                <w:color w:val="000000" w:themeColor="text1"/>
                <w:spacing w:val="0"/>
                <w:w w:val="100"/>
                <w:position w:val="0"/>
                <w:sz w:val="21"/>
                <w:szCs w:val="21"/>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色拉油、调和油</w:t>
            </w:r>
            <w:r>
              <w:rPr>
                <w:rFonts w:hint="eastAsia" w:ascii="宋体" w:hAnsi="宋体" w:eastAsia="宋体" w:cs="宋体"/>
                <w:color w:val="000000" w:themeColor="text1"/>
                <w:spacing w:val="0"/>
                <w:w w:val="100"/>
                <w:position w:val="0"/>
                <w:sz w:val="21"/>
                <w:szCs w:val="21"/>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调味油</w:t>
            </w:r>
            <w:r>
              <w:rPr>
                <w:rFonts w:hint="eastAsia" w:ascii="宋体" w:hAnsi="宋体" w:eastAsia="宋体" w:cs="宋体"/>
                <w:color w:val="000000" w:themeColor="text1"/>
                <w:spacing w:val="0"/>
                <w:w w:val="100"/>
                <w:position w:val="0"/>
                <w:sz w:val="21"/>
                <w:szCs w:val="21"/>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起酥油等。</w:t>
            </w:r>
          </w:p>
        </w:tc>
      </w:tr>
      <w:tr w14:paraId="09A45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117" w:hRule="exact"/>
          <w:jc w:val="center"/>
        </w:trPr>
        <w:tc>
          <w:tcPr>
            <w:tcW w:w="1063" w:type="dxa"/>
            <w:vMerge w:val="continue"/>
            <w:shd w:val="clear" w:color="auto" w:fill="FFFFFF"/>
            <w:noWrap w:val="0"/>
            <w:vAlign w:val="top"/>
          </w:tcPr>
          <w:p w14:paraId="5427D1C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1246" w:type="dxa"/>
            <w:shd w:val="clear" w:color="auto" w:fill="FFFFFF"/>
            <w:noWrap w:val="0"/>
            <w:vAlign w:val="center"/>
          </w:tcPr>
          <w:p w14:paraId="3E891B10">
            <w:pPr>
              <w:pStyle w:val="26"/>
              <w:keepNext w:val="0"/>
              <w:keepLines w:val="0"/>
              <w:pageBreakBefore w:val="0"/>
              <w:widowControl w:val="0"/>
              <w:shd w:val="clear" w:color="auto" w:fill="auto"/>
              <w:kinsoku/>
              <w:wordWrap/>
              <w:overflowPunct/>
              <w:topLinePunct w:val="0"/>
              <w:autoSpaceDE/>
              <w:autoSpaceDN/>
              <w:bidi w:val="0"/>
              <w:adjustRightInd/>
              <w:snapToGrid/>
              <w:spacing w:before="0" w:after="220" w:line="320" w:lineRule="exact"/>
              <w:ind w:left="0" w:right="0" w:firstLine="16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粮油制</w:t>
            </w:r>
          </w:p>
          <w:p w14:paraId="11F4C32A">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38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品</w:t>
            </w:r>
          </w:p>
        </w:tc>
        <w:tc>
          <w:tcPr>
            <w:tcW w:w="6550" w:type="dxa"/>
            <w:gridSpan w:val="2"/>
            <w:shd w:val="clear" w:color="auto" w:fill="FFFFFF"/>
            <w:noWrap w:val="0"/>
            <w:vAlign w:val="center"/>
          </w:tcPr>
          <w:p w14:paraId="212A66CF">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杂面茶、挂面、龙须面</w:t>
            </w:r>
            <w:r>
              <w:rPr>
                <w:rFonts w:hint="eastAsia" w:ascii="宋体" w:hAnsi="宋体" w:eastAsia="宋体" w:cs="宋体"/>
                <w:color w:val="000000" w:themeColor="text1"/>
                <w:spacing w:val="0"/>
                <w:w w:val="100"/>
                <w:position w:val="0"/>
                <w:sz w:val="21"/>
                <w:szCs w:val="21"/>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spacing w:val="0"/>
                <w:w w:val="100"/>
                <w:position w:val="0"/>
                <w:sz w:val="21"/>
                <w:szCs w:val="21"/>
                <w:highlight w:val="none"/>
                <w:shd w:val="clear" w:color="auto" w:fill="auto"/>
                <w:lang w:val="en-US" w:eastAsia="zh-CN"/>
                <w14:textFill>
                  <w14:solidFill>
                    <w14:schemeClr w14:val="tx1"/>
                  </w14:solidFill>
                </w14:textFill>
              </w:rPr>
              <w:t>荞</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麦挂面</w:t>
            </w:r>
            <w:r>
              <w:rPr>
                <w:rFonts w:hint="eastAsia" w:ascii="宋体" w:hAnsi="宋体" w:eastAsia="宋体" w:cs="宋体"/>
                <w:color w:val="000000" w:themeColor="text1"/>
                <w:spacing w:val="0"/>
                <w:w w:val="100"/>
                <w:position w:val="0"/>
                <w:sz w:val="21"/>
                <w:szCs w:val="21"/>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通心面</w:t>
            </w:r>
            <w:r>
              <w:rPr>
                <w:rFonts w:hint="eastAsia" w:ascii="宋体" w:hAnsi="宋体" w:eastAsia="宋体" w:cs="宋体"/>
                <w:color w:val="000000" w:themeColor="text1"/>
                <w:spacing w:val="0"/>
                <w:w w:val="100"/>
                <w:position w:val="0"/>
                <w:sz w:val="21"/>
                <w:szCs w:val="21"/>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凉面</w:t>
            </w:r>
            <w:r>
              <w:rPr>
                <w:rFonts w:hint="eastAsia" w:ascii="宋体" w:hAnsi="宋体" w:eastAsia="宋体" w:cs="宋体"/>
                <w:color w:val="000000" w:themeColor="text1"/>
                <w:spacing w:val="0"/>
                <w:w w:val="100"/>
                <w:position w:val="0"/>
                <w:sz w:val="21"/>
                <w:szCs w:val="21"/>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面饼</w:t>
            </w:r>
            <w:r>
              <w:rPr>
                <w:rFonts w:hint="eastAsia" w:ascii="宋体" w:hAnsi="宋体" w:eastAsia="宋体" w:cs="宋体"/>
                <w:color w:val="000000" w:themeColor="text1"/>
                <w:spacing w:val="0"/>
                <w:w w:val="100"/>
                <w:position w:val="0"/>
                <w:sz w:val="21"/>
                <w:szCs w:val="21"/>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方便面</w:t>
            </w:r>
            <w:r>
              <w:rPr>
                <w:rFonts w:hint="eastAsia" w:ascii="宋体" w:hAnsi="宋体" w:eastAsia="宋体" w:cs="宋体"/>
                <w:color w:val="000000" w:themeColor="text1"/>
                <w:spacing w:val="0"/>
                <w:w w:val="100"/>
                <w:position w:val="0"/>
                <w:sz w:val="21"/>
                <w:szCs w:val="21"/>
                <w:highlight w:val="none"/>
                <w:shd w:val="clear" w:color="auto" w:fill="auto"/>
                <w:lang w:eastAsia="zh-CN"/>
                <w14:textFill>
                  <w14:solidFill>
                    <w14:schemeClr w14:val="tx1"/>
                  </w14:solidFill>
                </w14:textFill>
              </w:rPr>
              <w:t>、</w:t>
            </w: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米粉、粉丝、西米、花生米、烧饼、可可粉、色拉调料、芝麻酱、面粉、糯米粉、粘米粉、生粉、花生酱、奶粉等。</w:t>
            </w:r>
          </w:p>
        </w:tc>
      </w:tr>
      <w:tr w14:paraId="11FA7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966" w:hRule="exact"/>
          <w:jc w:val="center"/>
        </w:trPr>
        <w:tc>
          <w:tcPr>
            <w:tcW w:w="1063" w:type="dxa"/>
            <w:vMerge w:val="continue"/>
            <w:shd w:val="clear" w:color="auto" w:fill="FFFFFF"/>
            <w:noWrap w:val="0"/>
            <w:vAlign w:val="top"/>
          </w:tcPr>
          <w:p w14:paraId="0C96018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szCs w:val="21"/>
                <w:highlight w:val="none"/>
                <w14:textFill>
                  <w14:solidFill>
                    <w14:schemeClr w14:val="tx1"/>
                  </w14:solidFill>
                </w14:textFill>
              </w:rPr>
            </w:pPr>
          </w:p>
        </w:tc>
        <w:tc>
          <w:tcPr>
            <w:tcW w:w="1246" w:type="dxa"/>
            <w:shd w:val="clear" w:color="auto" w:fill="FFFFFF"/>
            <w:noWrap w:val="0"/>
            <w:vAlign w:val="center"/>
          </w:tcPr>
          <w:p w14:paraId="76F430F3">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16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调味品</w:t>
            </w:r>
          </w:p>
        </w:tc>
        <w:tc>
          <w:tcPr>
            <w:tcW w:w="6550" w:type="dxa"/>
            <w:gridSpan w:val="2"/>
            <w:shd w:val="clear" w:color="auto" w:fill="FFFFFF"/>
            <w:noWrap w:val="0"/>
            <w:vAlign w:val="center"/>
          </w:tcPr>
          <w:p w14:paraId="4ADDDF8E">
            <w:pPr>
              <w:pStyle w:val="26"/>
              <w:keepNext w:val="0"/>
              <w:keepLines w:val="0"/>
              <w:pageBreakBefore w:val="0"/>
              <w:widowControl w:val="0"/>
              <w:shd w:val="clear" w:color="auto" w:fill="auto"/>
              <w:kinsoku/>
              <w:wordWrap/>
              <w:overflowPunct/>
              <w:topLinePunct w:val="0"/>
              <w:autoSpaceDE/>
              <w:autoSpaceDN/>
              <w:bidi w:val="0"/>
              <w:adjustRightInd/>
              <w:snapToGrid/>
              <w:spacing w:before="0" w:after="0" w:line="320" w:lineRule="exact"/>
              <w:ind w:left="0" w:right="0" w:firstLine="0"/>
              <w:jc w:val="left"/>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w w:val="100"/>
                <w:position w:val="0"/>
                <w:sz w:val="21"/>
                <w:szCs w:val="21"/>
                <w:highlight w:val="none"/>
                <w:shd w:val="clear" w:color="auto" w:fill="auto"/>
                <w14:textFill>
                  <w14:solidFill>
                    <w14:schemeClr w14:val="tx1"/>
                  </w14:solidFill>
                </w14:textFill>
              </w:rPr>
              <w:t>「盐、酱、醋、味精、糖、辣椒酱、腐乳、豆鼓、榄槛菜、鸡粉、番茄酱、炼奶、南乳、枧水、泰汁等。</w:t>
            </w:r>
          </w:p>
        </w:tc>
      </w:tr>
    </w:tbl>
    <w:p w14:paraId="67516B07">
      <w:pPr>
        <w:spacing w:line="240" w:lineRule="auto"/>
        <w:jc w:val="left"/>
        <w:rPr>
          <w:rFonts w:hint="eastAsia" w:ascii="宋体" w:hAnsi="宋体" w:cs="宋体"/>
          <w:b/>
          <w:bCs/>
          <w:color w:val="000000" w:themeColor="text1"/>
          <w:highlight w:val="none"/>
          <w14:textFill>
            <w14:solidFill>
              <w14:schemeClr w14:val="tx1"/>
            </w14:solidFill>
          </w14:textFill>
        </w:rPr>
      </w:pPr>
    </w:p>
    <w:p w14:paraId="625D2586">
      <w:pPr>
        <w:spacing w:line="240" w:lineRule="auto"/>
        <w:jc w:val="left"/>
        <w:rPr>
          <w:rFonts w:hint="eastAsia" w:ascii="宋体" w:hAnsi="宋体" w:cs="宋体"/>
          <w:b/>
          <w:bCs/>
          <w:color w:val="000000" w:themeColor="text1"/>
          <w:highlight w:val="none"/>
          <w14:textFill>
            <w14:solidFill>
              <w14:schemeClr w14:val="tx1"/>
            </w14:solidFill>
          </w14:textFill>
        </w:rPr>
      </w:pPr>
    </w:p>
    <w:p w14:paraId="0903AC84">
      <w:pPr>
        <w:rPr>
          <w:rFonts w:hint="eastAsia"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br w:type="page"/>
      </w:r>
    </w:p>
    <w:p w14:paraId="385D9E51">
      <w:pPr>
        <w:spacing w:line="240" w:lineRule="auto"/>
        <w:jc w:val="left"/>
        <w:rPr>
          <w:rFonts w:hint="eastAsia"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 xml:space="preserve">附件                            </w:t>
      </w:r>
    </w:p>
    <w:p w14:paraId="7C081B99">
      <w:pPr>
        <w:spacing w:line="240" w:lineRule="auto"/>
        <w:jc w:val="center"/>
        <w:rPr>
          <w:rFonts w:hint="eastAsia"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配送服务质量考核评价办法</w:t>
      </w:r>
    </w:p>
    <w:p w14:paraId="39C86C0E">
      <w:pPr>
        <w:spacing w:line="240" w:lineRule="auto"/>
        <w:rPr>
          <w:rFonts w:hint="eastAsia" w:ascii="宋体" w:hAnsi="宋体" w:cs="宋体"/>
          <w:color w:val="000000" w:themeColor="text1"/>
          <w:highlight w:val="none"/>
          <w14:textFill>
            <w14:solidFill>
              <w14:schemeClr w14:val="tx1"/>
            </w14:solidFill>
          </w14:textFill>
        </w:rPr>
      </w:pPr>
    </w:p>
    <w:p w14:paraId="482832EF">
      <w:pPr>
        <w:ind w:firstLine="420" w:firstLineChars="200"/>
        <w:rPr>
          <w:rFonts w:asci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lang w:val="en-US"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每月综合服务满意度满分为</w:t>
      </w:r>
      <w:r>
        <w:rPr>
          <w:rFonts w:ascii="宋体" w:hAnsi="宋体" w:cs="宋体"/>
          <w:color w:val="000000" w:themeColor="text1"/>
          <w:highlight w:val="none"/>
          <w14:textFill>
            <w14:solidFill>
              <w14:schemeClr w14:val="tx1"/>
            </w14:solidFill>
          </w14:textFill>
        </w:rPr>
        <w:t>100</w:t>
      </w:r>
      <w:r>
        <w:rPr>
          <w:rFonts w:hint="eastAsia" w:ascii="宋体" w:hAnsi="宋体" w:cs="宋体"/>
          <w:color w:val="000000" w:themeColor="text1"/>
          <w:highlight w:val="none"/>
          <w14:textFill>
            <w14:solidFill>
              <w14:schemeClr w14:val="tx1"/>
            </w14:solidFill>
          </w14:textFill>
        </w:rPr>
        <w:t>分，合格标准为</w:t>
      </w:r>
      <w:r>
        <w:rPr>
          <w:rFonts w:ascii="宋体" w:hAnsi="宋体" w:cs="宋体"/>
          <w:color w:val="000000" w:themeColor="text1"/>
          <w:highlight w:val="none"/>
          <w14:textFill>
            <w14:solidFill>
              <w14:schemeClr w14:val="tx1"/>
            </w14:solidFill>
          </w14:textFill>
        </w:rPr>
        <w:t>90</w:t>
      </w:r>
      <w:r>
        <w:rPr>
          <w:rFonts w:hint="eastAsia" w:ascii="宋体" w:hAnsi="宋体" w:cs="宋体"/>
          <w:color w:val="000000" w:themeColor="text1"/>
          <w:highlight w:val="none"/>
          <w14:textFill>
            <w14:solidFill>
              <w14:schemeClr w14:val="tx1"/>
            </w14:solidFill>
          </w14:textFill>
        </w:rPr>
        <w:t>分，满意度低于</w:t>
      </w:r>
      <w:r>
        <w:rPr>
          <w:rFonts w:ascii="宋体" w:hAnsi="宋体" w:cs="宋体"/>
          <w:color w:val="000000" w:themeColor="text1"/>
          <w:highlight w:val="none"/>
          <w14:textFill>
            <w14:solidFill>
              <w14:schemeClr w14:val="tx1"/>
            </w14:solidFill>
          </w14:textFill>
        </w:rPr>
        <w:t>90</w:t>
      </w:r>
      <w:r>
        <w:rPr>
          <w:rFonts w:hint="eastAsia" w:ascii="宋体" w:hAnsi="宋体" w:cs="宋体"/>
          <w:color w:val="000000" w:themeColor="text1"/>
          <w:highlight w:val="none"/>
          <w14:textFill>
            <w14:solidFill>
              <w14:schemeClr w14:val="tx1"/>
            </w14:solidFill>
          </w14:textFill>
        </w:rPr>
        <w:t>分的每下降</w:t>
      </w: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扣除当月结算金额的</w:t>
      </w: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。半年内累计出现低于合格满意度次数超过</w:t>
      </w:r>
      <w:r>
        <w:rPr>
          <w:rFonts w:ascii="宋体" w:hAnsi="宋体" w:cs="宋体"/>
          <w:color w:val="000000" w:themeColor="text1"/>
          <w:highlight w:val="none"/>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次的，采购人有权解除合同。</w:t>
      </w:r>
    </w:p>
    <w:p w14:paraId="06E45A4E">
      <w:pPr>
        <w:ind w:firstLine="420" w:firstLineChars="200"/>
        <w:rPr>
          <w:rFonts w:asci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2</w:t>
      </w:r>
      <w:r>
        <w:rPr>
          <w:rFonts w:hint="eastAsia" w:ascii="宋体" w:hAnsi="宋体" w:cs="宋体"/>
          <w:color w:val="000000" w:themeColor="text1"/>
          <w:highlight w:val="none"/>
          <w:lang w:val="en-US"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中标供应商需及时对采购人提出的存在问题作出响应并实施整改，次月未作出整改的，采购人将发出警告函</w:t>
      </w:r>
      <w:r>
        <w:rPr>
          <w:rFonts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次，连续因同一问题发出警告函</w:t>
      </w:r>
      <w:r>
        <w:rPr>
          <w:rFonts w:ascii="宋体" w:hAnsi="宋体" w:cs="宋体"/>
          <w:color w:val="000000" w:themeColor="text1"/>
          <w:highlight w:val="none"/>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次的，采购人有权终止其供货资格。</w:t>
      </w:r>
    </w:p>
    <w:tbl>
      <w:tblPr>
        <w:tblStyle w:val="16"/>
        <w:tblpPr w:leftFromText="180" w:rightFromText="180" w:vertAnchor="text" w:horzAnchor="page" w:tblpXSpec="center" w:tblpY="312"/>
        <w:tblOverlap w:val="never"/>
        <w:tblW w:w="9762" w:type="dxa"/>
        <w:jc w:val="center"/>
        <w:tblLayout w:type="autofit"/>
        <w:tblCellMar>
          <w:top w:w="0" w:type="dxa"/>
          <w:left w:w="10" w:type="dxa"/>
          <w:bottom w:w="0" w:type="dxa"/>
          <w:right w:w="10" w:type="dxa"/>
        </w:tblCellMar>
      </w:tblPr>
      <w:tblGrid>
        <w:gridCol w:w="558"/>
        <w:gridCol w:w="540"/>
        <w:gridCol w:w="5430"/>
        <w:gridCol w:w="591"/>
        <w:gridCol w:w="2643"/>
      </w:tblGrid>
      <w:tr w14:paraId="1C86944B">
        <w:tblPrEx>
          <w:tblCellMar>
            <w:top w:w="0" w:type="dxa"/>
            <w:left w:w="10" w:type="dxa"/>
            <w:bottom w:w="0" w:type="dxa"/>
            <w:right w:w="10" w:type="dxa"/>
          </w:tblCellMar>
        </w:tblPrEx>
        <w:trPr>
          <w:trHeight w:val="487" w:hRule="atLeast"/>
          <w:jc w:val="center"/>
        </w:trPr>
        <w:tc>
          <w:tcPr>
            <w:tcW w:w="9762" w:type="dxa"/>
            <w:gridSpan w:val="5"/>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3C38BF47">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考核细则</w:t>
            </w:r>
          </w:p>
        </w:tc>
      </w:tr>
      <w:tr w14:paraId="4F67B092">
        <w:tblPrEx>
          <w:tblCellMar>
            <w:top w:w="0" w:type="dxa"/>
            <w:left w:w="10" w:type="dxa"/>
            <w:bottom w:w="0" w:type="dxa"/>
            <w:right w:w="10" w:type="dxa"/>
          </w:tblCellMar>
        </w:tblPrEx>
        <w:trPr>
          <w:trHeight w:val="455" w:hRule="atLeast"/>
          <w:jc w:val="center"/>
        </w:trPr>
        <w:tc>
          <w:tcPr>
            <w:tcW w:w="558"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0A690AC1">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项目</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35E85564">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序号</w:t>
            </w:r>
          </w:p>
        </w:tc>
        <w:tc>
          <w:tcPr>
            <w:tcW w:w="543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6019D8E6">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评分细则</w:t>
            </w:r>
          </w:p>
        </w:tc>
        <w:tc>
          <w:tcPr>
            <w:tcW w:w="591"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522E4440">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扣分</w:t>
            </w:r>
          </w:p>
        </w:tc>
        <w:tc>
          <w:tcPr>
            <w:tcW w:w="2643"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36B2B182">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备注</w:t>
            </w:r>
          </w:p>
        </w:tc>
      </w:tr>
      <w:tr w14:paraId="2D721409">
        <w:tblPrEx>
          <w:tblCellMar>
            <w:top w:w="0" w:type="dxa"/>
            <w:left w:w="10" w:type="dxa"/>
            <w:bottom w:w="0" w:type="dxa"/>
            <w:right w:w="10" w:type="dxa"/>
          </w:tblCellMar>
        </w:tblPrEx>
        <w:trPr>
          <w:trHeight w:val="524" w:hRule="atLeast"/>
          <w:jc w:val="center"/>
        </w:trPr>
        <w:tc>
          <w:tcPr>
            <w:tcW w:w="558" w:type="dxa"/>
            <w:vMerge w:val="restart"/>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72B87655">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配送要求</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293D27B7">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w:t>
            </w:r>
          </w:p>
        </w:tc>
        <w:tc>
          <w:tcPr>
            <w:tcW w:w="543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7814A2EF">
            <w:pPr>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配送车辆、实际运输不符合招标文件及合同约定的，每次扣2分</w:t>
            </w:r>
          </w:p>
        </w:tc>
        <w:tc>
          <w:tcPr>
            <w:tcW w:w="591"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4A40B858">
            <w:pPr>
              <w:jc w:val="center"/>
              <w:rPr>
                <w:rFonts w:hint="eastAsia" w:ascii="宋体" w:hAnsi="宋体" w:eastAsia="宋体" w:cs="宋体"/>
                <w:color w:val="000000" w:themeColor="text1"/>
                <w:highlight w:val="none"/>
                <w14:textFill>
                  <w14:solidFill>
                    <w14:schemeClr w14:val="tx1"/>
                  </w14:solidFill>
                </w14:textFill>
              </w:rPr>
            </w:pPr>
          </w:p>
        </w:tc>
        <w:tc>
          <w:tcPr>
            <w:tcW w:w="2643"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142D6DF8">
            <w:pPr>
              <w:jc w:val="center"/>
              <w:rPr>
                <w:rFonts w:hint="eastAsia" w:ascii="宋体" w:hAnsi="宋体" w:eastAsia="宋体" w:cs="宋体"/>
                <w:color w:val="000000" w:themeColor="text1"/>
                <w:highlight w:val="none"/>
                <w14:textFill>
                  <w14:solidFill>
                    <w14:schemeClr w14:val="tx1"/>
                  </w14:solidFill>
                </w14:textFill>
              </w:rPr>
            </w:pPr>
          </w:p>
        </w:tc>
      </w:tr>
      <w:tr w14:paraId="67715F0C">
        <w:tblPrEx>
          <w:tblCellMar>
            <w:top w:w="0" w:type="dxa"/>
            <w:left w:w="10" w:type="dxa"/>
            <w:bottom w:w="0" w:type="dxa"/>
            <w:right w:w="10" w:type="dxa"/>
          </w:tblCellMar>
        </w:tblPrEx>
        <w:trPr>
          <w:trHeight w:val="614" w:hRule="atLeast"/>
          <w:jc w:val="center"/>
        </w:trPr>
        <w:tc>
          <w:tcPr>
            <w:tcW w:w="558" w:type="dxa"/>
            <w:vMerge w:val="continue"/>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3AF1E143">
            <w:pPr>
              <w:jc w:val="center"/>
              <w:rPr>
                <w:rFonts w:hint="eastAsia" w:ascii="宋体" w:hAnsi="宋体" w:eastAsia="宋体" w:cs="宋体"/>
                <w:color w:val="000000" w:themeColor="text1"/>
                <w:highlight w:val="none"/>
                <w14:textFill>
                  <w14:solidFill>
                    <w14:schemeClr w14:val="tx1"/>
                  </w14:solidFill>
                </w14:textFill>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512F2DD8">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p>
        </w:tc>
        <w:tc>
          <w:tcPr>
            <w:tcW w:w="543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7CAD9E39">
            <w:pPr>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在协议供货期，未在规定时间内（迟到超过半小时）完成配送、供货，每次扣3分</w:t>
            </w:r>
          </w:p>
        </w:tc>
        <w:tc>
          <w:tcPr>
            <w:tcW w:w="591"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118D0FB7">
            <w:pPr>
              <w:jc w:val="center"/>
              <w:rPr>
                <w:rFonts w:hint="eastAsia" w:ascii="宋体" w:hAnsi="宋体" w:eastAsia="宋体" w:cs="宋体"/>
                <w:color w:val="000000" w:themeColor="text1"/>
                <w:highlight w:val="none"/>
                <w14:textFill>
                  <w14:solidFill>
                    <w14:schemeClr w14:val="tx1"/>
                  </w14:solidFill>
                </w14:textFill>
              </w:rPr>
            </w:pPr>
          </w:p>
        </w:tc>
        <w:tc>
          <w:tcPr>
            <w:tcW w:w="2643"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667205FD">
            <w:pPr>
              <w:jc w:val="center"/>
              <w:rPr>
                <w:rFonts w:hint="eastAsia" w:ascii="宋体" w:hAnsi="宋体" w:eastAsia="宋体" w:cs="宋体"/>
                <w:color w:val="000000" w:themeColor="text1"/>
                <w:highlight w:val="none"/>
                <w14:textFill>
                  <w14:solidFill>
                    <w14:schemeClr w14:val="tx1"/>
                  </w14:solidFill>
                </w14:textFill>
              </w:rPr>
            </w:pPr>
          </w:p>
        </w:tc>
      </w:tr>
      <w:tr w14:paraId="0AA85EBC">
        <w:tblPrEx>
          <w:tblCellMar>
            <w:top w:w="0" w:type="dxa"/>
            <w:left w:w="10" w:type="dxa"/>
            <w:bottom w:w="0" w:type="dxa"/>
            <w:right w:w="10" w:type="dxa"/>
          </w:tblCellMar>
        </w:tblPrEx>
        <w:trPr>
          <w:trHeight w:val="569" w:hRule="atLeast"/>
          <w:jc w:val="center"/>
        </w:trPr>
        <w:tc>
          <w:tcPr>
            <w:tcW w:w="558" w:type="dxa"/>
            <w:vMerge w:val="continue"/>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6E923178">
            <w:pPr>
              <w:jc w:val="center"/>
              <w:rPr>
                <w:rFonts w:hint="eastAsia" w:ascii="宋体" w:hAnsi="宋体" w:eastAsia="宋体" w:cs="宋体"/>
                <w:color w:val="000000" w:themeColor="text1"/>
                <w:highlight w:val="none"/>
                <w14:textFill>
                  <w14:solidFill>
                    <w14:schemeClr w14:val="tx1"/>
                  </w14:solidFill>
                </w14:textFill>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3BDE7B24">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w:t>
            </w:r>
          </w:p>
        </w:tc>
        <w:tc>
          <w:tcPr>
            <w:tcW w:w="543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26AF287A">
            <w:pPr>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实际配送货物少于订购数量且不能及时补充的，每次扣5分</w:t>
            </w:r>
          </w:p>
        </w:tc>
        <w:tc>
          <w:tcPr>
            <w:tcW w:w="591"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56C92368">
            <w:pPr>
              <w:jc w:val="center"/>
              <w:rPr>
                <w:rFonts w:hint="eastAsia" w:ascii="宋体" w:hAnsi="宋体" w:eastAsia="宋体" w:cs="宋体"/>
                <w:color w:val="000000" w:themeColor="text1"/>
                <w:highlight w:val="none"/>
                <w14:textFill>
                  <w14:solidFill>
                    <w14:schemeClr w14:val="tx1"/>
                  </w14:solidFill>
                </w14:textFill>
              </w:rPr>
            </w:pPr>
          </w:p>
        </w:tc>
        <w:tc>
          <w:tcPr>
            <w:tcW w:w="2643"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6B18727A">
            <w:pPr>
              <w:jc w:val="center"/>
              <w:rPr>
                <w:rFonts w:hint="eastAsia" w:ascii="宋体" w:hAnsi="宋体" w:eastAsia="宋体" w:cs="宋体"/>
                <w:color w:val="000000" w:themeColor="text1"/>
                <w:highlight w:val="none"/>
                <w14:textFill>
                  <w14:solidFill>
                    <w14:schemeClr w14:val="tx1"/>
                  </w14:solidFill>
                </w14:textFill>
              </w:rPr>
            </w:pPr>
          </w:p>
        </w:tc>
      </w:tr>
      <w:tr w14:paraId="0AC0EE29">
        <w:tblPrEx>
          <w:tblCellMar>
            <w:top w:w="0" w:type="dxa"/>
            <w:left w:w="10" w:type="dxa"/>
            <w:bottom w:w="0" w:type="dxa"/>
            <w:right w:w="10" w:type="dxa"/>
          </w:tblCellMar>
        </w:tblPrEx>
        <w:trPr>
          <w:trHeight w:val="590" w:hRule="atLeast"/>
          <w:jc w:val="center"/>
        </w:trPr>
        <w:tc>
          <w:tcPr>
            <w:tcW w:w="558" w:type="dxa"/>
            <w:vMerge w:val="continue"/>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745279CD">
            <w:pPr>
              <w:jc w:val="center"/>
              <w:rPr>
                <w:rFonts w:hint="eastAsia" w:ascii="宋体" w:hAnsi="宋体" w:eastAsia="宋体" w:cs="宋体"/>
                <w:color w:val="000000" w:themeColor="text1"/>
                <w:highlight w:val="none"/>
                <w14:textFill>
                  <w14:solidFill>
                    <w14:schemeClr w14:val="tx1"/>
                  </w14:solidFill>
                </w14:textFill>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458A8838">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w:t>
            </w:r>
          </w:p>
        </w:tc>
        <w:tc>
          <w:tcPr>
            <w:tcW w:w="543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65D84C36">
            <w:pPr>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实际配送的货物与订购货物种类、质量不符，每次扣5分；未能及时更换的，采购人有权拒收，并每次加扣5分</w:t>
            </w:r>
          </w:p>
        </w:tc>
        <w:tc>
          <w:tcPr>
            <w:tcW w:w="591"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03E2B89D">
            <w:pPr>
              <w:jc w:val="center"/>
              <w:rPr>
                <w:rFonts w:hint="eastAsia" w:ascii="宋体" w:hAnsi="宋体" w:eastAsia="宋体" w:cs="宋体"/>
                <w:color w:val="000000" w:themeColor="text1"/>
                <w:highlight w:val="none"/>
                <w14:textFill>
                  <w14:solidFill>
                    <w14:schemeClr w14:val="tx1"/>
                  </w14:solidFill>
                </w14:textFill>
              </w:rPr>
            </w:pPr>
          </w:p>
        </w:tc>
        <w:tc>
          <w:tcPr>
            <w:tcW w:w="2643"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6B4C5684">
            <w:pPr>
              <w:jc w:val="center"/>
              <w:rPr>
                <w:rFonts w:hint="eastAsia" w:ascii="宋体" w:hAnsi="宋体" w:eastAsia="宋体" w:cs="宋体"/>
                <w:color w:val="000000" w:themeColor="text1"/>
                <w:highlight w:val="none"/>
                <w14:textFill>
                  <w14:solidFill>
                    <w14:schemeClr w14:val="tx1"/>
                  </w14:solidFill>
                </w14:textFill>
              </w:rPr>
            </w:pPr>
          </w:p>
        </w:tc>
      </w:tr>
      <w:tr w14:paraId="09B90750">
        <w:tblPrEx>
          <w:tblCellMar>
            <w:top w:w="0" w:type="dxa"/>
            <w:left w:w="10" w:type="dxa"/>
            <w:bottom w:w="0" w:type="dxa"/>
            <w:right w:w="10" w:type="dxa"/>
          </w:tblCellMar>
        </w:tblPrEx>
        <w:trPr>
          <w:trHeight w:val="375" w:hRule="atLeast"/>
          <w:jc w:val="center"/>
        </w:trPr>
        <w:tc>
          <w:tcPr>
            <w:tcW w:w="558" w:type="dxa"/>
            <w:vMerge w:val="continue"/>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218D6BA1">
            <w:pPr>
              <w:jc w:val="center"/>
              <w:rPr>
                <w:rFonts w:hint="eastAsia" w:ascii="宋体" w:hAnsi="宋体" w:eastAsia="宋体" w:cs="宋体"/>
                <w:color w:val="000000" w:themeColor="text1"/>
                <w:highlight w:val="none"/>
                <w14:textFill>
                  <w14:solidFill>
                    <w14:schemeClr w14:val="tx1"/>
                  </w14:solidFill>
                </w14:textFill>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50FD044A">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w:t>
            </w:r>
          </w:p>
        </w:tc>
        <w:tc>
          <w:tcPr>
            <w:tcW w:w="543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1E4A95C4">
            <w:pPr>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相应批次的货物未能提供相关合格检验证明的，每次扣8分</w:t>
            </w:r>
          </w:p>
        </w:tc>
        <w:tc>
          <w:tcPr>
            <w:tcW w:w="591"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75EE73D1">
            <w:pPr>
              <w:jc w:val="center"/>
              <w:rPr>
                <w:rFonts w:hint="eastAsia" w:ascii="宋体" w:hAnsi="宋体" w:eastAsia="宋体" w:cs="宋体"/>
                <w:color w:val="000000" w:themeColor="text1"/>
                <w:highlight w:val="none"/>
                <w14:textFill>
                  <w14:solidFill>
                    <w14:schemeClr w14:val="tx1"/>
                  </w14:solidFill>
                </w14:textFill>
              </w:rPr>
            </w:pPr>
          </w:p>
        </w:tc>
        <w:tc>
          <w:tcPr>
            <w:tcW w:w="2643"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7BB24921">
            <w:pPr>
              <w:jc w:val="center"/>
              <w:rPr>
                <w:rFonts w:hint="eastAsia" w:ascii="宋体" w:hAnsi="宋体" w:eastAsia="宋体" w:cs="宋体"/>
                <w:color w:val="000000" w:themeColor="text1"/>
                <w:highlight w:val="none"/>
                <w14:textFill>
                  <w14:solidFill>
                    <w14:schemeClr w14:val="tx1"/>
                  </w14:solidFill>
                </w14:textFill>
              </w:rPr>
            </w:pPr>
          </w:p>
        </w:tc>
      </w:tr>
      <w:tr w14:paraId="1DE86E44">
        <w:tblPrEx>
          <w:tblCellMar>
            <w:top w:w="0" w:type="dxa"/>
            <w:left w:w="10" w:type="dxa"/>
            <w:bottom w:w="0" w:type="dxa"/>
            <w:right w:w="10" w:type="dxa"/>
          </w:tblCellMar>
        </w:tblPrEx>
        <w:trPr>
          <w:trHeight w:val="1447" w:hRule="atLeast"/>
          <w:jc w:val="center"/>
        </w:trPr>
        <w:tc>
          <w:tcPr>
            <w:tcW w:w="558" w:type="dxa"/>
            <w:vMerge w:val="restart"/>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460E6F48">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质量要求</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4F2CB55E">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6</w:t>
            </w:r>
          </w:p>
        </w:tc>
        <w:tc>
          <w:tcPr>
            <w:tcW w:w="543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74BD7C59">
            <w:pPr>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食品卫生不符合要求造成食物中毒的，每次扣25分</w:t>
            </w:r>
          </w:p>
        </w:tc>
        <w:tc>
          <w:tcPr>
            <w:tcW w:w="591"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1EE3A2AA">
            <w:pPr>
              <w:jc w:val="center"/>
              <w:rPr>
                <w:rFonts w:hint="eastAsia" w:ascii="宋体" w:hAnsi="宋体" w:eastAsia="宋体" w:cs="宋体"/>
                <w:color w:val="000000" w:themeColor="text1"/>
                <w:highlight w:val="none"/>
                <w14:textFill>
                  <w14:solidFill>
                    <w14:schemeClr w14:val="tx1"/>
                  </w14:solidFill>
                </w14:textFill>
              </w:rPr>
            </w:pPr>
          </w:p>
        </w:tc>
        <w:tc>
          <w:tcPr>
            <w:tcW w:w="2643"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03D43648">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中标供应商应承担由此造成的全部法律责任及经济损失赔偿（主要包括但不限于食物中毒人员医疗费、误工费、事故处理费等）</w:t>
            </w:r>
          </w:p>
        </w:tc>
      </w:tr>
      <w:tr w14:paraId="5BDDF29A">
        <w:tblPrEx>
          <w:tblCellMar>
            <w:top w:w="0" w:type="dxa"/>
            <w:left w:w="10" w:type="dxa"/>
            <w:bottom w:w="0" w:type="dxa"/>
            <w:right w:w="10" w:type="dxa"/>
          </w:tblCellMar>
        </w:tblPrEx>
        <w:trPr>
          <w:trHeight w:val="665" w:hRule="atLeast"/>
          <w:jc w:val="center"/>
        </w:trPr>
        <w:tc>
          <w:tcPr>
            <w:tcW w:w="558" w:type="dxa"/>
            <w:vMerge w:val="continue"/>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3C277826">
            <w:pPr>
              <w:jc w:val="center"/>
              <w:rPr>
                <w:rFonts w:hint="eastAsia" w:ascii="宋体" w:hAnsi="宋体" w:eastAsia="宋体" w:cs="宋体"/>
                <w:color w:val="000000" w:themeColor="text1"/>
                <w:highlight w:val="none"/>
                <w14:textFill>
                  <w14:solidFill>
                    <w14:schemeClr w14:val="tx1"/>
                  </w14:solidFill>
                </w14:textFill>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508BB63C">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7</w:t>
            </w:r>
          </w:p>
        </w:tc>
        <w:tc>
          <w:tcPr>
            <w:tcW w:w="543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62D3C7F6">
            <w:pPr>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滥用或过量使用食品添加剂、发现使用劣质原料、抗生素、激素等有害物质，每次扣5分</w:t>
            </w:r>
          </w:p>
        </w:tc>
        <w:tc>
          <w:tcPr>
            <w:tcW w:w="591"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769BB80B">
            <w:pPr>
              <w:jc w:val="center"/>
              <w:rPr>
                <w:rFonts w:hint="eastAsia" w:ascii="宋体" w:hAnsi="宋体" w:eastAsia="宋体" w:cs="宋体"/>
                <w:color w:val="000000" w:themeColor="text1"/>
                <w:highlight w:val="none"/>
                <w14:textFill>
                  <w14:solidFill>
                    <w14:schemeClr w14:val="tx1"/>
                  </w14:solidFill>
                </w14:textFill>
              </w:rPr>
            </w:pPr>
          </w:p>
        </w:tc>
        <w:tc>
          <w:tcPr>
            <w:tcW w:w="2643"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2F1056FD">
            <w:pPr>
              <w:jc w:val="center"/>
              <w:rPr>
                <w:rFonts w:hint="eastAsia" w:ascii="宋体" w:hAnsi="宋体" w:eastAsia="宋体" w:cs="宋体"/>
                <w:color w:val="000000" w:themeColor="text1"/>
                <w:highlight w:val="none"/>
                <w14:textFill>
                  <w14:solidFill>
                    <w14:schemeClr w14:val="tx1"/>
                  </w14:solidFill>
                </w14:textFill>
              </w:rPr>
            </w:pPr>
          </w:p>
        </w:tc>
      </w:tr>
      <w:tr w14:paraId="31A8F360">
        <w:tblPrEx>
          <w:tblCellMar>
            <w:top w:w="0" w:type="dxa"/>
            <w:left w:w="10" w:type="dxa"/>
            <w:bottom w:w="0" w:type="dxa"/>
            <w:right w:w="10" w:type="dxa"/>
          </w:tblCellMar>
        </w:tblPrEx>
        <w:trPr>
          <w:trHeight w:val="345" w:hRule="atLeast"/>
          <w:jc w:val="center"/>
        </w:trPr>
        <w:tc>
          <w:tcPr>
            <w:tcW w:w="558" w:type="dxa"/>
            <w:vMerge w:val="continue"/>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4F1AEA5E">
            <w:pPr>
              <w:jc w:val="center"/>
              <w:rPr>
                <w:rFonts w:hint="eastAsia" w:ascii="宋体" w:hAnsi="宋体" w:eastAsia="宋体" w:cs="宋体"/>
                <w:color w:val="000000" w:themeColor="text1"/>
                <w:highlight w:val="none"/>
                <w14:textFill>
                  <w14:solidFill>
                    <w14:schemeClr w14:val="tx1"/>
                  </w14:solidFill>
                </w14:textFill>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6E30BA4B">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8</w:t>
            </w:r>
          </w:p>
        </w:tc>
        <w:tc>
          <w:tcPr>
            <w:tcW w:w="543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706449C6">
            <w:pPr>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货物品质与招标文件不符，并未能及时补充的，每次扣5分</w:t>
            </w:r>
          </w:p>
        </w:tc>
        <w:tc>
          <w:tcPr>
            <w:tcW w:w="591"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08F09AE2">
            <w:pPr>
              <w:jc w:val="center"/>
              <w:rPr>
                <w:rFonts w:hint="eastAsia" w:ascii="宋体" w:hAnsi="宋体" w:eastAsia="宋体" w:cs="宋体"/>
                <w:color w:val="000000" w:themeColor="text1"/>
                <w:highlight w:val="none"/>
                <w14:textFill>
                  <w14:solidFill>
                    <w14:schemeClr w14:val="tx1"/>
                  </w14:solidFill>
                </w14:textFill>
              </w:rPr>
            </w:pPr>
          </w:p>
        </w:tc>
        <w:tc>
          <w:tcPr>
            <w:tcW w:w="2643"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2B5E0370">
            <w:pPr>
              <w:jc w:val="center"/>
              <w:rPr>
                <w:rFonts w:hint="eastAsia" w:ascii="宋体" w:hAnsi="宋体" w:eastAsia="宋体" w:cs="宋体"/>
                <w:color w:val="000000" w:themeColor="text1"/>
                <w:highlight w:val="none"/>
                <w14:textFill>
                  <w14:solidFill>
                    <w14:schemeClr w14:val="tx1"/>
                  </w14:solidFill>
                </w14:textFill>
              </w:rPr>
            </w:pPr>
          </w:p>
        </w:tc>
      </w:tr>
      <w:tr w14:paraId="2A16C407">
        <w:tblPrEx>
          <w:tblCellMar>
            <w:top w:w="0" w:type="dxa"/>
            <w:left w:w="10" w:type="dxa"/>
            <w:bottom w:w="0" w:type="dxa"/>
            <w:right w:w="10" w:type="dxa"/>
          </w:tblCellMar>
        </w:tblPrEx>
        <w:trPr>
          <w:trHeight w:val="575" w:hRule="atLeast"/>
          <w:jc w:val="center"/>
        </w:trPr>
        <w:tc>
          <w:tcPr>
            <w:tcW w:w="558" w:type="dxa"/>
            <w:vMerge w:val="restart"/>
            <w:tcBorders>
              <w:top w:val="single" w:color="000000" w:sz="4" w:space="0"/>
              <w:left w:val="single" w:color="000000" w:sz="4" w:space="0"/>
              <w:bottom w:val="single" w:color="000000" w:sz="6" w:space="0"/>
              <w:right w:val="single" w:color="000000" w:sz="4" w:space="0"/>
            </w:tcBorders>
            <w:shd w:val="clear" w:color="auto" w:fill="auto"/>
            <w:noWrap w:val="0"/>
            <w:tcMar>
              <w:left w:w="10" w:type="dxa"/>
              <w:right w:w="10" w:type="dxa"/>
            </w:tcMar>
            <w:vAlign w:val="center"/>
          </w:tcPr>
          <w:p w14:paraId="64B0E3CC">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安全生产管理要求</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6B74EE7C">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9</w:t>
            </w:r>
          </w:p>
        </w:tc>
        <w:tc>
          <w:tcPr>
            <w:tcW w:w="543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1C5FEFD9">
            <w:pPr>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没有建立、健全本单位安全生产责任制，制定安全生产规章制度和操作规程，或违反制度操作的，每次扣2分</w:t>
            </w:r>
          </w:p>
        </w:tc>
        <w:tc>
          <w:tcPr>
            <w:tcW w:w="591"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2AECFBBE">
            <w:pPr>
              <w:jc w:val="center"/>
              <w:rPr>
                <w:rFonts w:hint="eastAsia" w:ascii="宋体" w:hAnsi="宋体" w:eastAsia="宋体" w:cs="宋体"/>
                <w:color w:val="000000" w:themeColor="text1"/>
                <w:highlight w:val="none"/>
                <w14:textFill>
                  <w14:solidFill>
                    <w14:schemeClr w14:val="tx1"/>
                  </w14:solidFill>
                </w14:textFill>
              </w:rPr>
            </w:pPr>
          </w:p>
        </w:tc>
        <w:tc>
          <w:tcPr>
            <w:tcW w:w="2643"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6595EE4C">
            <w:pPr>
              <w:jc w:val="center"/>
              <w:rPr>
                <w:rFonts w:hint="eastAsia" w:ascii="宋体" w:hAnsi="宋体" w:eastAsia="宋体" w:cs="宋体"/>
                <w:color w:val="000000" w:themeColor="text1"/>
                <w:highlight w:val="none"/>
                <w14:textFill>
                  <w14:solidFill>
                    <w14:schemeClr w14:val="tx1"/>
                  </w14:solidFill>
                </w14:textFill>
              </w:rPr>
            </w:pPr>
          </w:p>
        </w:tc>
      </w:tr>
      <w:tr w14:paraId="65A31DE1">
        <w:tblPrEx>
          <w:tblCellMar>
            <w:top w:w="0" w:type="dxa"/>
            <w:left w:w="10" w:type="dxa"/>
            <w:bottom w:w="0" w:type="dxa"/>
            <w:right w:w="10" w:type="dxa"/>
          </w:tblCellMar>
        </w:tblPrEx>
        <w:trPr>
          <w:trHeight w:val="310" w:hRule="atLeast"/>
          <w:jc w:val="center"/>
        </w:trPr>
        <w:tc>
          <w:tcPr>
            <w:tcW w:w="558" w:type="dxa"/>
            <w:vMerge w:val="continue"/>
            <w:tcBorders>
              <w:top w:val="single" w:color="000000" w:sz="6" w:space="0"/>
              <w:left w:val="single" w:color="000000" w:sz="4" w:space="0"/>
              <w:bottom w:val="single" w:color="000000" w:sz="6" w:space="0"/>
              <w:right w:val="single" w:color="000000" w:sz="4" w:space="0"/>
            </w:tcBorders>
            <w:shd w:val="clear" w:color="auto" w:fill="auto"/>
            <w:noWrap w:val="0"/>
            <w:tcMar>
              <w:left w:w="10" w:type="dxa"/>
              <w:right w:w="10" w:type="dxa"/>
            </w:tcMar>
            <w:vAlign w:val="center"/>
          </w:tcPr>
          <w:p w14:paraId="516FD89B">
            <w:pPr>
              <w:jc w:val="center"/>
              <w:rPr>
                <w:rFonts w:hint="eastAsia" w:ascii="宋体" w:hAnsi="宋体" w:eastAsia="宋体" w:cs="宋体"/>
                <w:color w:val="000000" w:themeColor="text1"/>
                <w:highlight w:val="none"/>
                <w14:textFill>
                  <w14:solidFill>
                    <w14:schemeClr w14:val="tx1"/>
                  </w14:solidFill>
                </w14:textFill>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3A9B7604">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10</w:t>
            </w:r>
          </w:p>
        </w:tc>
        <w:tc>
          <w:tcPr>
            <w:tcW w:w="543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615F05A9">
            <w:pPr>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没有相关应急预案的，每次扣5分</w:t>
            </w:r>
          </w:p>
        </w:tc>
        <w:tc>
          <w:tcPr>
            <w:tcW w:w="591"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05DE7B1B">
            <w:pPr>
              <w:jc w:val="center"/>
              <w:rPr>
                <w:rFonts w:hint="eastAsia" w:ascii="宋体" w:hAnsi="宋体" w:eastAsia="宋体" w:cs="宋体"/>
                <w:color w:val="000000" w:themeColor="text1"/>
                <w:highlight w:val="none"/>
                <w14:textFill>
                  <w14:solidFill>
                    <w14:schemeClr w14:val="tx1"/>
                  </w14:solidFill>
                </w14:textFill>
              </w:rPr>
            </w:pPr>
          </w:p>
        </w:tc>
        <w:tc>
          <w:tcPr>
            <w:tcW w:w="2643"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6B896229">
            <w:pPr>
              <w:jc w:val="center"/>
              <w:rPr>
                <w:rFonts w:hint="eastAsia" w:ascii="宋体" w:hAnsi="宋体" w:eastAsia="宋体" w:cs="宋体"/>
                <w:color w:val="000000" w:themeColor="text1"/>
                <w:highlight w:val="none"/>
                <w14:textFill>
                  <w14:solidFill>
                    <w14:schemeClr w14:val="tx1"/>
                  </w14:solidFill>
                </w14:textFill>
              </w:rPr>
            </w:pPr>
          </w:p>
        </w:tc>
      </w:tr>
      <w:tr w14:paraId="7D17158E">
        <w:tblPrEx>
          <w:tblCellMar>
            <w:top w:w="0" w:type="dxa"/>
            <w:left w:w="10" w:type="dxa"/>
            <w:bottom w:w="0" w:type="dxa"/>
            <w:right w:w="10" w:type="dxa"/>
          </w:tblCellMar>
        </w:tblPrEx>
        <w:trPr>
          <w:trHeight w:val="380" w:hRule="atLeast"/>
          <w:jc w:val="center"/>
        </w:trPr>
        <w:tc>
          <w:tcPr>
            <w:tcW w:w="558" w:type="dxa"/>
            <w:vMerge w:val="continue"/>
            <w:tcBorders>
              <w:top w:val="single" w:color="000000" w:sz="6" w:space="0"/>
              <w:left w:val="single" w:color="000000" w:sz="4" w:space="0"/>
              <w:bottom w:val="single" w:color="000000" w:sz="6" w:space="0"/>
              <w:right w:val="single" w:color="000000" w:sz="4" w:space="0"/>
            </w:tcBorders>
            <w:shd w:val="clear" w:color="auto" w:fill="auto"/>
            <w:noWrap w:val="0"/>
            <w:tcMar>
              <w:left w:w="10" w:type="dxa"/>
              <w:right w:w="10" w:type="dxa"/>
            </w:tcMar>
            <w:vAlign w:val="center"/>
          </w:tcPr>
          <w:p w14:paraId="1DE84340">
            <w:pPr>
              <w:jc w:val="center"/>
              <w:rPr>
                <w:rFonts w:hint="eastAsia" w:ascii="宋体" w:hAnsi="宋体" w:eastAsia="宋体" w:cs="宋体"/>
                <w:color w:val="000000" w:themeColor="text1"/>
                <w:highlight w:val="none"/>
                <w14:textFill>
                  <w14:solidFill>
                    <w14:schemeClr w14:val="tx1"/>
                  </w14:solidFill>
                </w14:textFill>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7D55D739">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11</w:t>
            </w:r>
          </w:p>
        </w:tc>
        <w:tc>
          <w:tcPr>
            <w:tcW w:w="543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16281F2C">
            <w:pPr>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造成重大事故或有重大事故不配合处理的，每宗扣10分</w:t>
            </w:r>
          </w:p>
        </w:tc>
        <w:tc>
          <w:tcPr>
            <w:tcW w:w="591"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7BACF9E1">
            <w:pPr>
              <w:jc w:val="center"/>
              <w:rPr>
                <w:rFonts w:hint="eastAsia" w:ascii="宋体" w:hAnsi="宋体" w:eastAsia="宋体" w:cs="宋体"/>
                <w:color w:val="000000" w:themeColor="text1"/>
                <w:highlight w:val="none"/>
                <w14:textFill>
                  <w14:solidFill>
                    <w14:schemeClr w14:val="tx1"/>
                  </w14:solidFill>
                </w14:textFill>
              </w:rPr>
            </w:pPr>
          </w:p>
        </w:tc>
        <w:tc>
          <w:tcPr>
            <w:tcW w:w="2643"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42668E87">
            <w:pPr>
              <w:jc w:val="center"/>
              <w:rPr>
                <w:rFonts w:hint="eastAsia" w:ascii="宋体" w:hAnsi="宋体" w:eastAsia="宋体" w:cs="宋体"/>
                <w:color w:val="000000" w:themeColor="text1"/>
                <w:highlight w:val="none"/>
                <w14:textFill>
                  <w14:solidFill>
                    <w14:schemeClr w14:val="tx1"/>
                  </w14:solidFill>
                </w14:textFill>
              </w:rPr>
            </w:pPr>
          </w:p>
        </w:tc>
      </w:tr>
      <w:tr w14:paraId="50592097">
        <w:tblPrEx>
          <w:tblCellMar>
            <w:top w:w="0" w:type="dxa"/>
            <w:left w:w="10" w:type="dxa"/>
            <w:bottom w:w="0" w:type="dxa"/>
            <w:right w:w="10" w:type="dxa"/>
          </w:tblCellMar>
        </w:tblPrEx>
        <w:trPr>
          <w:trHeight w:val="315" w:hRule="atLeast"/>
          <w:jc w:val="center"/>
        </w:trPr>
        <w:tc>
          <w:tcPr>
            <w:tcW w:w="558" w:type="dxa"/>
            <w:vMerge w:val="continue"/>
            <w:tcBorders>
              <w:top w:val="single" w:color="000000" w:sz="6" w:space="0"/>
              <w:left w:val="single" w:color="000000" w:sz="4" w:space="0"/>
              <w:bottom w:val="single" w:color="000000" w:sz="6" w:space="0"/>
              <w:right w:val="single" w:color="000000" w:sz="4" w:space="0"/>
            </w:tcBorders>
            <w:shd w:val="clear" w:color="auto" w:fill="auto"/>
            <w:noWrap w:val="0"/>
            <w:tcMar>
              <w:left w:w="10" w:type="dxa"/>
              <w:right w:w="10" w:type="dxa"/>
            </w:tcMar>
            <w:vAlign w:val="center"/>
          </w:tcPr>
          <w:p w14:paraId="6A9ACEFC">
            <w:pPr>
              <w:jc w:val="center"/>
              <w:rPr>
                <w:rFonts w:hint="eastAsia" w:ascii="宋体" w:hAnsi="宋体" w:eastAsia="宋体" w:cs="宋体"/>
                <w:color w:val="000000" w:themeColor="text1"/>
                <w:highlight w:val="none"/>
                <w14:textFill>
                  <w14:solidFill>
                    <w14:schemeClr w14:val="tx1"/>
                  </w14:solidFill>
                </w14:textFill>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39A753DF">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12</w:t>
            </w:r>
          </w:p>
        </w:tc>
        <w:tc>
          <w:tcPr>
            <w:tcW w:w="543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259C86E2">
            <w:pPr>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未按要求及时、如实报告生产安全事故，每次扣10分</w:t>
            </w:r>
          </w:p>
        </w:tc>
        <w:tc>
          <w:tcPr>
            <w:tcW w:w="591"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5A6D6C1B">
            <w:pPr>
              <w:jc w:val="center"/>
              <w:rPr>
                <w:rFonts w:hint="eastAsia" w:ascii="宋体" w:hAnsi="宋体" w:eastAsia="宋体" w:cs="宋体"/>
                <w:color w:val="000000" w:themeColor="text1"/>
                <w:highlight w:val="none"/>
                <w14:textFill>
                  <w14:solidFill>
                    <w14:schemeClr w14:val="tx1"/>
                  </w14:solidFill>
                </w14:textFill>
              </w:rPr>
            </w:pPr>
          </w:p>
        </w:tc>
        <w:tc>
          <w:tcPr>
            <w:tcW w:w="2643"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4BAEB666">
            <w:pPr>
              <w:jc w:val="center"/>
              <w:rPr>
                <w:rFonts w:hint="eastAsia" w:ascii="宋体" w:hAnsi="宋体" w:eastAsia="宋体" w:cs="宋体"/>
                <w:color w:val="000000" w:themeColor="text1"/>
                <w:highlight w:val="none"/>
                <w14:textFill>
                  <w14:solidFill>
                    <w14:schemeClr w14:val="tx1"/>
                  </w14:solidFill>
                </w14:textFill>
              </w:rPr>
            </w:pPr>
          </w:p>
        </w:tc>
      </w:tr>
      <w:tr w14:paraId="5112D255">
        <w:tblPrEx>
          <w:tblCellMar>
            <w:top w:w="0" w:type="dxa"/>
            <w:left w:w="10" w:type="dxa"/>
            <w:bottom w:w="0" w:type="dxa"/>
            <w:right w:w="10" w:type="dxa"/>
          </w:tblCellMar>
        </w:tblPrEx>
        <w:trPr>
          <w:trHeight w:val="350" w:hRule="atLeast"/>
          <w:jc w:val="center"/>
        </w:trPr>
        <w:tc>
          <w:tcPr>
            <w:tcW w:w="558" w:type="dxa"/>
            <w:vMerge w:val="continue"/>
            <w:tcBorders>
              <w:top w:val="single" w:color="000000" w:sz="6"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437A01C7">
            <w:pPr>
              <w:jc w:val="center"/>
              <w:rPr>
                <w:rFonts w:hint="eastAsia" w:ascii="宋体" w:hAnsi="宋体" w:eastAsia="宋体" w:cs="宋体"/>
                <w:color w:val="000000" w:themeColor="text1"/>
                <w:highlight w:val="none"/>
                <w14:textFill>
                  <w14:solidFill>
                    <w14:schemeClr w14:val="tx1"/>
                  </w14:solidFill>
                </w14:textFill>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330EF824">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13</w:t>
            </w:r>
          </w:p>
        </w:tc>
        <w:tc>
          <w:tcPr>
            <w:tcW w:w="543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5739E717">
            <w:pPr>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提供资料弄虚作假的，每次扣5分</w:t>
            </w:r>
          </w:p>
        </w:tc>
        <w:tc>
          <w:tcPr>
            <w:tcW w:w="591"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4B5F9A34">
            <w:pPr>
              <w:jc w:val="center"/>
              <w:rPr>
                <w:rFonts w:hint="eastAsia" w:ascii="宋体" w:hAnsi="宋体" w:eastAsia="宋体" w:cs="宋体"/>
                <w:color w:val="000000" w:themeColor="text1"/>
                <w:highlight w:val="none"/>
                <w14:textFill>
                  <w14:solidFill>
                    <w14:schemeClr w14:val="tx1"/>
                  </w14:solidFill>
                </w14:textFill>
              </w:rPr>
            </w:pPr>
          </w:p>
        </w:tc>
        <w:tc>
          <w:tcPr>
            <w:tcW w:w="2643"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39564353">
            <w:pPr>
              <w:jc w:val="center"/>
              <w:rPr>
                <w:rFonts w:hint="eastAsia" w:ascii="宋体" w:hAnsi="宋体" w:eastAsia="宋体" w:cs="宋体"/>
                <w:color w:val="000000" w:themeColor="text1"/>
                <w:highlight w:val="none"/>
                <w14:textFill>
                  <w14:solidFill>
                    <w14:schemeClr w14:val="tx1"/>
                  </w14:solidFill>
                </w14:textFill>
              </w:rPr>
            </w:pPr>
          </w:p>
        </w:tc>
      </w:tr>
      <w:tr w14:paraId="7D7C3039">
        <w:tblPrEx>
          <w:tblCellMar>
            <w:top w:w="0" w:type="dxa"/>
            <w:left w:w="10" w:type="dxa"/>
            <w:bottom w:w="0" w:type="dxa"/>
            <w:right w:w="10" w:type="dxa"/>
          </w:tblCellMar>
        </w:tblPrEx>
        <w:trPr>
          <w:trHeight w:val="632" w:hRule="atLeast"/>
          <w:jc w:val="center"/>
        </w:trPr>
        <w:tc>
          <w:tcPr>
            <w:tcW w:w="558"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315872A6">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其他</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3AA55092">
            <w:pPr>
              <w:jc w:val="center"/>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14</w:t>
            </w:r>
          </w:p>
        </w:tc>
        <w:tc>
          <w:tcPr>
            <w:tcW w:w="5430"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008010B1">
            <w:pPr>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有违反招标文件及合同规定的其他违约事件的，每发现1次，需按违约性质并结合上述违约类型，每次扣5分</w:t>
            </w:r>
          </w:p>
        </w:tc>
        <w:tc>
          <w:tcPr>
            <w:tcW w:w="591"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44FFB61E">
            <w:pPr>
              <w:jc w:val="center"/>
              <w:rPr>
                <w:rFonts w:hint="eastAsia" w:ascii="宋体" w:hAnsi="宋体" w:eastAsia="宋体" w:cs="宋体"/>
                <w:color w:val="000000" w:themeColor="text1"/>
                <w:highlight w:val="none"/>
                <w14:textFill>
                  <w14:solidFill>
                    <w14:schemeClr w14:val="tx1"/>
                  </w14:solidFill>
                </w14:textFill>
              </w:rPr>
            </w:pPr>
          </w:p>
        </w:tc>
        <w:tc>
          <w:tcPr>
            <w:tcW w:w="2643" w:type="dxa"/>
            <w:tcBorders>
              <w:top w:val="single" w:color="000000" w:sz="4" w:space="0"/>
              <w:left w:val="single" w:color="000000" w:sz="4" w:space="0"/>
              <w:bottom w:val="single" w:color="000000" w:sz="4" w:space="0"/>
              <w:right w:val="single" w:color="000000" w:sz="4" w:space="0"/>
            </w:tcBorders>
            <w:shd w:val="clear" w:color="auto" w:fill="auto"/>
            <w:noWrap w:val="0"/>
            <w:tcMar>
              <w:left w:w="10" w:type="dxa"/>
              <w:right w:w="10" w:type="dxa"/>
            </w:tcMar>
            <w:vAlign w:val="center"/>
          </w:tcPr>
          <w:p w14:paraId="5244C42E">
            <w:pPr>
              <w:jc w:val="center"/>
              <w:rPr>
                <w:rFonts w:hint="eastAsia" w:ascii="宋体" w:hAnsi="宋体" w:eastAsia="宋体" w:cs="宋体"/>
                <w:color w:val="000000" w:themeColor="text1"/>
                <w:highlight w:val="none"/>
                <w14:textFill>
                  <w14:solidFill>
                    <w14:schemeClr w14:val="tx1"/>
                  </w14:solidFill>
                </w14:textFill>
              </w:rPr>
            </w:pPr>
          </w:p>
        </w:tc>
      </w:tr>
    </w:tbl>
    <w:p w14:paraId="38EA5570">
      <w:pPr>
        <w:ind w:firstLine="420" w:firstLineChars="200"/>
        <w:rPr>
          <w:rFonts w:ascii="宋体" w:cs="宋体"/>
          <w:color w:val="000000" w:themeColor="text1"/>
          <w:highlight w:val="none"/>
          <w14:textFill>
            <w14:solidFill>
              <w14:schemeClr w14:val="tx1"/>
            </w14:solidFill>
          </w14:textFill>
        </w:rPr>
      </w:pPr>
      <w:r>
        <w:rPr>
          <w:rFonts w:ascii="宋体" w:hAnsi="宋体" w:cs="宋体"/>
          <w:color w:val="000000" w:themeColor="text1"/>
          <w:highlight w:val="none"/>
          <w14:textFill>
            <w14:solidFill>
              <w14:schemeClr w14:val="tx1"/>
            </w14:solidFill>
          </w14:textFill>
        </w:rPr>
        <w:t>3</w:t>
      </w:r>
      <w:r>
        <w:rPr>
          <w:rFonts w:hint="eastAsia" w:ascii="宋体" w:hAnsi="宋体" w:cs="宋体"/>
          <w:color w:val="000000" w:themeColor="text1"/>
          <w:highlight w:val="none"/>
          <w:lang w:val="en-US"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提前终止供货服务的一周前，需以书面形式通知对方。</w:t>
      </w:r>
    </w:p>
    <w:p w14:paraId="6F4EF632">
      <w:pPr>
        <w:tabs>
          <w:tab w:val="left" w:pos="360"/>
        </w:tabs>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考核供应商：</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考核月份：</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考核总得分：</w:t>
      </w:r>
    </w:p>
    <w:p w14:paraId="78084F47">
      <w:pPr>
        <w:tabs>
          <w:tab w:val="left" w:pos="360"/>
        </w:tabs>
        <w:jc w:val="left"/>
        <w:rPr>
          <w:rFonts w:ascii="宋体" w:hAnsi="宋体" w:cs="宋体"/>
          <w:color w:val="000000" w:themeColor="text1"/>
          <w:sz w:val="24"/>
          <w:highlight w:val="none"/>
          <w14:textFill>
            <w14:solidFill>
              <w14:schemeClr w14:val="tx1"/>
            </w14:solidFill>
          </w14:textFill>
        </w:rPr>
      </w:pPr>
    </w:p>
    <w:p w14:paraId="4A5F11DD">
      <w:pPr>
        <w:tabs>
          <w:tab w:val="left" w:pos="360"/>
        </w:tabs>
        <w:ind w:left="120" w:hanging="120" w:hangingChars="50"/>
        <w:jc w:val="left"/>
        <w:rPr>
          <w:rFonts w:asci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供应商确认签名：</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考核人员签名：</w:t>
      </w:r>
    </w:p>
    <w:p w14:paraId="63A2EC1A">
      <w:pPr>
        <w:tabs>
          <w:tab w:val="left" w:pos="360"/>
        </w:tabs>
        <w:ind w:left="120" w:hanging="120" w:hangingChars="50"/>
        <w:jc w:val="right"/>
        <w:rPr>
          <w:rFonts w:hint="eastAsia" w:ascii="宋体" w:cs="宋体"/>
          <w:color w:val="000000" w:themeColor="text1"/>
          <w:sz w:val="24"/>
          <w:highlight w:val="none"/>
          <w:lang w:val="en-US" w:eastAsia="zh-CN"/>
          <w14:textFill>
            <w14:solidFill>
              <w14:schemeClr w14:val="tx1"/>
            </w14:solidFill>
          </w14:textFill>
        </w:rPr>
      </w:pPr>
    </w:p>
    <w:p w14:paraId="38274AE6">
      <w:pPr>
        <w:tabs>
          <w:tab w:val="left" w:pos="360"/>
        </w:tabs>
        <w:wordWrap w:val="0"/>
        <w:ind w:left="120" w:hanging="120" w:hangingChars="50"/>
        <w:jc w:val="right"/>
        <w:rPr>
          <w:rFonts w:hint="eastAsia" w:ascii="宋体" w:cs="宋体"/>
          <w:color w:val="000000" w:themeColor="text1"/>
          <w:sz w:val="24"/>
          <w:highlight w:val="none"/>
          <w:lang w:val="en-US" w:eastAsia="zh-CN"/>
          <w14:textFill>
            <w14:solidFill>
              <w14:schemeClr w14:val="tx1"/>
            </w14:solidFill>
          </w14:textFill>
        </w:rPr>
      </w:pPr>
    </w:p>
    <w:p w14:paraId="2D477C03">
      <w:pPr>
        <w:tabs>
          <w:tab w:val="left" w:pos="360"/>
        </w:tabs>
        <w:wordWrap w:val="0"/>
        <w:ind w:left="120" w:hanging="120" w:hangingChars="50"/>
        <w:jc w:val="right"/>
        <w:rPr>
          <w:rFonts w:hint="eastAsia" w:ascii="宋体" w:cs="宋体"/>
          <w:color w:val="000000" w:themeColor="text1"/>
          <w:sz w:val="24"/>
          <w:highlight w:val="none"/>
          <w:lang w:val="en-US" w:eastAsia="zh-CN"/>
          <w14:textFill>
            <w14:solidFill>
              <w14:schemeClr w14:val="tx1"/>
            </w14:solidFill>
          </w14:textFill>
        </w:rPr>
      </w:pPr>
      <w:r>
        <w:rPr>
          <w:rFonts w:hint="eastAsia" w:ascii="宋体" w:cs="宋体"/>
          <w:color w:val="000000" w:themeColor="text1"/>
          <w:sz w:val="24"/>
          <w:highlight w:val="none"/>
          <w:lang w:val="en-US" w:eastAsia="zh-CN"/>
          <w14:textFill>
            <w14:solidFill>
              <w14:schemeClr w14:val="tx1"/>
            </w14:solidFill>
          </w14:textFill>
        </w:rPr>
        <w:t>阳江市阳东区合山镇第二小学</w:t>
      </w:r>
    </w:p>
    <w:p w14:paraId="1EAFA74D">
      <w:pPr>
        <w:keepNext w:val="0"/>
        <w:keepLines w:val="0"/>
        <w:pageBreakBefore w:val="0"/>
        <w:kinsoku/>
        <w:wordWrap/>
        <w:overflowPunct/>
        <w:topLinePunct w:val="0"/>
        <w:autoSpaceDE/>
        <w:autoSpaceDN/>
        <w:bidi w:val="0"/>
        <w:spacing w:line="400" w:lineRule="exact"/>
        <w:textAlignment w:val="auto"/>
        <w:rPr>
          <w:color w:val="000000" w:themeColor="text1"/>
          <w:highlight w:val="none"/>
          <w14:textFill>
            <w14:solidFill>
              <w14:schemeClr w14:val="tx1"/>
            </w14:solidFill>
          </w14:textFill>
        </w:rPr>
      </w:pPr>
      <w:r>
        <w:rPr>
          <w:rFonts w:hint="eastAsia" w:ascii="Arial" w:hAnsi="Arial" w:cs="Arial"/>
          <w:color w:val="000000" w:themeColor="text1"/>
          <w:sz w:val="24"/>
          <w:highlight w:val="none"/>
          <w:lang w:val="en-US" w:eastAsia="zh-CN"/>
          <w14:textFill>
            <w14:solidFill>
              <w14:schemeClr w14:val="tx1"/>
            </w14:solidFill>
          </w14:textFill>
        </w:rPr>
        <w:t xml:space="preserve">                                                </w:t>
      </w:r>
      <w:r>
        <w:rPr>
          <w:rFonts w:hint="eastAsia" w:cs="Arial"/>
          <w:color w:val="000000" w:themeColor="text1"/>
          <w:sz w:val="24"/>
          <w:highlight w:val="none"/>
          <w:lang w:val="en-US" w:eastAsia="zh-CN"/>
          <w14:textFill>
            <w14:solidFill>
              <w14:schemeClr w14:val="tx1"/>
            </w14:solidFill>
          </w14:textFill>
        </w:rPr>
        <w:t xml:space="preserve">    </w:t>
      </w:r>
      <w:r>
        <w:rPr>
          <w:rFonts w:hint="eastAsia" w:ascii="Arial" w:hAnsi="Arial" w:cs="Arial"/>
          <w:color w:val="000000" w:themeColor="text1"/>
          <w:sz w:val="24"/>
          <w:highlight w:val="none"/>
          <w:lang w:val="en-US" w:eastAsia="zh-CN"/>
          <w14:textFill>
            <w14:solidFill>
              <w14:schemeClr w14:val="tx1"/>
            </w14:solidFill>
          </w14:textFill>
        </w:rPr>
        <w:t xml:space="preserve">   </w:t>
      </w:r>
      <w:r>
        <w:rPr>
          <w:rFonts w:hint="eastAsia" w:ascii="宋体" w:cs="宋体" w:hAnsiTheme="minorHAnsi" w:eastAsiaTheme="minorEastAsia"/>
          <w:color w:val="000000" w:themeColor="text1"/>
          <w:kern w:val="2"/>
          <w:sz w:val="24"/>
          <w:szCs w:val="24"/>
          <w:highlight w:val="none"/>
          <w:lang w:val="en-US" w:eastAsia="zh-CN" w:bidi="ar-SA"/>
          <w14:textFill>
            <w14:solidFill>
              <w14:schemeClr w14:val="tx1"/>
            </w14:solidFill>
          </w14:textFill>
        </w:rPr>
        <w:t xml:space="preserve">     年  月  日</w:t>
      </w:r>
    </w:p>
    <w:p w14:paraId="75AFB772">
      <w:pPr>
        <w:pStyle w:val="19"/>
        <w:keepNext w:val="0"/>
        <w:keepLines w:val="0"/>
        <w:pageBreakBefore w:val="0"/>
        <w:kinsoku/>
        <w:wordWrap/>
        <w:overflowPunct/>
        <w:topLinePunct w:val="0"/>
        <w:autoSpaceDE/>
        <w:autoSpaceDN/>
        <w:bidi w:val="0"/>
        <w:adjustRightInd/>
        <w:snapToGrid/>
        <w:spacing w:line="360" w:lineRule="auto"/>
        <w:textAlignment w:val="auto"/>
        <w:rPr>
          <w:rFonts w:hint="default" w:asciiTheme="minorEastAsia" w:hAnsiTheme="minorEastAsia" w:cstheme="minorEastAsia"/>
          <w:b/>
          <w:color w:val="000000" w:themeColor="text1"/>
          <w:sz w:val="21"/>
          <w:szCs w:val="21"/>
          <w:highlight w:val="none"/>
          <w:lang w:val="en-US" w:eastAsia="zh-CN"/>
          <w14:textFill>
            <w14:solidFill>
              <w14:schemeClr w14:val="tx1"/>
            </w14:solidFill>
          </w14:textFill>
        </w:rPr>
      </w:pPr>
    </w:p>
    <w:p w14:paraId="1E3A5E6E">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1.主要商务要求</w:t>
      </w:r>
    </w:p>
    <w:tbl>
      <w:tblPr>
        <w:tblStyle w:val="16"/>
        <w:tblW w:w="9300"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47"/>
        <w:gridCol w:w="7253"/>
      </w:tblGrid>
      <w:tr w14:paraId="7EDD67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47" w:type="dxa"/>
            <w:vAlign w:val="center"/>
          </w:tcPr>
          <w:p w14:paraId="2CF43628">
            <w:pPr>
              <w:pStyle w:val="19"/>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标的提供的时间</w:t>
            </w:r>
          </w:p>
        </w:tc>
        <w:tc>
          <w:tcPr>
            <w:tcW w:w="7253" w:type="dxa"/>
            <w:vAlign w:val="top"/>
          </w:tcPr>
          <w:p w14:paraId="26E72689">
            <w:pPr>
              <w:pStyle w:val="19"/>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2026年9月1日至2027年8月30日。（超出该服务期作无效投标处理）</w:t>
            </w:r>
          </w:p>
        </w:tc>
      </w:tr>
      <w:tr w14:paraId="548E12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47" w:type="dxa"/>
            <w:vAlign w:val="center"/>
          </w:tcPr>
          <w:p w14:paraId="41FEE26B">
            <w:pPr>
              <w:pStyle w:val="19"/>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标的提供的地点</w:t>
            </w:r>
          </w:p>
        </w:tc>
        <w:tc>
          <w:tcPr>
            <w:tcW w:w="7253" w:type="dxa"/>
            <w:vAlign w:val="top"/>
          </w:tcPr>
          <w:p w14:paraId="191200CA">
            <w:pPr>
              <w:pStyle w:val="19"/>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阳江市阳东区合山镇第二小学</w:t>
            </w:r>
          </w:p>
        </w:tc>
      </w:tr>
      <w:tr w14:paraId="4C3B4C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60" w:hRule="atLeast"/>
          <w:jc w:val="center"/>
        </w:trPr>
        <w:tc>
          <w:tcPr>
            <w:tcW w:w="2047" w:type="dxa"/>
            <w:vAlign w:val="center"/>
          </w:tcPr>
          <w:p w14:paraId="41C7A801">
            <w:pPr>
              <w:pStyle w:val="19"/>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报价方式</w:t>
            </w:r>
          </w:p>
        </w:tc>
        <w:tc>
          <w:tcPr>
            <w:tcW w:w="7253" w:type="dxa"/>
            <w:vAlign w:val="center"/>
          </w:tcPr>
          <w:p w14:paraId="3C810EDE">
            <w:pPr>
              <w:pStyle w:val="19"/>
              <w:keepNext w:val="0"/>
              <w:keepLines w:val="0"/>
              <w:pageBreakBefore w:val="0"/>
              <w:kinsoku/>
              <w:wordWrap/>
              <w:overflowPunct/>
              <w:topLinePunct w:val="0"/>
              <w:autoSpaceDE/>
              <w:autoSpaceDN/>
              <w:bidi w:val="0"/>
              <w:adjustRightInd/>
              <w:snapToGrid/>
              <w:spacing w:line="320" w:lineRule="exact"/>
              <w:jc w:val="both"/>
              <w:textAlignment w:val="auto"/>
              <w:rPr>
                <w:rFonts w:hint="eastAsia" w:ascii="宋体" w:hAnsi="宋体" w:eastAsia="宋体" w:cs="宋体"/>
                <w:b w:val="0"/>
                <w:bCs w:val="0"/>
                <w:color w:val="000000" w:themeColor="text1"/>
                <w:sz w:val="21"/>
                <w:szCs w:val="21"/>
                <w:highlight w:val="none"/>
                <w14:textFill>
                  <w14:solidFill>
                    <w14:schemeClr w14:val="tx1"/>
                  </w14:solidFill>
                </w14:textFill>
              </w:rPr>
            </w:pPr>
            <w:r>
              <w:rPr>
                <w:rFonts w:hint="eastAsia" w:ascii="宋体" w:hAnsi="宋体" w:eastAsia="宋体" w:cs="宋体"/>
                <w:b w:val="0"/>
                <w:bCs w:val="0"/>
                <w:color w:val="000000" w:themeColor="text1"/>
                <w:sz w:val="21"/>
                <w:szCs w:val="21"/>
                <w:highlight w:val="none"/>
                <w14:textFill>
                  <w14:solidFill>
                    <w14:schemeClr w14:val="tx1"/>
                  </w14:solidFill>
                </w14:textFill>
              </w:rPr>
              <w:t>折扣率报价</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0%-100%）</w:t>
            </w:r>
            <w:r>
              <w:rPr>
                <w:rFonts w:hint="eastAsia" w:ascii="宋体" w:hAnsi="宋体" w:eastAsia="宋体" w:cs="宋体"/>
                <w:b w:val="0"/>
                <w:bCs w:val="0"/>
                <w:color w:val="000000" w:themeColor="text1"/>
                <w:sz w:val="21"/>
                <w:szCs w:val="21"/>
                <w:highlight w:val="none"/>
                <w:lang w:eastAsia="zh-CN"/>
                <w14:textFill>
                  <w14:solidFill>
                    <w14:schemeClr w14:val="tx1"/>
                  </w14:solidFill>
                </w14:textFill>
              </w:rPr>
              <w:t>。</w:t>
            </w:r>
          </w:p>
        </w:tc>
      </w:tr>
      <w:tr w14:paraId="3577C3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32" w:hRule="atLeast"/>
          <w:jc w:val="center"/>
        </w:trPr>
        <w:tc>
          <w:tcPr>
            <w:tcW w:w="2047" w:type="dxa"/>
            <w:shd w:val="clear" w:color="auto" w:fill="auto"/>
            <w:vAlign w:val="center"/>
          </w:tcPr>
          <w:p w14:paraId="5D615A93">
            <w:pPr>
              <w:spacing w:line="320" w:lineRule="exact"/>
              <w:jc w:val="center"/>
              <w:rPr>
                <w:rFonts w:hint="default" w:ascii="宋体" w:hAnsi="宋体" w:eastAsia="宋体" w:cs="宋体"/>
                <w:b/>
                <w:bCs/>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t>报价</w:t>
            </w:r>
            <w:r>
              <w:rPr>
                <w:rFonts w:hint="eastAsia" w:ascii="宋体" w:hAnsi="宋体" w:cs="宋体"/>
                <w:b/>
                <w:bCs/>
                <w:color w:val="000000" w:themeColor="text1"/>
                <w:kern w:val="2"/>
                <w:sz w:val="21"/>
                <w:szCs w:val="21"/>
                <w:highlight w:val="none"/>
                <w:lang w:val="en-US" w:eastAsia="zh-CN" w:bidi="ar-SA"/>
                <w14:textFill>
                  <w14:solidFill>
                    <w14:schemeClr w14:val="tx1"/>
                  </w14:solidFill>
                </w14:textFill>
              </w:rPr>
              <w:t>包括</w:t>
            </w:r>
          </w:p>
        </w:tc>
        <w:tc>
          <w:tcPr>
            <w:tcW w:w="7253" w:type="dxa"/>
            <w:shd w:val="clear" w:color="auto" w:fill="auto"/>
            <w:vAlign w:val="center"/>
          </w:tcPr>
          <w:p w14:paraId="6D1E0B76">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中标人的供货价应包含交给采购人之前的一切费用，包括购置费、包装费、运输费，储存费、人工费、保险费、各种税费等，并承担送货途中的一切风险。采购人不再支付任何费用。</w:t>
            </w:r>
          </w:p>
        </w:tc>
      </w:tr>
      <w:tr w14:paraId="64C593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47" w:type="dxa"/>
            <w:shd w:val="clear" w:color="auto" w:fill="auto"/>
            <w:vAlign w:val="center"/>
          </w:tcPr>
          <w:p w14:paraId="124C4BB1">
            <w:pPr>
              <w:spacing w:line="320" w:lineRule="exact"/>
              <w:jc w:val="center"/>
              <w:rPr>
                <w:rFonts w:hint="eastAsia" w:ascii="宋体" w:hAnsi="宋体" w:eastAsia="宋体" w:cs="宋体"/>
                <w:b/>
                <w:bCs/>
                <w:color w:val="000000" w:themeColor="text1"/>
                <w:kern w:val="2"/>
                <w:sz w:val="21"/>
                <w:szCs w:val="24"/>
                <w:highlight w:val="none"/>
                <w:lang w:val="en-US" w:eastAsia="zh-CN" w:bidi="ar-SA"/>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合同签订要求</w:t>
            </w:r>
          </w:p>
        </w:tc>
        <w:tc>
          <w:tcPr>
            <w:tcW w:w="7253" w:type="dxa"/>
            <w:shd w:val="clear" w:color="auto" w:fill="auto"/>
            <w:vAlign w:val="center"/>
          </w:tcPr>
          <w:p w14:paraId="545CDB06">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采购合同由中标供应商</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凭《中标通知书》</w:t>
            </w:r>
            <w:r>
              <w:rPr>
                <w:rFonts w:hint="eastAsia" w:ascii="宋体" w:hAnsi="宋体" w:eastAsia="宋体" w:cs="宋体"/>
                <w:color w:val="000000" w:themeColor="text1"/>
                <w:kern w:val="0"/>
                <w:sz w:val="21"/>
                <w:szCs w:val="21"/>
                <w:highlight w:val="none"/>
                <w14:textFill>
                  <w14:solidFill>
                    <w14:schemeClr w14:val="tx1"/>
                  </w14:solidFill>
                </w14:textFill>
              </w:rPr>
              <w:t>与采购人双方签订，签订时间为《中标通知书》发出之日起</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30</w:t>
            </w:r>
            <w:r>
              <w:rPr>
                <w:rFonts w:hint="eastAsia" w:ascii="宋体" w:hAnsi="宋体" w:eastAsia="宋体" w:cs="宋体"/>
                <w:color w:val="000000" w:themeColor="text1"/>
                <w:kern w:val="0"/>
                <w:sz w:val="21"/>
                <w:szCs w:val="21"/>
                <w:highlight w:val="none"/>
                <w14:textFill>
                  <w14:solidFill>
                    <w14:schemeClr w14:val="tx1"/>
                  </w14:solidFill>
                </w14:textFill>
              </w:rPr>
              <w:t>个日历日内。</w:t>
            </w:r>
          </w:p>
        </w:tc>
      </w:tr>
      <w:tr w14:paraId="328508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47" w:type="dxa"/>
            <w:shd w:val="clear" w:color="auto" w:fill="auto"/>
            <w:vAlign w:val="center"/>
          </w:tcPr>
          <w:p w14:paraId="568D5074">
            <w:pPr>
              <w:spacing w:line="320" w:lineRule="exact"/>
              <w:jc w:val="center"/>
              <w:rPr>
                <w:rFonts w:hint="eastAsia" w:ascii="宋体" w:hAnsi="宋体" w:eastAsia="宋体" w:cs="宋体"/>
                <w:b/>
                <w:bCs/>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4"/>
                <w:highlight w:val="none"/>
                <w:lang w:val="en-US" w:eastAsia="zh-CN" w:bidi="ar-SA"/>
                <w14:textFill>
                  <w14:solidFill>
                    <w14:schemeClr w14:val="tx1"/>
                  </w14:solidFill>
                </w14:textFill>
              </w:rPr>
              <w:t>付款和结算方式</w:t>
            </w:r>
          </w:p>
        </w:tc>
        <w:tc>
          <w:tcPr>
            <w:tcW w:w="7253" w:type="dxa"/>
            <w:shd w:val="clear" w:color="auto" w:fill="auto"/>
            <w:vAlign w:val="center"/>
          </w:tcPr>
          <w:p w14:paraId="3955743D">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1.货款每个月以人民币为计价进行结算。实际结算金额以实际发生采购量为准。供应商需提供符合国家要求的正规发票，发票公章必须与公司名称相符，合同方、收款方、发票方三者必须一致。若提供假发票，除不开增值税发票外，另承担发票所开全额20%的违约金，且采购人保留向税务及公安机关举报的权力。</w:t>
            </w:r>
          </w:p>
          <w:p w14:paraId="2182CB0A">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2.当月结算价：各类肉类及蔬菜瓜果类产品货款=基准价×中标折扣率×当月实际供货量。</w:t>
            </w:r>
          </w:p>
          <w:p w14:paraId="093A9BE9">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3.报价方式为折扣率报价，合同执行期内，不论中标配送公司供应货物的来源何地均按中标折扣率结算，中标折扣率合同期内不作调整。</w:t>
            </w:r>
          </w:p>
        </w:tc>
      </w:tr>
      <w:tr w14:paraId="0AA262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47" w:type="dxa"/>
            <w:shd w:val="clear" w:color="auto" w:fill="auto"/>
            <w:vAlign w:val="center"/>
          </w:tcPr>
          <w:p w14:paraId="20C5F086">
            <w:pPr>
              <w:spacing w:line="320" w:lineRule="exact"/>
              <w:jc w:val="center"/>
              <w:rPr>
                <w:rFonts w:hint="eastAsia" w:ascii="宋体" w:hAnsi="宋体" w:eastAsia="宋体" w:cs="宋体"/>
                <w:b/>
                <w:bCs/>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4"/>
                <w:highlight w:val="none"/>
                <w:lang w:val="en-US" w:eastAsia="zh-CN" w:bidi="ar-SA"/>
                <w14:textFill>
                  <w14:solidFill>
                    <w14:schemeClr w14:val="tx1"/>
                  </w14:solidFill>
                </w14:textFill>
              </w:rPr>
              <w:t>定价方式</w:t>
            </w:r>
          </w:p>
        </w:tc>
        <w:tc>
          <w:tcPr>
            <w:tcW w:w="7253" w:type="dxa"/>
            <w:shd w:val="clear" w:color="auto" w:fill="auto"/>
            <w:vAlign w:val="center"/>
          </w:tcPr>
          <w:p w14:paraId="74CB6DEE">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价格以食堂询价小组成员到区内任意三个肉菜市场调研的价格为基准价格，按中标时所报投标折扣率要求核算。若区内市场无同类或相近品种产品的，由食堂管理小组与配送公司双方共同调研的价格为基准价格，供货时由配送公司与食堂管理小组共同协商，要低于同类或相近品种产品的其它市场行情及根据配送公司中标时所报投标折扣率来确定执行标准。每月调研价格两次（如上级有要求再按上级要求作调整）。</w:t>
            </w:r>
          </w:p>
        </w:tc>
      </w:tr>
      <w:tr w14:paraId="618F08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31" w:hRule="atLeast"/>
          <w:jc w:val="center"/>
        </w:trPr>
        <w:tc>
          <w:tcPr>
            <w:tcW w:w="2047" w:type="dxa"/>
            <w:shd w:val="clear" w:color="auto" w:fill="auto"/>
            <w:vAlign w:val="center"/>
          </w:tcPr>
          <w:p w14:paraId="4B9F1F18">
            <w:pPr>
              <w:spacing w:line="320" w:lineRule="exact"/>
              <w:jc w:val="center"/>
              <w:rPr>
                <w:rFonts w:hint="eastAsia" w:ascii="宋体" w:hAnsi="宋体" w:eastAsia="宋体" w:cs="宋体"/>
                <w:b/>
                <w:bCs/>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t>配送时间</w:t>
            </w:r>
          </w:p>
        </w:tc>
        <w:tc>
          <w:tcPr>
            <w:tcW w:w="7253" w:type="dxa"/>
            <w:shd w:val="clear" w:color="auto" w:fill="auto"/>
            <w:vAlign w:val="center"/>
          </w:tcPr>
          <w:p w14:paraId="144EEE96">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每天上午5：30前配送到采购人指定地点。</w:t>
            </w:r>
          </w:p>
        </w:tc>
      </w:tr>
      <w:tr w14:paraId="002016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47" w:type="dxa"/>
            <w:shd w:val="clear" w:color="auto" w:fill="auto"/>
            <w:vAlign w:val="center"/>
          </w:tcPr>
          <w:p w14:paraId="5E1D1731">
            <w:pPr>
              <w:spacing w:line="320" w:lineRule="exact"/>
              <w:jc w:val="center"/>
              <w:rPr>
                <w:rFonts w:hint="eastAsia" w:ascii="宋体" w:hAnsi="宋体" w:eastAsia="宋体" w:cs="宋体"/>
                <w:b/>
                <w:bCs/>
                <w:color w:val="000000" w:themeColor="text1"/>
                <w:kern w:val="2"/>
                <w:sz w:val="21"/>
                <w:szCs w:val="21"/>
                <w:highlight w:val="none"/>
                <w:lang w:val="en-US" w:eastAsia="zh-CN" w:bidi="ar-SA"/>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t>食品食材验收要求</w:t>
            </w:r>
          </w:p>
        </w:tc>
        <w:tc>
          <w:tcPr>
            <w:tcW w:w="7253" w:type="dxa"/>
            <w:shd w:val="clear" w:color="auto" w:fill="auto"/>
            <w:vAlign w:val="center"/>
          </w:tcPr>
          <w:p w14:paraId="44B36DD6">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1.信息核对：核对采购食品食材与购货凭证(或者送货单据)上的名称、数量是否相符；</w:t>
            </w:r>
          </w:p>
          <w:p w14:paraId="0B997F9C">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2.外观检查：检查感官性状，包装是否有破损、污迹、霉变、腐烂，是否有异味，是否有病虫害附着等；</w:t>
            </w:r>
          </w:p>
          <w:p w14:paraId="3D6095C4">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3.标签检查：检查外包装标注信息是否完整，是否有产品的名称、规格或者净含量、生产日期、保质期、成分或者配料表、贮存条件等信息，是否标识生产者的名称、地址、联系方式以及产品标准代号、生产许可证编号等；</w:t>
            </w:r>
          </w:p>
          <w:p w14:paraId="11D600EE">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4.温度检查：需冷藏冷冻的食品食材是否冷链运输，冷藏食品表面温度与标签标识的温度是否超过十3℃，冷冻食品食材表面温度是否高于-9℃；</w:t>
            </w:r>
          </w:p>
          <w:p w14:paraId="63508A68">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5.票据核验：检查随货同行的产品合格证明文件，文件上载明的内容是否与到货的食品生产日期、规格等信息保持一致；</w:t>
            </w:r>
          </w:p>
          <w:p w14:paraId="5D9E78FF">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6.抽样检测：学校食堂对采购的蔬菜、肉类进行药物残留检测。</w:t>
            </w:r>
          </w:p>
          <w:p w14:paraId="28799EA2">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7.供货商供货时，需同步提供该批次食用农产品的《承诺达标证》(或附带有二维码的电子承诺达标合格证)作为验收必要条件；不提供此证，可不予验收。此外，大米应每批次向供应商索取检验合格证明，合格证明中应含有国家和省的规定必检的重金属(包含铅、镉、汞等)含量项目；没有重金属检验合格证明的，不得采购和验收。</w:t>
            </w:r>
          </w:p>
        </w:tc>
      </w:tr>
      <w:tr w14:paraId="164835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47" w:type="dxa"/>
            <w:shd w:val="clear" w:color="auto" w:fill="auto"/>
            <w:vAlign w:val="center"/>
          </w:tcPr>
          <w:p w14:paraId="10ED12EA">
            <w:pPr>
              <w:spacing w:line="320" w:lineRule="exact"/>
              <w:jc w:val="center"/>
              <w:rPr>
                <w:rFonts w:hint="eastAsia" w:ascii="宋体" w:hAnsi="宋体" w:eastAsia="宋体" w:cs="Times New Roman"/>
                <w:b/>
                <w:bCs/>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Times New Roman"/>
                <w:b/>
                <w:bCs/>
                <w:color w:val="000000" w:themeColor="text1"/>
                <w:kern w:val="2"/>
                <w:sz w:val="21"/>
                <w:szCs w:val="24"/>
                <w:highlight w:val="none"/>
                <w:lang w:val="en-US" w:eastAsia="zh-CN" w:bidi="ar-SA"/>
                <w14:textFill>
                  <w14:solidFill>
                    <w14:schemeClr w14:val="tx1"/>
                  </w14:solidFill>
                </w14:textFill>
              </w:rPr>
              <w:t>售后服务要求</w:t>
            </w:r>
          </w:p>
        </w:tc>
        <w:tc>
          <w:tcPr>
            <w:tcW w:w="7253" w:type="dxa"/>
            <w:shd w:val="clear" w:color="auto" w:fill="auto"/>
            <w:vAlign w:val="center"/>
          </w:tcPr>
          <w:p w14:paraId="4B6A539F">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服务方式为中标人上门服务。非采购人的人为原因而出现产品质量问题，由中标人负责包换或包退。并承担上述情况产生的一切法律责任和费用。</w:t>
            </w:r>
          </w:p>
        </w:tc>
      </w:tr>
      <w:tr w14:paraId="6E9D2F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47" w:type="dxa"/>
            <w:shd w:val="clear" w:color="auto" w:fill="auto"/>
            <w:vAlign w:val="center"/>
          </w:tcPr>
          <w:p w14:paraId="24113874">
            <w:pPr>
              <w:spacing w:line="320" w:lineRule="exact"/>
              <w:jc w:val="center"/>
              <w:rPr>
                <w:rFonts w:hint="eastAsia" w:ascii="宋体" w:hAnsi="宋体" w:eastAsia="宋体" w:cs="Times New Roman"/>
                <w:b/>
                <w:bCs/>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Times New Roman"/>
                <w:b/>
                <w:bCs/>
                <w:color w:val="000000" w:themeColor="text1"/>
                <w:kern w:val="2"/>
                <w:sz w:val="21"/>
                <w:szCs w:val="24"/>
                <w:highlight w:val="none"/>
                <w:lang w:val="en-US" w:eastAsia="zh-CN" w:bidi="ar-SA"/>
                <w14:textFill>
                  <w14:solidFill>
                    <w14:schemeClr w14:val="tx1"/>
                  </w14:solidFill>
                </w14:textFill>
              </w:rPr>
              <w:t>项目其它要求</w:t>
            </w:r>
          </w:p>
        </w:tc>
        <w:tc>
          <w:tcPr>
            <w:tcW w:w="7253" w:type="dxa"/>
            <w:shd w:val="clear" w:color="auto" w:fill="auto"/>
            <w:vAlign w:val="center"/>
          </w:tcPr>
          <w:p w14:paraId="4A1EBB69">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1.合同签订后10个工作日内中标供应商须缴交人民币8万元的履约保证金（以银行保函、保险、金融机构或担保机构保函、汇票等非现金形式缴纳），履保证金在合同期满时无息退还。</w:t>
            </w:r>
          </w:p>
          <w:p w14:paraId="7801B0ED">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2.中标供应商在食材配送过程中如岀现需向采购人支付经济赔偿金、违约罚金等相关费用时，采购人可直接在每月食材配送结算金额中扣除，如金额不足以支时，差额部分中标供应商需另行向采购人支付。</w:t>
            </w:r>
          </w:p>
          <w:p w14:paraId="76346715">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3.中标供应商因违反合同约定给采购人造成重大影响或经济损失，由此所造成采购人的经济损失以及引致的法律责任由中标供应商承担。</w:t>
            </w:r>
          </w:p>
          <w:p w14:paraId="503DB591">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4.非采购人的原因而出现食材质量问题，由中标供应商负责包换或包退，并承担因此而产生的一切责任及费用。</w:t>
            </w:r>
          </w:p>
          <w:p w14:paraId="7CD7CBD2">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5.采购人对中标供应商食材配送工作进行不定期抽查考核，原则上每月考核一次。</w:t>
            </w:r>
          </w:p>
          <w:p w14:paraId="75418A03">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6.中标供应商有以下行为，经调查属实的，采购人将立即解除相关供应合同：</w:t>
            </w:r>
          </w:p>
          <w:p w14:paraId="71A984DD">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1）弄虚作假，提供虚假材料取得中标资格的；</w:t>
            </w:r>
          </w:p>
          <w:p w14:paraId="19C6A5F4">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2）因所供货物质量原因导致发生食品安全事故的；</w:t>
            </w:r>
          </w:p>
          <w:p w14:paraId="5E9AC312">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3）中标后将项目转包、分包行为的；</w:t>
            </w:r>
          </w:p>
          <w:p w14:paraId="10E9833B">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4）无正当理由拒绝履行合同向采购人供货的；</w:t>
            </w:r>
          </w:p>
          <w:p w14:paraId="16D9C69B">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5）有行贿、给回扣等不正当竞争行为的；</w:t>
            </w:r>
          </w:p>
          <w:p w14:paraId="0BCC6D11">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6）所供应食材存在故意假冒伪劣行为的；</w:t>
            </w:r>
          </w:p>
          <w:p w14:paraId="5520ABF8">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7）经营情况发生重大变化，已经不具备承接中标供应项目能力的；</w:t>
            </w:r>
          </w:p>
          <w:p w14:paraId="63BC38F7">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8）违反招标文件和合同相关管理规定，或有其它违法违纪行为的。</w:t>
            </w:r>
          </w:p>
        </w:tc>
      </w:tr>
      <w:tr w14:paraId="676B07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47" w:type="dxa"/>
            <w:shd w:val="clear" w:color="auto" w:fill="auto"/>
            <w:vAlign w:val="center"/>
          </w:tcPr>
          <w:p w14:paraId="4229A31B">
            <w:pPr>
              <w:spacing w:line="320" w:lineRule="exact"/>
              <w:jc w:val="center"/>
              <w:rPr>
                <w:rFonts w:hint="eastAsia" w:ascii="宋体" w:hAnsi="宋体" w:eastAsia="宋体" w:cs="Times New Roman"/>
                <w:b/>
                <w:bCs/>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Times New Roman"/>
                <w:b/>
                <w:bCs/>
                <w:color w:val="000000" w:themeColor="text1"/>
                <w:kern w:val="2"/>
                <w:sz w:val="21"/>
                <w:szCs w:val="24"/>
                <w:highlight w:val="none"/>
                <w:lang w:val="en-US" w:eastAsia="zh-CN" w:bidi="ar-SA"/>
                <w14:textFill>
                  <w14:solidFill>
                    <w14:schemeClr w14:val="tx1"/>
                  </w14:solidFill>
                </w14:textFill>
              </w:rPr>
              <w:t>退出机制</w:t>
            </w:r>
          </w:p>
        </w:tc>
        <w:tc>
          <w:tcPr>
            <w:tcW w:w="7253" w:type="dxa"/>
            <w:shd w:val="clear" w:color="auto" w:fill="auto"/>
            <w:vAlign w:val="center"/>
          </w:tcPr>
          <w:p w14:paraId="52335360">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1.主动退出</w:t>
            </w:r>
          </w:p>
          <w:p w14:paraId="0A8750A8">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供货商中标或选定后因各种原因无法履行合同或职责，中途主动退出的，需提前30日向学校提出书面申请。主动退出的供货商，自退出之日起3年内不能参加或提供我校食堂食品食材采购和配送。</w:t>
            </w:r>
          </w:p>
          <w:p w14:paraId="0C669AD0">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2.一票否决退出</w:t>
            </w:r>
          </w:p>
          <w:p w14:paraId="0AA21E43">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供货商在履行供货合同期间，如有以下情形之一的，我校可与供货商终止供货合同：</w:t>
            </w:r>
          </w:p>
          <w:p w14:paraId="757843D1">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1）因提供的食品食材问题而发生学校食品安全事故被相关部门认定，造成不良影响的；</w:t>
            </w:r>
          </w:p>
          <w:p w14:paraId="64BAF922">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2）供货商提供的食品食材被市场监管部门(或第三方抽检机构)抽检认定为存在质量问题或不合格的，一年内达两次或两次以上的；</w:t>
            </w:r>
          </w:p>
          <w:p w14:paraId="7280965C">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3）相关证照被行政主管部门吊销的；</w:t>
            </w:r>
          </w:p>
          <w:p w14:paraId="5DC0952A">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4）供应商因违规违纪行为，受到行业监督管理部门通报、查处的；</w:t>
            </w:r>
          </w:p>
          <w:p w14:paraId="3A47388C">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5）发生重大服务质量问题受到有关政府部门处罚的；</w:t>
            </w:r>
          </w:p>
          <w:p w14:paraId="666C3B57">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6）与他人串通，向学校主管人员或验收货人进行物质、金钱行贿的，损害国家利益、社会公共利益或师生合法权益的；</w:t>
            </w:r>
          </w:p>
          <w:p w14:paraId="4BE08CC4">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7）不能按学校要求的期限完成供货计划,因供应商的原因影响学校师生无法正常用餐的；</w:t>
            </w:r>
          </w:p>
          <w:p w14:paraId="19D43A66">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8）工作态度或服务态度不端正,学校提出书面整改(或警告)通知后仍未采取有效措施进行改善，累计达3次的；</w:t>
            </w:r>
          </w:p>
          <w:p w14:paraId="6CE8C62E">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9）无故推托或拒绝接受供货任务累计达3次的；</w:t>
            </w:r>
          </w:p>
          <w:p w14:paraId="42E44EEA">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10）供应商违反了诚实信用和投标承诺，没有严格执行相关质量、服务，损害学校或师生利益的；</w:t>
            </w:r>
          </w:p>
          <w:p w14:paraId="516477C3">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11）提供虚假信息，隐瞒、伪造、假借等弄虚作假的非法手段误导或欺骗采购人，以谋取非法利益的；</w:t>
            </w:r>
          </w:p>
          <w:p w14:paraId="492037F4">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12）拒绝接受相关部门和学校监督和检查的；</w:t>
            </w:r>
          </w:p>
          <w:p w14:paraId="6C0EF13B">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13）出现信用危机、财务危机、经营危机甚至破产、倒闭，无法继续履行合同的；</w:t>
            </w:r>
          </w:p>
          <w:p w14:paraId="2CD685A2">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14）因食品食材质量问题造成安全事故的；</w:t>
            </w:r>
          </w:p>
          <w:p w14:paraId="0C3B01B7">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15）提供假冒伪劣、过期产品的；</w:t>
            </w:r>
          </w:p>
          <w:p w14:paraId="2EBF9247">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16）检验检测报告造假的；</w:t>
            </w:r>
          </w:p>
          <w:p w14:paraId="114A010B">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17）出现供货商有联手哄抬物价现象的，因供货价虚高被投诉达3次或以上的；</w:t>
            </w:r>
          </w:p>
          <w:p w14:paraId="0020F251">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18）对履行合同条款不到位，我校提出书面整改(或警告)通知后仍未采取有效措施进行改善，累计达3次的；</w:t>
            </w:r>
          </w:p>
          <w:p w14:paraId="0640A522">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19）存在其他违反法律法规、行业管理规定等行为的。</w:t>
            </w:r>
          </w:p>
          <w:p w14:paraId="08BB3EE6">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3.勒令退出</w:t>
            </w:r>
          </w:p>
          <w:p w14:paraId="7244C83E">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1）中标或被选定后，供货商将标的转让、转包或委托他人配送的，一经查实，由学校约谈相关企业(个人)，限定时间整改，约谈2次以上(含2次)拒不整改的，取消其供货资格。2年内不能参加或提供学校食品食材采购和配送。</w:t>
            </w:r>
          </w:p>
          <w:p w14:paraId="471E3321">
            <w:pPr>
              <w:spacing w:line="320" w:lineRule="exact"/>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宋体"/>
                <w:b w:val="0"/>
                <w:bCs w:val="0"/>
                <w:color w:val="000000" w:themeColor="text1"/>
                <w:kern w:val="2"/>
                <w:sz w:val="21"/>
                <w:szCs w:val="24"/>
                <w:highlight w:val="none"/>
                <w:lang w:val="en-US" w:eastAsia="zh-CN" w:bidi="ar-SA"/>
                <w14:textFill>
                  <w14:solidFill>
                    <w14:schemeClr w14:val="tx1"/>
                  </w14:solidFill>
                </w14:textFill>
              </w:rPr>
              <w:t>2）在合同周期内，学校集中反映意见较大的供货商，由学校约谈相关企业(个人)，限定时间整改，约谈2次以上(含2次)拒不整改的，取消供货资格。2年内不能参加或提供学校食品食材采购和配送。</w:t>
            </w:r>
          </w:p>
        </w:tc>
      </w:tr>
    </w:tbl>
    <w:p w14:paraId="6963FF66">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DB65CB1">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2.技术标准与要求</w:t>
      </w:r>
    </w:p>
    <w:tbl>
      <w:tblPr>
        <w:tblStyle w:val="16"/>
        <w:tblW w:w="9530"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47"/>
        <w:gridCol w:w="922"/>
        <w:gridCol w:w="1313"/>
        <w:gridCol w:w="820"/>
        <w:gridCol w:w="826"/>
        <w:gridCol w:w="1266"/>
        <w:gridCol w:w="1266"/>
        <w:gridCol w:w="829"/>
        <w:gridCol w:w="820"/>
        <w:gridCol w:w="821"/>
      </w:tblGrid>
      <w:tr w14:paraId="6238DA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7" w:type="dxa"/>
            <w:vAlign w:val="center"/>
          </w:tcPr>
          <w:p w14:paraId="74E21275">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序号</w:t>
            </w:r>
          </w:p>
        </w:tc>
        <w:tc>
          <w:tcPr>
            <w:tcW w:w="922" w:type="dxa"/>
            <w:vAlign w:val="center"/>
          </w:tcPr>
          <w:p w14:paraId="6C1EA0A9">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品目名称</w:t>
            </w:r>
          </w:p>
        </w:tc>
        <w:tc>
          <w:tcPr>
            <w:tcW w:w="1313" w:type="dxa"/>
            <w:vAlign w:val="center"/>
          </w:tcPr>
          <w:p w14:paraId="7D760D57">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标的名称</w:t>
            </w:r>
          </w:p>
        </w:tc>
        <w:tc>
          <w:tcPr>
            <w:tcW w:w="820" w:type="dxa"/>
            <w:vAlign w:val="center"/>
          </w:tcPr>
          <w:p w14:paraId="0A696183">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单位</w:t>
            </w:r>
          </w:p>
        </w:tc>
        <w:tc>
          <w:tcPr>
            <w:tcW w:w="826" w:type="dxa"/>
            <w:vAlign w:val="center"/>
          </w:tcPr>
          <w:p w14:paraId="343AB05C">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数量</w:t>
            </w:r>
          </w:p>
        </w:tc>
        <w:tc>
          <w:tcPr>
            <w:tcW w:w="1266" w:type="dxa"/>
            <w:vAlign w:val="center"/>
          </w:tcPr>
          <w:p w14:paraId="4E314519">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分项预算单价（元）</w:t>
            </w:r>
          </w:p>
        </w:tc>
        <w:tc>
          <w:tcPr>
            <w:tcW w:w="1266" w:type="dxa"/>
            <w:vAlign w:val="center"/>
          </w:tcPr>
          <w:p w14:paraId="54178819">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分项预算总价（元）</w:t>
            </w:r>
          </w:p>
        </w:tc>
        <w:tc>
          <w:tcPr>
            <w:tcW w:w="829" w:type="dxa"/>
            <w:vAlign w:val="center"/>
          </w:tcPr>
          <w:p w14:paraId="5791214E">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权重%</w:t>
            </w:r>
          </w:p>
        </w:tc>
        <w:tc>
          <w:tcPr>
            <w:tcW w:w="820" w:type="dxa"/>
            <w:vAlign w:val="center"/>
          </w:tcPr>
          <w:p w14:paraId="2379B7EB">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所属行业</w:t>
            </w:r>
          </w:p>
        </w:tc>
        <w:tc>
          <w:tcPr>
            <w:tcW w:w="821" w:type="dxa"/>
            <w:vAlign w:val="center"/>
          </w:tcPr>
          <w:p w14:paraId="55EC4485">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技术要求</w:t>
            </w:r>
          </w:p>
        </w:tc>
      </w:tr>
      <w:tr w14:paraId="1F82E1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647" w:type="dxa"/>
            <w:vAlign w:val="center"/>
          </w:tcPr>
          <w:p w14:paraId="5D3F6042">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922" w:type="dxa"/>
            <w:vAlign w:val="center"/>
          </w:tcPr>
          <w:p w14:paraId="5FF59F50">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其他服务</w:t>
            </w:r>
          </w:p>
        </w:tc>
        <w:tc>
          <w:tcPr>
            <w:tcW w:w="1313" w:type="dxa"/>
            <w:vAlign w:val="center"/>
          </w:tcPr>
          <w:p w14:paraId="68A84F24">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阳江市阳东区合山镇第二小学食堂食材配送服务项目</w:t>
            </w:r>
          </w:p>
        </w:tc>
        <w:tc>
          <w:tcPr>
            <w:tcW w:w="820" w:type="dxa"/>
            <w:vAlign w:val="center"/>
          </w:tcPr>
          <w:p w14:paraId="6D966340">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w:t>
            </w:r>
          </w:p>
        </w:tc>
        <w:tc>
          <w:tcPr>
            <w:tcW w:w="826" w:type="dxa"/>
            <w:vAlign w:val="center"/>
          </w:tcPr>
          <w:p w14:paraId="4954E883">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w:t>
            </w:r>
          </w:p>
        </w:tc>
        <w:tc>
          <w:tcPr>
            <w:tcW w:w="1266" w:type="dxa"/>
            <w:vAlign w:val="center"/>
          </w:tcPr>
          <w:p w14:paraId="326E4002">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1620000.00</w:t>
            </w:r>
          </w:p>
        </w:tc>
        <w:tc>
          <w:tcPr>
            <w:tcW w:w="1266" w:type="dxa"/>
            <w:vAlign w:val="center"/>
          </w:tcPr>
          <w:p w14:paraId="534CCFA8">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1620000.00</w:t>
            </w:r>
          </w:p>
        </w:tc>
        <w:tc>
          <w:tcPr>
            <w:tcW w:w="829" w:type="dxa"/>
            <w:vAlign w:val="center"/>
          </w:tcPr>
          <w:p w14:paraId="248AC0B6">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100.0</w:t>
            </w:r>
          </w:p>
        </w:tc>
        <w:tc>
          <w:tcPr>
            <w:tcW w:w="820" w:type="dxa"/>
            <w:vAlign w:val="center"/>
          </w:tcPr>
          <w:p w14:paraId="49F526B6">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批发业</w:t>
            </w:r>
          </w:p>
        </w:tc>
        <w:tc>
          <w:tcPr>
            <w:tcW w:w="821" w:type="dxa"/>
            <w:vAlign w:val="center"/>
          </w:tcPr>
          <w:p w14:paraId="2939FFB1">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详见附表一</w:t>
            </w:r>
          </w:p>
        </w:tc>
      </w:tr>
    </w:tbl>
    <w:p w14:paraId="477BA39A">
      <w:pPr>
        <w:pStyle w:val="1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备注：最终综合总报价=（各产品报价×各项产品权重）的相加值</w:t>
      </w:r>
    </w:p>
    <w:p w14:paraId="6068D8B0">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249C275">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附表一：</w:t>
      </w:r>
      <w:r>
        <w:rPr>
          <w:rFonts w:hint="eastAsia" w:asciiTheme="minorEastAsia" w:hAnsiTheme="minorEastAsia" w:cstheme="minorEastAsia"/>
          <w:b/>
          <w:color w:val="000000" w:themeColor="text1"/>
          <w:sz w:val="21"/>
          <w:szCs w:val="21"/>
          <w:highlight w:val="none"/>
          <w:lang w:eastAsia="zh-CN"/>
          <w14:textFill>
            <w14:solidFill>
              <w14:schemeClr w14:val="tx1"/>
            </w14:solidFill>
          </w14:textFill>
        </w:rPr>
        <w:t>阳江市阳东区合山镇第二小学食堂食材配送服务项目</w:t>
      </w:r>
    </w:p>
    <w:tbl>
      <w:tblPr>
        <w:tblStyle w:val="16"/>
        <w:tblW w:w="10100"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34"/>
        <w:gridCol w:w="562"/>
        <w:gridCol w:w="8804"/>
      </w:tblGrid>
      <w:tr w14:paraId="4F6E2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34" w:type="dxa"/>
            <w:vAlign w:val="top"/>
          </w:tcPr>
          <w:p w14:paraId="14DDB5E6">
            <w:pPr>
              <w:pStyle w:val="19"/>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参数性质</w:t>
            </w:r>
          </w:p>
        </w:tc>
        <w:tc>
          <w:tcPr>
            <w:tcW w:w="562" w:type="dxa"/>
            <w:vAlign w:val="top"/>
          </w:tcPr>
          <w:p w14:paraId="5E7419F3">
            <w:pPr>
              <w:pStyle w:val="19"/>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8804" w:type="dxa"/>
            <w:vAlign w:val="top"/>
          </w:tcPr>
          <w:p w14:paraId="3D6324B2">
            <w:pPr>
              <w:pStyle w:val="19"/>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具体技术(参数)要求</w:t>
            </w:r>
          </w:p>
        </w:tc>
      </w:tr>
      <w:tr w14:paraId="348B59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34" w:type="dxa"/>
            <w:vAlign w:val="top"/>
          </w:tcPr>
          <w:p w14:paraId="6E8D9E06">
            <w:pPr>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562" w:type="dxa"/>
            <w:vAlign w:val="center"/>
          </w:tcPr>
          <w:p w14:paraId="475D4DE0">
            <w:pPr>
              <w:pStyle w:val="19"/>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8804" w:type="dxa"/>
            <w:vAlign w:val="top"/>
          </w:tcPr>
          <w:p w14:paraId="16276127">
            <w:pPr>
              <w:keepNext w:val="0"/>
              <w:keepLines w:val="0"/>
              <w:pageBreakBefore w:val="0"/>
              <w:kinsoku/>
              <w:wordWrap/>
              <w:overflowPunct/>
              <w:topLinePunct w:val="0"/>
              <w:autoSpaceDE/>
              <w:autoSpaceDN/>
              <w:bidi w:val="0"/>
              <w:spacing w:line="360" w:lineRule="auto"/>
              <w:ind w:right="-171"/>
              <w:textAlignment w:val="auto"/>
              <w:outlineLvl w:val="9"/>
              <w:rPr>
                <w:rFonts w:hint="eastAsia"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（一）肉类、腊味制品、瓜果疏菜、水产海鲜类。</w:t>
            </w:r>
          </w:p>
          <w:p w14:paraId="7D5DBBAE">
            <w:pPr>
              <w:keepNext w:val="0"/>
              <w:keepLines w:val="0"/>
              <w:pageBreakBefore w:val="0"/>
              <w:kinsoku/>
              <w:wordWrap/>
              <w:overflowPunct/>
              <w:topLinePunct w:val="0"/>
              <w:autoSpaceDE/>
              <w:autoSpaceDN/>
              <w:bidi w:val="0"/>
              <w:snapToGrid w:val="0"/>
              <w:spacing w:line="360" w:lineRule="auto"/>
              <w:textAlignment w:val="auto"/>
              <w:outlineLvl w:val="9"/>
              <w:rPr>
                <w:rFonts w:hint="eastAsia"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1、鲜肉（边猪）、家禽、鱼类基本要求</w:t>
            </w:r>
          </w:p>
          <w:p w14:paraId="16F6C44F">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a）所供货物应保持较好的外观和质量等级，严格遵守《动物检疫法》和《食物卫生法》等相关规定。符合国家食品部门的有关标准，保证无异味、无霉烂变质，肉类保证来源于正规肉联厂，供货时须提交肉联厂的验收单及当批次有效的动物检疫合格证复印件（原件备查），鲜肉确保每日新鲜、无异味。</w:t>
            </w:r>
          </w:p>
          <w:p w14:paraId="16F46CBA">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b）鲜肉[边猪（白条猪）]净重35KG以上，去头、去蹄、去板油、去内脏。</w:t>
            </w:r>
          </w:p>
          <w:p w14:paraId="6022B092">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c）鸡、鹅、鸭需去毛、去内脏。</w:t>
            </w:r>
          </w:p>
          <w:p w14:paraId="7CBCB1DF">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d）鱼类要求鱼眼睛清亮，角膜透明，鳞片上覆有冻结的透明黏液层，皮肤天然色泽明显。</w:t>
            </w:r>
          </w:p>
          <w:p w14:paraId="3FFC1D04">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e）所有货物规格符合采购人提交的日采购计划中明确的具体需求，所有的肉类产品不得有注水现象。</w:t>
            </w:r>
          </w:p>
          <w:p w14:paraId="19235234">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f）不得供应冷冻禽类、猪肉类食品。</w:t>
            </w:r>
          </w:p>
          <w:p w14:paraId="71C625E2">
            <w:pPr>
              <w:keepNext w:val="0"/>
              <w:keepLines w:val="0"/>
              <w:pageBreakBefore w:val="0"/>
              <w:kinsoku/>
              <w:wordWrap/>
              <w:overflowPunct/>
              <w:topLinePunct w:val="0"/>
              <w:autoSpaceDE/>
              <w:autoSpaceDN/>
              <w:bidi w:val="0"/>
              <w:snapToGrid w:val="0"/>
              <w:spacing w:line="360" w:lineRule="auto"/>
              <w:textAlignment w:val="auto"/>
              <w:outlineLvl w:val="9"/>
              <w:rPr>
                <w:rFonts w:hint="eastAsia"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2、腊味：</w:t>
            </w:r>
          </w:p>
          <w:p w14:paraId="3BE5A866">
            <w:pPr>
              <w:keepNext w:val="0"/>
              <w:keepLines w:val="0"/>
              <w:pageBreakBefore w:val="0"/>
              <w:kinsoku/>
              <w:wordWrap/>
              <w:overflowPunct/>
              <w:topLinePunct w:val="0"/>
              <w:autoSpaceDE/>
              <w:autoSpaceDN/>
              <w:bidi w:val="0"/>
              <w:snapToGrid w:val="0"/>
              <w:spacing w:line="360" w:lineRule="auto"/>
              <w:ind w:left="210" w:leftChars="100"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符合国家食品部门有关标准，色泽鲜明，肌肉暗红色，脂肪透明呈乳白色，肉干燥结实，带有固有的腊式香味。</w:t>
            </w:r>
          </w:p>
          <w:p w14:paraId="3D8EA535">
            <w:pPr>
              <w:keepNext w:val="0"/>
              <w:keepLines w:val="0"/>
              <w:pageBreakBefore w:val="0"/>
              <w:kinsoku/>
              <w:wordWrap/>
              <w:overflowPunct/>
              <w:topLinePunct w:val="0"/>
              <w:autoSpaceDE/>
              <w:autoSpaceDN/>
              <w:bidi w:val="0"/>
              <w:snapToGrid w:val="0"/>
              <w:spacing w:line="360" w:lineRule="auto"/>
              <w:textAlignment w:val="auto"/>
              <w:outlineLvl w:val="9"/>
              <w:rPr>
                <w:rFonts w:hint="eastAsia"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3、瓜果蔬菜</w:t>
            </w:r>
          </w:p>
          <w:p w14:paraId="5E538A92">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供应产品的质量要求：瓜、果、蔬菜必须是优质货品，不得含有残留农药或污染物，中标供应商必须保证所供应的蔬菜符合卫生质量标准，同时承担因所供蔬菜问题引起的一切事故后果。卫生质量指标，应符合我国无公害蔬菜上的卫生指标规定。</w:t>
            </w:r>
          </w:p>
          <w:tbl>
            <w:tblPr>
              <w:tblStyle w:val="16"/>
              <w:tblW w:w="6183" w:type="dxa"/>
              <w:jc w:val="center"/>
              <w:tblLayout w:type="fixed"/>
              <w:tblCellMar>
                <w:top w:w="0" w:type="dxa"/>
                <w:left w:w="0" w:type="dxa"/>
                <w:bottom w:w="0" w:type="dxa"/>
                <w:right w:w="0" w:type="dxa"/>
              </w:tblCellMar>
            </w:tblPr>
            <w:tblGrid>
              <w:gridCol w:w="2833"/>
              <w:gridCol w:w="3350"/>
            </w:tblGrid>
            <w:tr w14:paraId="351CFEF6">
              <w:tblPrEx>
                <w:tblCellMar>
                  <w:top w:w="0" w:type="dxa"/>
                  <w:left w:w="0" w:type="dxa"/>
                  <w:bottom w:w="0" w:type="dxa"/>
                  <w:right w:w="0" w:type="dxa"/>
                </w:tblCellMar>
              </w:tblPrEx>
              <w:trPr>
                <w:trHeight w:val="294" w:hRule="atLeast"/>
                <w:jc w:val="center"/>
              </w:trPr>
              <w:tc>
                <w:tcPr>
                  <w:tcW w:w="2833" w:type="dxa"/>
                  <w:tcBorders>
                    <w:top w:val="single" w:color="auto" w:sz="4" w:space="0"/>
                    <w:left w:val="single" w:color="auto" w:sz="4" w:space="0"/>
                    <w:bottom w:val="single" w:color="auto" w:sz="4" w:space="0"/>
                    <w:right w:val="single" w:color="auto" w:sz="4" w:space="0"/>
                  </w:tcBorders>
                  <w:noWrap w:val="0"/>
                  <w:vAlign w:val="center"/>
                </w:tcPr>
                <w:p w14:paraId="32D7A70B">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b/>
                      <w:bCs/>
                      <w:color w:val="000000" w:themeColor="text1"/>
                      <w:kern w:val="0"/>
                      <w:highlight w:val="none"/>
                      <w14:textFill>
                        <w14:solidFill>
                          <w14:schemeClr w14:val="tx1"/>
                        </w14:solidFill>
                      </w14:textFill>
                    </w:rPr>
                  </w:pPr>
                  <w:r>
                    <w:rPr>
                      <w:rFonts w:hint="eastAsia" w:ascii="宋体" w:hAnsi="宋体"/>
                      <w:b/>
                      <w:bCs/>
                      <w:color w:val="000000" w:themeColor="text1"/>
                      <w:kern w:val="0"/>
                      <w:highlight w:val="none"/>
                      <w14:textFill>
                        <w14:solidFill>
                          <w14:schemeClr w14:val="tx1"/>
                        </w14:solidFill>
                      </w14:textFill>
                    </w:rPr>
                    <w:t>项目</w:t>
                  </w:r>
                </w:p>
              </w:tc>
              <w:tc>
                <w:tcPr>
                  <w:tcW w:w="3350" w:type="dxa"/>
                  <w:tcBorders>
                    <w:top w:val="single" w:color="auto" w:sz="4" w:space="0"/>
                    <w:left w:val="nil"/>
                    <w:bottom w:val="single" w:color="auto" w:sz="4" w:space="0"/>
                    <w:right w:val="single" w:color="auto" w:sz="4" w:space="0"/>
                  </w:tcBorders>
                  <w:noWrap w:val="0"/>
                  <w:vAlign w:val="center"/>
                </w:tcPr>
                <w:p w14:paraId="4EE3ADF5">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b/>
                      <w:bCs/>
                      <w:color w:val="000000" w:themeColor="text1"/>
                      <w:kern w:val="0"/>
                      <w:highlight w:val="none"/>
                      <w14:textFill>
                        <w14:solidFill>
                          <w14:schemeClr w14:val="tx1"/>
                        </w14:solidFill>
                      </w14:textFill>
                    </w:rPr>
                  </w:pPr>
                  <w:r>
                    <w:rPr>
                      <w:rFonts w:hint="eastAsia" w:ascii="宋体" w:hAnsi="宋体"/>
                      <w:b/>
                      <w:bCs/>
                      <w:color w:val="000000" w:themeColor="text1"/>
                      <w:kern w:val="0"/>
                      <w:highlight w:val="none"/>
                      <w14:textFill>
                        <w14:solidFill>
                          <w14:schemeClr w14:val="tx1"/>
                        </w14:solidFill>
                      </w14:textFill>
                    </w:rPr>
                    <w:t>指标（</w:t>
                  </w:r>
                  <w:r>
                    <w:rPr>
                      <w:rFonts w:hint="eastAsia" w:ascii="宋体" w:hAnsi="宋体"/>
                      <w:b/>
                      <w:bCs/>
                      <w:color w:val="000000" w:themeColor="text1"/>
                      <w:highlight w:val="none"/>
                      <w14:textFill>
                        <w14:solidFill>
                          <w14:schemeClr w14:val="tx1"/>
                        </w14:solidFill>
                      </w14:textFill>
                    </w:rPr>
                    <w:t>mg/kg</w:t>
                  </w:r>
                  <w:r>
                    <w:rPr>
                      <w:rFonts w:hint="eastAsia" w:ascii="宋体" w:hAnsi="宋体"/>
                      <w:b/>
                      <w:bCs/>
                      <w:color w:val="000000" w:themeColor="text1"/>
                      <w:kern w:val="0"/>
                      <w:highlight w:val="none"/>
                      <w14:textFill>
                        <w14:solidFill>
                          <w14:schemeClr w14:val="tx1"/>
                        </w14:solidFill>
                      </w14:textFill>
                    </w:rPr>
                    <w:t>）</w:t>
                  </w:r>
                </w:p>
              </w:tc>
            </w:tr>
            <w:tr w14:paraId="373AF29B">
              <w:tblPrEx>
                <w:tblCellMar>
                  <w:top w:w="0" w:type="dxa"/>
                  <w:left w:w="0" w:type="dxa"/>
                  <w:bottom w:w="0" w:type="dxa"/>
                  <w:right w:w="0" w:type="dxa"/>
                </w:tblCellMar>
              </w:tblPrEx>
              <w:trPr>
                <w:trHeight w:val="458" w:hRule="atLeast"/>
                <w:jc w:val="center"/>
              </w:trPr>
              <w:tc>
                <w:tcPr>
                  <w:tcW w:w="2833" w:type="dxa"/>
                  <w:tcBorders>
                    <w:top w:val="single" w:color="auto" w:sz="4" w:space="0"/>
                    <w:left w:val="single" w:color="auto" w:sz="4" w:space="0"/>
                    <w:bottom w:val="single" w:color="auto" w:sz="4" w:space="0"/>
                    <w:right w:val="single" w:color="auto" w:sz="4" w:space="0"/>
                  </w:tcBorders>
                  <w:noWrap w:val="0"/>
                  <w:vAlign w:val="top"/>
                </w:tcPr>
                <w:p w14:paraId="71F8F88B">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甲胺磷</w:t>
                  </w:r>
                </w:p>
              </w:tc>
              <w:tc>
                <w:tcPr>
                  <w:tcW w:w="3350" w:type="dxa"/>
                  <w:tcBorders>
                    <w:top w:val="single" w:color="auto" w:sz="4" w:space="0"/>
                    <w:left w:val="nil"/>
                    <w:bottom w:val="single" w:color="auto" w:sz="4" w:space="0"/>
                    <w:right w:val="single" w:color="auto" w:sz="4" w:space="0"/>
                  </w:tcBorders>
                  <w:noWrap w:val="0"/>
                  <w:vAlign w:val="center"/>
                </w:tcPr>
                <w:p w14:paraId="463AF9C5">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不得检出</w:t>
                  </w:r>
                </w:p>
              </w:tc>
            </w:tr>
            <w:tr w14:paraId="00E5F4FB">
              <w:tblPrEx>
                <w:tblCellMar>
                  <w:top w:w="0" w:type="dxa"/>
                  <w:left w:w="0" w:type="dxa"/>
                  <w:bottom w:w="0" w:type="dxa"/>
                  <w:right w:w="0" w:type="dxa"/>
                </w:tblCellMar>
              </w:tblPrEx>
              <w:trPr>
                <w:trHeight w:val="458" w:hRule="atLeast"/>
                <w:jc w:val="center"/>
              </w:trPr>
              <w:tc>
                <w:tcPr>
                  <w:tcW w:w="2833" w:type="dxa"/>
                  <w:tcBorders>
                    <w:top w:val="single" w:color="auto" w:sz="4" w:space="0"/>
                    <w:left w:val="single" w:color="auto" w:sz="4" w:space="0"/>
                    <w:bottom w:val="single" w:color="auto" w:sz="4" w:space="0"/>
                    <w:right w:val="single" w:color="auto" w:sz="4" w:space="0"/>
                  </w:tcBorders>
                  <w:noWrap w:val="0"/>
                  <w:vAlign w:val="top"/>
                </w:tcPr>
                <w:p w14:paraId="03E42300">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甲拌磷</w:t>
                  </w:r>
                </w:p>
              </w:tc>
              <w:tc>
                <w:tcPr>
                  <w:tcW w:w="3350" w:type="dxa"/>
                  <w:tcBorders>
                    <w:top w:val="single" w:color="auto" w:sz="4" w:space="0"/>
                    <w:left w:val="nil"/>
                    <w:bottom w:val="single" w:color="auto" w:sz="4" w:space="0"/>
                    <w:right w:val="single" w:color="auto" w:sz="4" w:space="0"/>
                  </w:tcBorders>
                  <w:noWrap w:val="0"/>
                  <w:vAlign w:val="center"/>
                </w:tcPr>
                <w:p w14:paraId="6FACA384">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不得检出</w:t>
                  </w:r>
                </w:p>
              </w:tc>
            </w:tr>
            <w:tr w14:paraId="3FCEFCCB">
              <w:tblPrEx>
                <w:tblCellMar>
                  <w:top w:w="0" w:type="dxa"/>
                  <w:left w:w="0" w:type="dxa"/>
                  <w:bottom w:w="0" w:type="dxa"/>
                  <w:right w:w="0" w:type="dxa"/>
                </w:tblCellMar>
              </w:tblPrEx>
              <w:trPr>
                <w:trHeight w:val="458" w:hRule="atLeast"/>
                <w:jc w:val="center"/>
              </w:trPr>
              <w:tc>
                <w:tcPr>
                  <w:tcW w:w="2833" w:type="dxa"/>
                  <w:tcBorders>
                    <w:top w:val="single" w:color="auto" w:sz="4" w:space="0"/>
                    <w:left w:val="single" w:color="auto" w:sz="4" w:space="0"/>
                    <w:bottom w:val="single" w:color="auto" w:sz="4" w:space="0"/>
                    <w:right w:val="single" w:color="auto" w:sz="4" w:space="0"/>
                  </w:tcBorders>
                  <w:noWrap w:val="0"/>
                  <w:vAlign w:val="top"/>
                </w:tcPr>
                <w:p w14:paraId="0C44019C">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氧化乐果</w:t>
                  </w:r>
                </w:p>
              </w:tc>
              <w:tc>
                <w:tcPr>
                  <w:tcW w:w="3350" w:type="dxa"/>
                  <w:tcBorders>
                    <w:top w:val="single" w:color="auto" w:sz="4" w:space="0"/>
                    <w:left w:val="nil"/>
                    <w:bottom w:val="single" w:color="auto" w:sz="4" w:space="0"/>
                    <w:right w:val="single" w:color="auto" w:sz="4" w:space="0"/>
                  </w:tcBorders>
                  <w:noWrap w:val="0"/>
                  <w:vAlign w:val="center"/>
                </w:tcPr>
                <w:p w14:paraId="63A420BF">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不得检出</w:t>
                  </w:r>
                </w:p>
              </w:tc>
            </w:tr>
            <w:tr w14:paraId="68DFA7B0">
              <w:tblPrEx>
                <w:tblCellMar>
                  <w:top w:w="0" w:type="dxa"/>
                  <w:left w:w="0" w:type="dxa"/>
                  <w:bottom w:w="0" w:type="dxa"/>
                  <w:right w:w="0" w:type="dxa"/>
                </w:tblCellMar>
              </w:tblPrEx>
              <w:trPr>
                <w:trHeight w:val="458" w:hRule="atLeast"/>
                <w:jc w:val="center"/>
              </w:trPr>
              <w:tc>
                <w:tcPr>
                  <w:tcW w:w="2833" w:type="dxa"/>
                  <w:tcBorders>
                    <w:top w:val="single" w:color="auto" w:sz="4" w:space="0"/>
                    <w:left w:val="single" w:color="auto" w:sz="4" w:space="0"/>
                    <w:bottom w:val="single" w:color="auto" w:sz="4" w:space="0"/>
                    <w:right w:val="single" w:color="auto" w:sz="4" w:space="0"/>
                  </w:tcBorders>
                  <w:noWrap w:val="0"/>
                  <w:vAlign w:val="top"/>
                </w:tcPr>
                <w:p w14:paraId="4FA8DF90">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甲基对硫磷</w:t>
                  </w:r>
                </w:p>
              </w:tc>
              <w:tc>
                <w:tcPr>
                  <w:tcW w:w="3350" w:type="dxa"/>
                  <w:tcBorders>
                    <w:top w:val="single" w:color="auto" w:sz="4" w:space="0"/>
                    <w:left w:val="nil"/>
                    <w:bottom w:val="single" w:color="auto" w:sz="4" w:space="0"/>
                    <w:right w:val="single" w:color="auto" w:sz="4" w:space="0"/>
                  </w:tcBorders>
                  <w:noWrap w:val="0"/>
                  <w:vAlign w:val="center"/>
                </w:tcPr>
                <w:p w14:paraId="188DD59B">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不得检出</w:t>
                  </w:r>
                </w:p>
              </w:tc>
            </w:tr>
            <w:tr w14:paraId="23A530D3">
              <w:tblPrEx>
                <w:tblCellMar>
                  <w:top w:w="0" w:type="dxa"/>
                  <w:left w:w="0" w:type="dxa"/>
                  <w:bottom w:w="0" w:type="dxa"/>
                  <w:right w:w="0" w:type="dxa"/>
                </w:tblCellMar>
              </w:tblPrEx>
              <w:trPr>
                <w:trHeight w:val="443" w:hRule="atLeast"/>
                <w:jc w:val="center"/>
              </w:trPr>
              <w:tc>
                <w:tcPr>
                  <w:tcW w:w="2833" w:type="dxa"/>
                  <w:tcBorders>
                    <w:top w:val="single" w:color="auto" w:sz="4" w:space="0"/>
                    <w:left w:val="single" w:color="auto" w:sz="4" w:space="0"/>
                    <w:bottom w:val="single" w:color="auto" w:sz="4" w:space="0"/>
                    <w:right w:val="single" w:color="auto" w:sz="4" w:space="0"/>
                  </w:tcBorders>
                  <w:noWrap w:val="0"/>
                  <w:vAlign w:val="top"/>
                </w:tcPr>
                <w:p w14:paraId="278C47EA">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呋喃丹</w:t>
                  </w:r>
                </w:p>
              </w:tc>
              <w:tc>
                <w:tcPr>
                  <w:tcW w:w="3350" w:type="dxa"/>
                  <w:tcBorders>
                    <w:top w:val="single" w:color="auto" w:sz="4" w:space="0"/>
                    <w:left w:val="nil"/>
                    <w:bottom w:val="single" w:color="auto" w:sz="4" w:space="0"/>
                    <w:right w:val="single" w:color="auto" w:sz="4" w:space="0"/>
                  </w:tcBorders>
                  <w:noWrap w:val="0"/>
                  <w:vAlign w:val="center"/>
                </w:tcPr>
                <w:p w14:paraId="54A2C210">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不得检出</w:t>
                  </w:r>
                </w:p>
              </w:tc>
            </w:tr>
            <w:tr w14:paraId="073C7931">
              <w:tblPrEx>
                <w:tblCellMar>
                  <w:top w:w="0" w:type="dxa"/>
                  <w:left w:w="0" w:type="dxa"/>
                  <w:bottom w:w="0" w:type="dxa"/>
                  <w:right w:w="0" w:type="dxa"/>
                </w:tblCellMar>
              </w:tblPrEx>
              <w:trPr>
                <w:trHeight w:val="458" w:hRule="atLeast"/>
                <w:jc w:val="center"/>
              </w:trPr>
              <w:tc>
                <w:tcPr>
                  <w:tcW w:w="2833" w:type="dxa"/>
                  <w:tcBorders>
                    <w:top w:val="single" w:color="auto" w:sz="4" w:space="0"/>
                    <w:left w:val="single" w:color="auto" w:sz="4" w:space="0"/>
                    <w:bottom w:val="single" w:color="auto" w:sz="4" w:space="0"/>
                    <w:right w:val="single" w:color="auto" w:sz="4" w:space="0"/>
                  </w:tcBorders>
                  <w:noWrap w:val="0"/>
                  <w:vAlign w:val="top"/>
                </w:tcPr>
                <w:p w14:paraId="1E9D919A">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百菌清</w:t>
                  </w:r>
                </w:p>
              </w:tc>
              <w:tc>
                <w:tcPr>
                  <w:tcW w:w="3350" w:type="dxa"/>
                  <w:tcBorders>
                    <w:top w:val="single" w:color="auto" w:sz="4" w:space="0"/>
                    <w:left w:val="nil"/>
                    <w:bottom w:val="single" w:color="auto" w:sz="4" w:space="0"/>
                    <w:right w:val="single" w:color="auto" w:sz="4" w:space="0"/>
                  </w:tcBorders>
                  <w:noWrap w:val="0"/>
                  <w:vAlign w:val="center"/>
                </w:tcPr>
                <w:p w14:paraId="398CF5D1">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≤1.0</w:t>
                  </w:r>
                </w:p>
              </w:tc>
            </w:tr>
            <w:tr w14:paraId="5EED3EFF">
              <w:tblPrEx>
                <w:tblCellMar>
                  <w:top w:w="0" w:type="dxa"/>
                  <w:left w:w="0" w:type="dxa"/>
                  <w:bottom w:w="0" w:type="dxa"/>
                  <w:right w:w="0" w:type="dxa"/>
                </w:tblCellMar>
              </w:tblPrEx>
              <w:trPr>
                <w:trHeight w:val="458" w:hRule="atLeast"/>
                <w:jc w:val="center"/>
              </w:trPr>
              <w:tc>
                <w:tcPr>
                  <w:tcW w:w="2833" w:type="dxa"/>
                  <w:tcBorders>
                    <w:top w:val="single" w:color="auto" w:sz="4" w:space="0"/>
                    <w:left w:val="single" w:color="auto" w:sz="4" w:space="0"/>
                    <w:bottom w:val="single" w:color="auto" w:sz="4" w:space="0"/>
                    <w:right w:val="single" w:color="auto" w:sz="4" w:space="0"/>
                  </w:tcBorders>
                  <w:noWrap w:val="0"/>
                  <w:vAlign w:val="top"/>
                </w:tcPr>
                <w:p w14:paraId="30CABF98">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多菌灵</w:t>
                  </w:r>
                </w:p>
              </w:tc>
              <w:tc>
                <w:tcPr>
                  <w:tcW w:w="3350" w:type="dxa"/>
                  <w:tcBorders>
                    <w:top w:val="single" w:color="auto" w:sz="4" w:space="0"/>
                    <w:left w:val="nil"/>
                    <w:bottom w:val="single" w:color="auto" w:sz="4" w:space="0"/>
                    <w:right w:val="single" w:color="auto" w:sz="4" w:space="0"/>
                  </w:tcBorders>
                  <w:noWrap w:val="0"/>
                  <w:vAlign w:val="center"/>
                </w:tcPr>
                <w:p w14:paraId="67CEAD15">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≤0.5</w:t>
                  </w:r>
                </w:p>
              </w:tc>
            </w:tr>
            <w:tr w14:paraId="677B71A7">
              <w:tblPrEx>
                <w:tblCellMar>
                  <w:top w:w="0" w:type="dxa"/>
                  <w:left w:w="0" w:type="dxa"/>
                  <w:bottom w:w="0" w:type="dxa"/>
                  <w:right w:w="0" w:type="dxa"/>
                </w:tblCellMar>
              </w:tblPrEx>
              <w:trPr>
                <w:trHeight w:val="458" w:hRule="atLeast"/>
                <w:jc w:val="center"/>
              </w:trPr>
              <w:tc>
                <w:tcPr>
                  <w:tcW w:w="2833" w:type="dxa"/>
                  <w:tcBorders>
                    <w:top w:val="single" w:color="auto" w:sz="4" w:space="0"/>
                    <w:left w:val="single" w:color="auto" w:sz="4" w:space="0"/>
                    <w:bottom w:val="single" w:color="auto" w:sz="4" w:space="0"/>
                    <w:right w:val="single" w:color="auto" w:sz="4" w:space="0"/>
                  </w:tcBorders>
                  <w:noWrap w:val="0"/>
                  <w:vAlign w:val="top"/>
                </w:tcPr>
                <w:p w14:paraId="416FFE31">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汞（以Hg计）</w:t>
                  </w:r>
                </w:p>
              </w:tc>
              <w:tc>
                <w:tcPr>
                  <w:tcW w:w="3350" w:type="dxa"/>
                  <w:tcBorders>
                    <w:top w:val="single" w:color="auto" w:sz="4" w:space="0"/>
                    <w:left w:val="nil"/>
                    <w:bottom w:val="single" w:color="auto" w:sz="4" w:space="0"/>
                    <w:right w:val="single" w:color="auto" w:sz="4" w:space="0"/>
                  </w:tcBorders>
                  <w:noWrap w:val="0"/>
                  <w:vAlign w:val="center"/>
                </w:tcPr>
                <w:p w14:paraId="3C84BA3A">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kern w:val="0"/>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≤0.01</w:t>
                  </w:r>
                </w:p>
              </w:tc>
            </w:tr>
            <w:tr w14:paraId="5838C0ED">
              <w:tblPrEx>
                <w:tblCellMar>
                  <w:top w:w="0" w:type="dxa"/>
                  <w:left w:w="0" w:type="dxa"/>
                  <w:bottom w:w="0" w:type="dxa"/>
                  <w:right w:w="0" w:type="dxa"/>
                </w:tblCellMar>
              </w:tblPrEx>
              <w:trPr>
                <w:trHeight w:val="458" w:hRule="atLeast"/>
                <w:jc w:val="center"/>
              </w:trPr>
              <w:tc>
                <w:tcPr>
                  <w:tcW w:w="2833" w:type="dxa"/>
                  <w:tcBorders>
                    <w:top w:val="single" w:color="auto" w:sz="4" w:space="0"/>
                    <w:left w:val="single" w:color="auto" w:sz="4" w:space="0"/>
                    <w:bottom w:val="single" w:color="auto" w:sz="4" w:space="0"/>
                    <w:right w:val="single" w:color="auto" w:sz="4" w:space="0"/>
                  </w:tcBorders>
                  <w:noWrap w:val="0"/>
                  <w:vAlign w:val="top"/>
                </w:tcPr>
                <w:p w14:paraId="2B5DB831">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铅（以Pb计）</w:t>
                  </w:r>
                </w:p>
              </w:tc>
              <w:tc>
                <w:tcPr>
                  <w:tcW w:w="3350" w:type="dxa"/>
                  <w:tcBorders>
                    <w:top w:val="single" w:color="auto" w:sz="4" w:space="0"/>
                    <w:left w:val="nil"/>
                    <w:bottom w:val="single" w:color="auto" w:sz="4" w:space="0"/>
                    <w:right w:val="single" w:color="auto" w:sz="4" w:space="0"/>
                  </w:tcBorders>
                  <w:noWrap w:val="0"/>
                  <w:vAlign w:val="center"/>
                </w:tcPr>
                <w:p w14:paraId="1A92DE31">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≤0.2</w:t>
                  </w:r>
                </w:p>
              </w:tc>
            </w:tr>
            <w:tr w14:paraId="14F25ADE">
              <w:tblPrEx>
                <w:tblCellMar>
                  <w:top w:w="0" w:type="dxa"/>
                  <w:left w:w="0" w:type="dxa"/>
                  <w:bottom w:w="0" w:type="dxa"/>
                  <w:right w:w="0" w:type="dxa"/>
                </w:tblCellMar>
              </w:tblPrEx>
              <w:trPr>
                <w:trHeight w:val="458" w:hRule="atLeast"/>
                <w:jc w:val="center"/>
              </w:trPr>
              <w:tc>
                <w:tcPr>
                  <w:tcW w:w="2833" w:type="dxa"/>
                  <w:tcBorders>
                    <w:top w:val="single" w:color="auto" w:sz="4" w:space="0"/>
                    <w:left w:val="single" w:color="auto" w:sz="4" w:space="0"/>
                    <w:bottom w:val="single" w:color="auto" w:sz="4" w:space="0"/>
                    <w:right w:val="single" w:color="auto" w:sz="4" w:space="0"/>
                  </w:tcBorders>
                  <w:noWrap w:val="0"/>
                  <w:vAlign w:val="top"/>
                </w:tcPr>
                <w:p w14:paraId="7F408477">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砷（以As计）</w:t>
                  </w:r>
                </w:p>
              </w:tc>
              <w:tc>
                <w:tcPr>
                  <w:tcW w:w="3350" w:type="dxa"/>
                  <w:tcBorders>
                    <w:top w:val="single" w:color="auto" w:sz="4" w:space="0"/>
                    <w:left w:val="nil"/>
                    <w:bottom w:val="single" w:color="auto" w:sz="4" w:space="0"/>
                    <w:right w:val="single" w:color="auto" w:sz="4" w:space="0"/>
                  </w:tcBorders>
                  <w:noWrap w:val="0"/>
                  <w:vAlign w:val="center"/>
                </w:tcPr>
                <w:p w14:paraId="04D15F5C">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≤0.5</w:t>
                  </w:r>
                </w:p>
              </w:tc>
            </w:tr>
            <w:tr w14:paraId="5A9A2894">
              <w:tblPrEx>
                <w:tblCellMar>
                  <w:top w:w="0" w:type="dxa"/>
                  <w:left w:w="0" w:type="dxa"/>
                  <w:bottom w:w="0" w:type="dxa"/>
                  <w:right w:w="0" w:type="dxa"/>
                </w:tblCellMar>
              </w:tblPrEx>
              <w:trPr>
                <w:trHeight w:val="458" w:hRule="atLeast"/>
                <w:jc w:val="center"/>
              </w:trPr>
              <w:tc>
                <w:tcPr>
                  <w:tcW w:w="2833" w:type="dxa"/>
                  <w:tcBorders>
                    <w:top w:val="single" w:color="auto" w:sz="4" w:space="0"/>
                    <w:left w:val="single" w:color="auto" w:sz="4" w:space="0"/>
                    <w:bottom w:val="single" w:color="auto" w:sz="4" w:space="0"/>
                    <w:right w:val="single" w:color="auto" w:sz="4" w:space="0"/>
                  </w:tcBorders>
                  <w:noWrap w:val="0"/>
                  <w:vAlign w:val="top"/>
                </w:tcPr>
                <w:p w14:paraId="4B2527B2">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氟（以F计）</w:t>
                  </w:r>
                </w:p>
              </w:tc>
              <w:tc>
                <w:tcPr>
                  <w:tcW w:w="3350" w:type="dxa"/>
                  <w:tcBorders>
                    <w:top w:val="single" w:color="auto" w:sz="4" w:space="0"/>
                    <w:left w:val="nil"/>
                    <w:bottom w:val="single" w:color="auto" w:sz="4" w:space="0"/>
                    <w:right w:val="single" w:color="auto" w:sz="4" w:space="0"/>
                  </w:tcBorders>
                  <w:noWrap w:val="0"/>
                  <w:vAlign w:val="center"/>
                </w:tcPr>
                <w:p w14:paraId="138C8FEB">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≤0.5</w:t>
                  </w:r>
                </w:p>
              </w:tc>
            </w:tr>
            <w:tr w14:paraId="1087CE2A">
              <w:tblPrEx>
                <w:tblCellMar>
                  <w:top w:w="0" w:type="dxa"/>
                  <w:left w:w="0" w:type="dxa"/>
                  <w:bottom w:w="0" w:type="dxa"/>
                  <w:right w:w="0" w:type="dxa"/>
                </w:tblCellMar>
              </w:tblPrEx>
              <w:trPr>
                <w:trHeight w:val="458" w:hRule="atLeast"/>
                <w:jc w:val="center"/>
              </w:trPr>
              <w:tc>
                <w:tcPr>
                  <w:tcW w:w="2833" w:type="dxa"/>
                  <w:tcBorders>
                    <w:top w:val="single" w:color="auto" w:sz="4" w:space="0"/>
                    <w:left w:val="single" w:color="auto" w:sz="4" w:space="0"/>
                    <w:bottom w:val="single" w:color="auto" w:sz="4" w:space="0"/>
                    <w:right w:val="single" w:color="auto" w:sz="4" w:space="0"/>
                  </w:tcBorders>
                  <w:noWrap w:val="0"/>
                  <w:vAlign w:val="top"/>
                </w:tcPr>
                <w:p w14:paraId="53E1E5DE">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硝酸盐（以NaNO3计）</w:t>
                  </w:r>
                </w:p>
              </w:tc>
              <w:tc>
                <w:tcPr>
                  <w:tcW w:w="3350" w:type="dxa"/>
                  <w:tcBorders>
                    <w:top w:val="single" w:color="auto" w:sz="4" w:space="0"/>
                    <w:left w:val="nil"/>
                    <w:bottom w:val="single" w:color="auto" w:sz="4" w:space="0"/>
                    <w:right w:val="single" w:color="auto" w:sz="4" w:space="0"/>
                  </w:tcBorders>
                  <w:noWrap w:val="0"/>
                  <w:vAlign w:val="center"/>
                </w:tcPr>
                <w:p w14:paraId="6CF4DE59">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瓜果类≤600；叶菜根茎类≤1200</w:t>
                  </w:r>
                </w:p>
              </w:tc>
            </w:tr>
            <w:tr w14:paraId="248B11E9">
              <w:tblPrEx>
                <w:tblCellMar>
                  <w:top w:w="0" w:type="dxa"/>
                  <w:left w:w="0" w:type="dxa"/>
                  <w:bottom w:w="0" w:type="dxa"/>
                  <w:right w:w="0" w:type="dxa"/>
                </w:tblCellMar>
              </w:tblPrEx>
              <w:trPr>
                <w:trHeight w:val="458" w:hRule="atLeast"/>
                <w:jc w:val="center"/>
              </w:trPr>
              <w:tc>
                <w:tcPr>
                  <w:tcW w:w="2833" w:type="dxa"/>
                  <w:tcBorders>
                    <w:top w:val="single" w:color="auto" w:sz="4" w:space="0"/>
                    <w:left w:val="single" w:color="auto" w:sz="4" w:space="0"/>
                    <w:bottom w:val="single" w:color="auto" w:sz="4" w:space="0"/>
                    <w:right w:val="single" w:color="auto" w:sz="4" w:space="0"/>
                  </w:tcBorders>
                  <w:noWrap w:val="0"/>
                  <w:vAlign w:val="top"/>
                </w:tcPr>
                <w:p w14:paraId="6DAA6786">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亚硝酸盐（以NaNO2计）</w:t>
                  </w:r>
                </w:p>
              </w:tc>
              <w:tc>
                <w:tcPr>
                  <w:tcW w:w="3350" w:type="dxa"/>
                  <w:tcBorders>
                    <w:top w:val="single" w:color="auto" w:sz="4" w:space="0"/>
                    <w:left w:val="nil"/>
                    <w:bottom w:val="single" w:color="auto" w:sz="4" w:space="0"/>
                    <w:right w:val="single" w:color="auto" w:sz="4" w:space="0"/>
                  </w:tcBorders>
                  <w:noWrap w:val="0"/>
                  <w:vAlign w:val="center"/>
                </w:tcPr>
                <w:p w14:paraId="7E37A9A5">
                  <w:pPr>
                    <w:keepNext w:val="0"/>
                    <w:keepLines w:val="0"/>
                    <w:pageBreakBefore w:val="0"/>
                    <w:widowControl/>
                    <w:kinsoku/>
                    <w:wordWrap/>
                    <w:overflowPunct/>
                    <w:topLinePunct w:val="0"/>
                    <w:autoSpaceDE/>
                    <w:autoSpaceDN/>
                    <w:bidi w:val="0"/>
                    <w:spacing w:line="360" w:lineRule="auto"/>
                    <w:jc w:val="center"/>
                    <w:textAlignment w:val="auto"/>
                    <w:outlineLvl w:val="9"/>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≤4</w:t>
                  </w:r>
                </w:p>
              </w:tc>
            </w:tr>
          </w:tbl>
          <w:p w14:paraId="2E11AB7F">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（2）具体感观要求：</w:t>
            </w:r>
          </w:p>
          <w:p w14:paraId="5B1241A0">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从蔬菜色泽看，各种蔬菜都应具有本品种固有的颜色，大多数有发亮的光泽，以此显示蔬菜的成熟度及鲜嫩程度；</w:t>
            </w:r>
          </w:p>
          <w:p w14:paraId="17337104">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从蔬菜气味看，多数蔬菜具有清馨、甘辛香、甜酸香等气味，可凭嗅觉识别不同品种的质量，不允许有腐烂变质的亚硝酸盐味和其他异常气味；</w:t>
            </w:r>
          </w:p>
          <w:p w14:paraId="30BF1E47">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从蔬菜滋味看，因品种不同而各异，多数蔬菜滋味甘淡、甜酸、清爽鲜美，少数具有辛酸、苦涩等特殊风味以刺激食欲，如失去本品种原有的滋味即为异常；</w:t>
            </w:r>
          </w:p>
          <w:p w14:paraId="55789C2F">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从蔬菜形态看，应尽量避免由于客观因素而造成的各种非正常、不新鲜的蔬菜，例如萎蔫、枯塌、损伤、病变、虫害侵蚀等引起的形态异常等。</w:t>
            </w:r>
          </w:p>
          <w:p w14:paraId="1A587003">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 xml:space="preserve">叶菜类： </w:t>
            </w:r>
          </w:p>
          <w:p w14:paraId="0C162C15">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属同一品种规格，肉质鲜嫩形态好，色泽正常，茎基部削平，无枯黄叶、病叶、泥土、明显机械伤和病虫害伤，无烧心焦边、腐烂等现象，无抽苔（菜心除外），无畸形、异味，结球叶菜要结球适度，花椰菜应新鲜洁白，不带叶麸，无畸形花。</w:t>
            </w:r>
          </w:p>
          <w:p w14:paraId="5576A129">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茄果类： </w:t>
            </w:r>
          </w:p>
          <w:p w14:paraId="565B057F">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属同一品种规格，果实整洁，成熟度适中，番茄花蒂不明显，无裂果及空洞现象，茄果不能有裂蒂及果皮变硬现象，无腐烂、畸形、异味，无明显机械伤。</w:t>
            </w:r>
          </w:p>
          <w:p w14:paraId="200D189D">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瓜果类： </w:t>
            </w:r>
          </w:p>
          <w:p w14:paraId="03833334">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属同一品种规格，形状、色泽一致，瓜条均匀，无疤点，无断裂，无腐烂、畸形、异味、明显机械伤，不带泥土。</w:t>
            </w:r>
          </w:p>
          <w:p w14:paraId="1A9B1101">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根菜类： </w:t>
            </w:r>
          </w:p>
          <w:p w14:paraId="1333D082">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属同一品种规格，皮细光滑，大小均匀，肉质脆嫩致密新鲜，无腐烂、畸形、裂痕、糠心、异味，不带泥沙，不带茎叶和须根。</w:t>
            </w:r>
          </w:p>
          <w:p w14:paraId="59B0395F">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薯芋类： </w:t>
            </w:r>
          </w:p>
          <w:p w14:paraId="6D3C4D49">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属同一品种规格，色泽一致，不带泥沙，不带须根、茎叶，不干瘪，无腐烂、畸形、异味、明显机械伤、病虫害斑，马铃薯无发芽，皮不变绿。</w:t>
            </w:r>
          </w:p>
          <w:p w14:paraId="65336CB3">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葱蒜类： </w:t>
            </w:r>
          </w:p>
          <w:p w14:paraId="7BF2045F">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属同一品种规格，允许葱、青蒜类保留干净须根，葱、蒜、韭菜不带老叶，蒜头、洋葱去根去枯叶，可食部分新鲜幼嫩，无腐烂、畸形、异味。</w:t>
            </w:r>
          </w:p>
          <w:p w14:paraId="21ABFC5D">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豆类： </w:t>
            </w:r>
          </w:p>
          <w:p w14:paraId="7C55BFF5">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属同一品种规格，形态完整，成熟度适中，无腐烂、畸形、异味，豆荚类新鲜、幼嫩、均匀，豆仁类籽粒饱满，较均匀，无发芽，不带泥土杂质。</w:t>
            </w:r>
          </w:p>
          <w:p w14:paraId="4D8E18F4">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水生菜类： </w:t>
            </w:r>
          </w:p>
          <w:p w14:paraId="7FA27139">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属同一品种规格，肉质嫩，成熟度适中，无腐烂、畸形、异味，无明显机械伤，不带泥土和杂质，不干瘪，茭白不黑心。</w:t>
            </w:r>
          </w:p>
          <w:p w14:paraId="3B9B8862">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食用菌类： </w:t>
            </w:r>
          </w:p>
          <w:p w14:paraId="1D00E88F">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属同一品种规格，蘑菇、草菇菌盖圆整略展开，柄粗壮，菌膜紧，菇柄切削平整，不浸泡水（蘑菇允许浸盐水保鲜），新鲜，无杂质，无畸形菇，无腐烂、异味。</w:t>
            </w:r>
          </w:p>
          <w:p w14:paraId="0C25E20A">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 xml:space="preserve">芽苗类： </w:t>
            </w:r>
          </w:p>
          <w:p w14:paraId="2F57B607">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芽苗幼嫩，不带豆壳杂质，新鲜，不浸水，无腐烂、异味。</w:t>
            </w:r>
          </w:p>
          <w:p w14:paraId="34DE4F97">
            <w:pPr>
              <w:keepNext w:val="0"/>
              <w:keepLines w:val="0"/>
              <w:pageBreakBefore w:val="0"/>
              <w:numPr>
                <w:ilvl w:val="0"/>
                <w:numId w:val="2"/>
              </w:numPr>
              <w:kinsoku/>
              <w:wordWrap/>
              <w:overflowPunct/>
              <w:topLinePunct w:val="0"/>
              <w:autoSpaceDE/>
              <w:autoSpaceDN/>
              <w:bidi w:val="0"/>
              <w:snapToGrid w:val="0"/>
              <w:spacing w:line="360" w:lineRule="auto"/>
              <w:ind w:firstLine="420" w:firstLineChars="200"/>
              <w:textAlignment w:val="auto"/>
              <w:outlineLvl w:val="9"/>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食品供应链要求：所有食品的来源必须清晰。蔬菜来源应当为受到地方政府部门监管的自有基地、商品菜基地或蔬菜专业流通市场。</w:t>
            </w:r>
          </w:p>
          <w:p w14:paraId="194E0AA8">
            <w:pPr>
              <w:pStyle w:val="23"/>
              <w:keepNext w:val="0"/>
              <w:keepLines w:val="0"/>
              <w:pageBreakBefore w:val="0"/>
              <w:kinsoku/>
              <w:wordWrap/>
              <w:overflowPunct/>
              <w:topLinePunct w:val="0"/>
              <w:autoSpaceDE/>
              <w:autoSpaceDN/>
              <w:bidi w:val="0"/>
              <w:ind w:firstLine="0" w:firstLineChars="0"/>
              <w:textAlignment w:val="auto"/>
              <w:outlineLvl w:val="9"/>
              <w:rPr>
                <w:rFonts w:hint="eastAsia" w:cs="Times New Roman"/>
                <w:b/>
                <w:color w:val="000000" w:themeColor="text1"/>
                <w:kern w:val="2"/>
                <w:sz w:val="21"/>
                <w:highlight w:val="none"/>
                <w14:textFill>
                  <w14:solidFill>
                    <w14:schemeClr w14:val="tx1"/>
                  </w14:solidFill>
                </w14:textFill>
              </w:rPr>
            </w:pPr>
            <w:r>
              <w:rPr>
                <w:rFonts w:hint="eastAsia" w:cs="Times New Roman"/>
                <w:b/>
                <w:color w:val="000000" w:themeColor="text1"/>
                <w:kern w:val="2"/>
                <w:sz w:val="21"/>
                <w:highlight w:val="none"/>
                <w14:textFill>
                  <w14:solidFill>
                    <w14:schemeClr w14:val="tx1"/>
                  </w14:solidFill>
                </w14:textFill>
              </w:rPr>
              <w:t>4、水产海鲜类</w:t>
            </w:r>
          </w:p>
          <w:p w14:paraId="170B6349">
            <w:pPr>
              <w:pStyle w:val="23"/>
              <w:keepNext w:val="0"/>
              <w:keepLines w:val="0"/>
              <w:pageBreakBefore w:val="0"/>
              <w:kinsoku/>
              <w:wordWrap/>
              <w:overflowPunct/>
              <w:topLinePunct w:val="0"/>
              <w:autoSpaceDE/>
              <w:autoSpaceDN/>
              <w:bidi w:val="0"/>
              <w:ind w:firstLine="210" w:firstLineChars="100"/>
              <w:textAlignment w:val="auto"/>
              <w:outlineLvl w:val="9"/>
              <w:rPr>
                <w:rFonts w:hint="eastAsia" w:cs="Times New Roman"/>
                <w:bCs/>
                <w:color w:val="000000" w:themeColor="text1"/>
                <w:kern w:val="2"/>
                <w:sz w:val="21"/>
                <w:highlight w:val="none"/>
                <w14:textFill>
                  <w14:solidFill>
                    <w14:schemeClr w14:val="tx1"/>
                  </w14:solidFill>
                </w14:textFill>
              </w:rPr>
            </w:pPr>
            <w:r>
              <w:rPr>
                <w:rFonts w:hint="eastAsia" w:cs="Times New Roman"/>
                <w:bCs/>
                <w:color w:val="000000" w:themeColor="text1"/>
                <w:kern w:val="2"/>
                <w:sz w:val="21"/>
                <w:highlight w:val="none"/>
                <w14:textFill>
                  <w14:solidFill>
                    <w14:schemeClr w14:val="tx1"/>
                  </w14:solidFill>
                </w14:textFill>
              </w:rPr>
              <w:t>（1）海鲜、河鲜类必须鲜活，身体饱满结实，无腐烂异味，肉质紧密有弹性，来源可靠放心，无毒，无害，无污染（利用率不低于95%）。</w:t>
            </w:r>
          </w:p>
          <w:p w14:paraId="6206A9AF">
            <w:pPr>
              <w:pStyle w:val="23"/>
              <w:keepNext w:val="0"/>
              <w:keepLines w:val="0"/>
              <w:pageBreakBefore w:val="0"/>
              <w:kinsoku/>
              <w:wordWrap/>
              <w:overflowPunct/>
              <w:topLinePunct w:val="0"/>
              <w:autoSpaceDE/>
              <w:autoSpaceDN/>
              <w:bidi w:val="0"/>
              <w:ind w:firstLine="210" w:firstLineChars="100"/>
              <w:textAlignment w:val="auto"/>
              <w:outlineLvl w:val="9"/>
              <w:rPr>
                <w:rFonts w:hint="eastAsia" w:cs="Times New Roman"/>
                <w:bCs/>
                <w:color w:val="000000" w:themeColor="text1"/>
                <w:kern w:val="2"/>
                <w:sz w:val="21"/>
                <w:highlight w:val="none"/>
                <w14:textFill>
                  <w14:solidFill>
                    <w14:schemeClr w14:val="tx1"/>
                  </w14:solidFill>
                </w14:textFill>
              </w:rPr>
            </w:pPr>
            <w:r>
              <w:rPr>
                <w:rFonts w:hint="eastAsia" w:cs="Times New Roman"/>
                <w:bCs/>
                <w:color w:val="000000" w:themeColor="text1"/>
                <w:kern w:val="2"/>
                <w:sz w:val="21"/>
                <w:highlight w:val="none"/>
                <w14:textFill>
                  <w14:solidFill>
                    <w14:schemeClr w14:val="tx1"/>
                  </w14:solidFill>
                </w14:textFill>
              </w:rPr>
              <w:t>（2）新鲜水产品的具体要求：要体态完整，体色正常，捞离水后，挣扎力。</w:t>
            </w:r>
          </w:p>
          <w:p w14:paraId="0CAEF890">
            <w:pPr>
              <w:pStyle w:val="23"/>
              <w:keepNext w:val="0"/>
              <w:keepLines w:val="0"/>
              <w:pageBreakBefore w:val="0"/>
              <w:kinsoku/>
              <w:wordWrap/>
              <w:overflowPunct/>
              <w:topLinePunct w:val="0"/>
              <w:autoSpaceDE/>
              <w:autoSpaceDN/>
              <w:bidi w:val="0"/>
              <w:ind w:firstLine="210" w:firstLineChars="100"/>
              <w:textAlignment w:val="auto"/>
              <w:outlineLvl w:val="9"/>
              <w:rPr>
                <w:rFonts w:hint="eastAsia" w:cs="Times New Roman"/>
                <w:bCs/>
                <w:color w:val="000000" w:themeColor="text1"/>
                <w:kern w:val="2"/>
                <w:sz w:val="21"/>
                <w:highlight w:val="none"/>
                <w14:textFill>
                  <w14:solidFill>
                    <w14:schemeClr w14:val="tx1"/>
                  </w14:solidFill>
                </w14:textFill>
              </w:rPr>
            </w:pPr>
            <w:r>
              <w:rPr>
                <w:rFonts w:hint="eastAsia" w:cs="Times New Roman"/>
                <w:bCs/>
                <w:color w:val="000000" w:themeColor="text1"/>
                <w:kern w:val="2"/>
                <w:sz w:val="21"/>
                <w:highlight w:val="none"/>
                <w14:textFill>
                  <w14:solidFill>
                    <w14:schemeClr w14:val="tx1"/>
                  </w14:solidFill>
                </w14:textFill>
              </w:rPr>
              <w:t xml:space="preserve">（3）冷冻鱼类要求鱼眼睛清亮，角膜透明，鳞片上覆盖有冻结的透明粘液层，皮肤天然色泽明显。鱼体完整无伤残，带鳞鱼应体表鳞片完整无损。去鳞鱼不应有残鳞片。另外鱼体富有弹性，手指轻按鱼体后，手指凹陷处可马上恢复。鱼应无异味有较温和的鱼腥味。 </w:t>
            </w:r>
          </w:p>
          <w:p w14:paraId="6C32A7CD">
            <w:pPr>
              <w:pStyle w:val="23"/>
              <w:keepNext w:val="0"/>
              <w:keepLines w:val="0"/>
              <w:pageBreakBefore w:val="0"/>
              <w:kinsoku/>
              <w:wordWrap/>
              <w:overflowPunct/>
              <w:topLinePunct w:val="0"/>
              <w:autoSpaceDE/>
              <w:autoSpaceDN/>
              <w:bidi w:val="0"/>
              <w:ind w:firstLine="210" w:firstLineChars="100"/>
              <w:textAlignment w:val="auto"/>
              <w:outlineLvl w:val="9"/>
              <w:rPr>
                <w:rFonts w:hint="eastAsia" w:cs="Times New Roman"/>
                <w:bCs/>
                <w:color w:val="000000" w:themeColor="text1"/>
                <w:kern w:val="2"/>
                <w:sz w:val="21"/>
                <w:highlight w:val="none"/>
                <w14:textFill>
                  <w14:solidFill>
                    <w14:schemeClr w14:val="tx1"/>
                  </w14:solidFill>
                </w14:textFill>
              </w:rPr>
            </w:pPr>
            <w:r>
              <w:rPr>
                <w:rFonts w:hint="eastAsia" w:cs="Times New Roman"/>
                <w:bCs/>
                <w:color w:val="000000" w:themeColor="text1"/>
                <w:kern w:val="2"/>
                <w:sz w:val="21"/>
                <w:highlight w:val="none"/>
                <w14:textFill>
                  <w14:solidFill>
                    <w14:schemeClr w14:val="tx1"/>
                  </w14:solidFill>
                </w14:textFill>
              </w:rPr>
              <w:t xml:space="preserve">（4）虾的头胸甲与躯干连接紧密，无断头现象。虾身清洁无污染无异味，虾眼突起，虾身较挺，肉质坚实；虾壳发亮、发硬，呈青绿色或青白色。 </w:t>
            </w:r>
          </w:p>
          <w:p w14:paraId="7B8EE9D5">
            <w:pPr>
              <w:pStyle w:val="23"/>
              <w:keepNext w:val="0"/>
              <w:keepLines w:val="0"/>
              <w:pageBreakBefore w:val="0"/>
              <w:kinsoku/>
              <w:wordWrap/>
              <w:overflowPunct/>
              <w:topLinePunct w:val="0"/>
              <w:autoSpaceDE/>
              <w:autoSpaceDN/>
              <w:bidi w:val="0"/>
              <w:ind w:firstLine="210" w:firstLineChars="100"/>
              <w:textAlignment w:val="auto"/>
              <w:outlineLvl w:val="9"/>
              <w:rPr>
                <w:rFonts w:hint="eastAsia" w:cs="Times New Roman"/>
                <w:bCs/>
                <w:color w:val="000000" w:themeColor="text1"/>
                <w:kern w:val="2"/>
                <w:sz w:val="21"/>
                <w:highlight w:val="none"/>
                <w14:textFill>
                  <w14:solidFill>
                    <w14:schemeClr w14:val="tx1"/>
                  </w14:solidFill>
                </w14:textFill>
              </w:rPr>
            </w:pPr>
            <w:r>
              <w:rPr>
                <w:rFonts w:hint="eastAsia" w:cs="Times New Roman"/>
                <w:bCs/>
                <w:color w:val="000000" w:themeColor="text1"/>
                <w:kern w:val="2"/>
                <w:sz w:val="21"/>
                <w:highlight w:val="none"/>
                <w14:textFill>
                  <w14:solidFill>
                    <w14:schemeClr w14:val="tx1"/>
                  </w14:solidFill>
                </w14:textFill>
              </w:rPr>
              <w:t xml:space="preserve">（5）黄鳝要体态完整，体色正常，在水中朝上直立，捞离水后，挣扎有力，身上粘度较多，个体较大。 </w:t>
            </w:r>
          </w:p>
          <w:p w14:paraId="4320614F">
            <w:pPr>
              <w:pStyle w:val="23"/>
              <w:keepNext w:val="0"/>
              <w:keepLines w:val="0"/>
              <w:pageBreakBefore w:val="0"/>
              <w:kinsoku/>
              <w:wordWrap/>
              <w:overflowPunct/>
              <w:topLinePunct w:val="0"/>
              <w:autoSpaceDE/>
              <w:autoSpaceDN/>
              <w:bidi w:val="0"/>
              <w:ind w:firstLine="210" w:firstLineChars="100"/>
              <w:textAlignment w:val="auto"/>
              <w:outlineLvl w:val="9"/>
              <w:rPr>
                <w:rFonts w:hint="eastAsia" w:cs="Times New Roman"/>
                <w:bCs/>
                <w:color w:val="000000" w:themeColor="text1"/>
                <w:kern w:val="2"/>
                <w:sz w:val="21"/>
                <w:highlight w:val="none"/>
                <w14:textFill>
                  <w14:solidFill>
                    <w14:schemeClr w14:val="tx1"/>
                  </w14:solidFill>
                </w14:textFill>
              </w:rPr>
            </w:pPr>
            <w:r>
              <w:rPr>
                <w:rFonts w:hint="eastAsia" w:cs="Times New Roman"/>
                <w:bCs/>
                <w:color w:val="000000" w:themeColor="text1"/>
                <w:kern w:val="2"/>
                <w:sz w:val="21"/>
                <w:highlight w:val="none"/>
                <w14:textFill>
                  <w14:solidFill>
                    <w14:schemeClr w14:val="tx1"/>
                  </w14:solidFill>
                </w14:textFill>
              </w:rPr>
              <w:t xml:space="preserve">（6）贝壳类要求肉质新鲜，无臭味，两贝壳相碰发出实响，且响声均匀，在静水中会伸出触角；表面清洁完整，无寄生物，外观完美，有光泽。 </w:t>
            </w:r>
          </w:p>
          <w:p w14:paraId="2E22D1D6">
            <w:pPr>
              <w:pStyle w:val="23"/>
              <w:keepNext w:val="0"/>
              <w:keepLines w:val="0"/>
              <w:pageBreakBefore w:val="0"/>
              <w:kinsoku/>
              <w:wordWrap/>
              <w:overflowPunct/>
              <w:topLinePunct w:val="0"/>
              <w:autoSpaceDE/>
              <w:autoSpaceDN/>
              <w:bidi w:val="0"/>
              <w:ind w:firstLine="210" w:firstLineChars="100"/>
              <w:textAlignment w:val="auto"/>
              <w:outlineLvl w:val="9"/>
              <w:rPr>
                <w:rFonts w:hint="eastAsia" w:cs="Times New Roman"/>
                <w:bCs/>
                <w:color w:val="000000" w:themeColor="text1"/>
                <w:kern w:val="2"/>
                <w:sz w:val="21"/>
                <w:highlight w:val="none"/>
                <w14:textFill>
                  <w14:solidFill>
                    <w14:schemeClr w14:val="tx1"/>
                  </w14:solidFill>
                </w14:textFill>
              </w:rPr>
            </w:pPr>
            <w:r>
              <w:rPr>
                <w:rFonts w:hint="eastAsia" w:cs="Times New Roman"/>
                <w:bCs/>
                <w:color w:val="000000" w:themeColor="text1"/>
                <w:kern w:val="2"/>
                <w:sz w:val="21"/>
                <w:highlight w:val="none"/>
                <w14:textFill>
                  <w14:solidFill>
                    <w14:schemeClr w14:val="tx1"/>
                  </w14:solidFill>
                </w14:textFill>
              </w:rPr>
              <w:t xml:space="preserve">（7）冷冻水产类解冻后净重量不少于82%，解冻时间为4小时以内（室温20℃）。所有冷冻要求清晰列出产品品牌、规格、类型、包装方式、包装净重、含冰量等相关参数。 </w:t>
            </w:r>
          </w:p>
          <w:p w14:paraId="7C87456A">
            <w:pPr>
              <w:pStyle w:val="23"/>
              <w:keepNext w:val="0"/>
              <w:keepLines w:val="0"/>
              <w:pageBreakBefore w:val="0"/>
              <w:kinsoku/>
              <w:wordWrap/>
              <w:overflowPunct/>
              <w:topLinePunct w:val="0"/>
              <w:autoSpaceDE/>
              <w:autoSpaceDN/>
              <w:bidi w:val="0"/>
              <w:ind w:firstLine="210" w:firstLineChars="100"/>
              <w:textAlignment w:val="auto"/>
              <w:outlineLvl w:val="9"/>
              <w:rPr>
                <w:rFonts w:hint="eastAsia" w:cs="Times New Roman"/>
                <w:bCs/>
                <w:color w:val="000000" w:themeColor="text1"/>
                <w:kern w:val="2"/>
                <w:sz w:val="21"/>
                <w:highlight w:val="none"/>
                <w14:textFill>
                  <w14:solidFill>
                    <w14:schemeClr w14:val="tx1"/>
                  </w14:solidFill>
                </w14:textFill>
              </w:rPr>
            </w:pPr>
            <w:r>
              <w:rPr>
                <w:rFonts w:hint="eastAsia" w:cs="Times New Roman"/>
                <w:bCs/>
                <w:color w:val="000000" w:themeColor="text1"/>
                <w:kern w:val="2"/>
                <w:sz w:val="21"/>
                <w:highlight w:val="none"/>
                <w14:textFill>
                  <w14:solidFill>
                    <w14:schemeClr w14:val="tx1"/>
                  </w14:solidFill>
                </w14:textFill>
              </w:rPr>
              <w:t>（8）水产品须出具贮存地的出入库检疫证明。</w:t>
            </w:r>
          </w:p>
          <w:p w14:paraId="75A840E9">
            <w:pPr>
              <w:pStyle w:val="23"/>
              <w:keepNext w:val="0"/>
              <w:keepLines w:val="0"/>
              <w:pageBreakBefore w:val="0"/>
              <w:kinsoku/>
              <w:wordWrap/>
              <w:overflowPunct/>
              <w:topLinePunct w:val="0"/>
              <w:autoSpaceDE/>
              <w:autoSpaceDN/>
              <w:bidi w:val="0"/>
              <w:ind w:firstLine="210" w:firstLineChars="100"/>
              <w:textAlignment w:val="auto"/>
              <w:outlineLvl w:val="9"/>
              <w:rPr>
                <w:rFonts w:hint="eastAsia" w:cs="Times New Roman"/>
                <w:bCs/>
                <w:color w:val="000000" w:themeColor="text1"/>
                <w:kern w:val="2"/>
                <w:sz w:val="21"/>
                <w:highlight w:val="none"/>
                <w14:textFill>
                  <w14:solidFill>
                    <w14:schemeClr w14:val="tx1"/>
                  </w14:solidFill>
                </w14:textFill>
              </w:rPr>
            </w:pPr>
            <w:r>
              <w:rPr>
                <w:rFonts w:hint="eastAsia" w:cs="Times New Roman"/>
                <w:bCs/>
                <w:color w:val="000000" w:themeColor="text1"/>
                <w:kern w:val="2"/>
                <w:sz w:val="21"/>
                <w:highlight w:val="none"/>
                <w14:textFill>
                  <w14:solidFill>
                    <w14:schemeClr w14:val="tx1"/>
                  </w14:solidFill>
                </w14:textFill>
              </w:rPr>
              <w:t>（9）海鲜制品类：海鲜制品类包括但不限于鱼丸、墨鱼丸、鱼蛋、鱼腐等。</w:t>
            </w:r>
          </w:p>
          <w:p w14:paraId="7DBDF027">
            <w:pPr>
              <w:keepNext w:val="0"/>
              <w:keepLines w:val="0"/>
              <w:pageBreakBefore w:val="0"/>
              <w:kinsoku/>
              <w:wordWrap/>
              <w:overflowPunct/>
              <w:topLinePunct w:val="0"/>
              <w:autoSpaceDE/>
              <w:autoSpaceDN/>
              <w:bidi w:val="0"/>
              <w:spacing w:line="360" w:lineRule="auto"/>
              <w:ind w:right="-171"/>
              <w:textAlignment w:val="auto"/>
              <w:outlineLvl w:val="9"/>
              <w:rPr>
                <w:rFonts w:hint="eastAsia" w:ascii="宋体" w:hAnsi="宋体"/>
                <w:b/>
                <w:bCs/>
                <w:color w:val="000000" w:themeColor="text1"/>
                <w:highlight w:val="none"/>
                <w14:textFill>
                  <w14:solidFill>
                    <w14:schemeClr w14:val="tx1"/>
                  </w14:solidFill>
                </w14:textFill>
              </w:rPr>
            </w:pPr>
            <w:r>
              <w:rPr>
                <w:rFonts w:hint="eastAsia" w:ascii="宋体" w:hAnsi="宋体"/>
                <w:b/>
                <w:bCs/>
                <w:color w:val="000000" w:themeColor="text1"/>
                <w:highlight w:val="none"/>
                <w14:textFill>
                  <w14:solidFill>
                    <w14:schemeClr w14:val="tx1"/>
                  </w14:solidFill>
                </w14:textFill>
              </w:rPr>
              <w:t>（二）调味料、干货、豆制品、粮油（大米、面、油等）、日用品等。</w:t>
            </w:r>
          </w:p>
          <w:p w14:paraId="65C8974B">
            <w:pPr>
              <w:keepNext w:val="0"/>
              <w:keepLines w:val="0"/>
              <w:pageBreakBefore w:val="0"/>
              <w:kinsoku/>
              <w:wordWrap/>
              <w:overflowPunct/>
              <w:topLinePunct w:val="0"/>
              <w:autoSpaceDE/>
              <w:autoSpaceDN/>
              <w:bidi w:val="0"/>
              <w:snapToGrid w:val="0"/>
              <w:spacing w:line="360" w:lineRule="auto"/>
              <w:textAlignment w:val="auto"/>
              <w:outlineLvl w:val="9"/>
              <w:rPr>
                <w:rFonts w:hint="eastAsia" w:ascii="宋体" w:hAnsi="宋体"/>
                <w:b/>
                <w:color w:val="000000" w:themeColor="text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1、</w:t>
            </w:r>
            <w:r>
              <w:rPr>
                <w:rFonts w:hint="eastAsia" w:ascii="宋体" w:hAnsi="宋体"/>
                <w:b/>
                <w:bCs/>
                <w:color w:val="000000" w:themeColor="text1"/>
                <w:highlight w:val="none"/>
                <w14:textFill>
                  <w14:solidFill>
                    <w14:schemeClr w14:val="tx1"/>
                  </w14:solidFill>
                </w14:textFill>
              </w:rPr>
              <w:t>调味料：</w:t>
            </w:r>
          </w:p>
          <w:p w14:paraId="335DB9DF">
            <w:pPr>
              <w:pStyle w:val="25"/>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1）酱油：酱油颜色比较红、亮、有光泽、透明，酱油倒在瓶子里摇一下，酱油产生的泡沫非常细腻，保持持久，挂碗现象非常好，有发黏的感觉。</w:t>
            </w:r>
          </w:p>
          <w:p w14:paraId="554125B2">
            <w:pPr>
              <w:pStyle w:val="25"/>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2）味精：无色至白色结晶或粉末，应具有特殊的鲜味，无异味，无肉眼可见杂质。</w:t>
            </w:r>
          </w:p>
          <w:p w14:paraId="6DB97A9C">
            <w:pPr>
              <w:pStyle w:val="25"/>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3）酱类食品：应具有正常酿造酱的色泽、气味和滋味、不涩、无其他不良气味、不得有酸、苦、焦糊及其它异味、异物。</w:t>
            </w:r>
          </w:p>
          <w:p w14:paraId="00E92D42">
            <w:pPr>
              <w:pStyle w:val="25"/>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4）淀粉制品：应具有各自品种固有的形态和色泽、不酸、不粘、不发霉、无变质、无异味、无杂质、口尝无砂质。</w:t>
            </w:r>
          </w:p>
          <w:p w14:paraId="687A2D39">
            <w:pPr>
              <w:pStyle w:val="25"/>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5）食盐：结晶整齐一致、坚硬光滑，呈透明或半透明、不结块、无反卤吸潮现象、无杂质，沾取少许尝试具有纯正的咸味。</w:t>
            </w:r>
          </w:p>
          <w:p w14:paraId="57343CB5">
            <w:pPr>
              <w:pStyle w:val="25"/>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6）白糖：要求色泽洁白明亮，有光泽，具有白糖的正常气味，无酸味、酒味或其他外来气味。凡是白糖都应干燥，晶粒松散，不粘手，不结块，无肉眼可见的杂质，白糖的水溶液应清晰透明无杂质。</w:t>
            </w:r>
          </w:p>
          <w:p w14:paraId="1A9F16B3">
            <w:pPr>
              <w:pStyle w:val="25"/>
              <w:keepNext w:val="0"/>
              <w:keepLines w:val="0"/>
              <w:pageBreakBefore w:val="0"/>
              <w:kinsoku/>
              <w:wordWrap/>
              <w:overflowPunct/>
              <w:topLinePunct w:val="0"/>
              <w:autoSpaceDE/>
              <w:autoSpaceDN/>
              <w:bidi w:val="0"/>
              <w:spacing w:line="360" w:lineRule="auto"/>
              <w:ind w:left="0" w:leftChars="0" w:firstLine="420" w:firstLineChars="200"/>
              <w:textAlignment w:val="auto"/>
              <w:outlineLvl w:val="9"/>
              <w:rPr>
                <w:rFonts w:hint="eastAsia"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7）白砂糖：颗粒大如砂粒，晶粒均匀整齐，晶面明显，无碎末，糖质坚硬。</w:t>
            </w:r>
          </w:p>
          <w:p w14:paraId="6C8ECE25">
            <w:pPr>
              <w:pStyle w:val="25"/>
              <w:keepNext w:val="0"/>
              <w:keepLines w:val="0"/>
              <w:pageBreakBefore w:val="0"/>
              <w:kinsoku/>
              <w:wordWrap/>
              <w:overflowPunct/>
              <w:topLinePunct w:val="0"/>
              <w:autoSpaceDE/>
              <w:autoSpaceDN/>
              <w:bidi w:val="0"/>
              <w:spacing w:line="360" w:lineRule="auto"/>
              <w:ind w:left="420" w:leftChars="200" w:firstLine="0" w:firstLineChars="0"/>
              <w:textAlignment w:val="auto"/>
              <w:outlineLvl w:val="9"/>
              <w:rPr>
                <w:rFonts w:hint="eastAsia"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8）绵白糖：颗粒细小而均匀，质地绵软、潮润。</w:t>
            </w:r>
          </w:p>
          <w:p w14:paraId="36A690CB">
            <w:pPr>
              <w:pStyle w:val="25"/>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9）红糖：呈晶粒状或粉末状，干燥而松散，不结块，不成团，杂质，其水溶液清晰，无沉淀，无悬浮物，具有甘蔗汁的清香味，无有酒味、酸味或其他外来不良气味，口味浓甜带鲜，微有糖蜜味，无焦苦味或其他外来异味。</w:t>
            </w:r>
          </w:p>
          <w:p w14:paraId="3282035E">
            <w:pPr>
              <w:pStyle w:val="25"/>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10）冰糖：块形完整，个粒均匀，结晶组织严密，透明或半透明，无破碎。</w:t>
            </w:r>
          </w:p>
          <w:p w14:paraId="7B994756">
            <w:pPr>
              <w:pStyle w:val="25"/>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11）方糖：呈正六面体状，表面平整，无裂纹，铁边，断角，无突出砂粒，无霉斑。</w:t>
            </w:r>
          </w:p>
          <w:p w14:paraId="409CFBF3">
            <w:pPr>
              <w:pStyle w:val="25"/>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bCs/>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12）辛辣料：要求采用植物果实和种子粉碎而配制成的天然植物香料，如五香粉、胡椒粉、花椒粉、咖喱粉、芥末粉等，辛辣料的主要原料有八角、花椒、胡椒、桂皮、小茴香、大茴香、辣椒、孜然等。</w:t>
            </w:r>
          </w:p>
          <w:p w14:paraId="7BC53CDA">
            <w:pPr>
              <w:pStyle w:val="25"/>
              <w:keepNext w:val="0"/>
              <w:keepLines w:val="0"/>
              <w:pageBreakBefore w:val="0"/>
              <w:kinsoku/>
              <w:wordWrap/>
              <w:overflowPunct/>
              <w:topLinePunct w:val="0"/>
              <w:autoSpaceDE/>
              <w:autoSpaceDN/>
              <w:bidi w:val="0"/>
              <w:spacing w:line="360" w:lineRule="auto"/>
              <w:textAlignment w:val="auto"/>
              <w:outlineLvl w:val="9"/>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bCs/>
                <w:color w:val="000000" w:themeColor="text1"/>
                <w:sz w:val="21"/>
                <w:szCs w:val="21"/>
                <w:highlight w:val="none"/>
                <w14:textFill>
                  <w14:solidFill>
                    <w14:schemeClr w14:val="tx1"/>
                  </w14:solidFill>
                </w14:textFill>
              </w:rPr>
              <w:t>13）辛辣料应呈干燥状，具有该种香料植物所特有的色、香、味，没有不纯正的气味和味道，无发霉味或其他异味。</w:t>
            </w:r>
          </w:p>
          <w:p w14:paraId="225C67AC">
            <w:pPr>
              <w:keepNext w:val="0"/>
              <w:keepLines w:val="0"/>
              <w:pageBreakBefore w:val="0"/>
              <w:kinsoku/>
              <w:wordWrap/>
              <w:overflowPunct/>
              <w:topLinePunct w:val="0"/>
              <w:autoSpaceDE/>
              <w:autoSpaceDN/>
              <w:bidi w:val="0"/>
              <w:snapToGrid w:val="0"/>
              <w:spacing w:line="360" w:lineRule="auto"/>
              <w:ind w:firstLine="420" w:firstLineChars="200"/>
              <w:textAlignment w:val="auto"/>
              <w:outlineLvl w:val="9"/>
              <w:rPr>
                <w:rFonts w:hint="eastAsia" w:ascii="宋体" w:hAnsi="宋体"/>
                <w:b/>
                <w:color w:val="000000" w:themeColor="text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14）腐乳：红腐乳要求表面呈红色或枣红色，内部呈杏黄色，色泽鲜艳，有光泽；白腐乳要求外表呈乳黄色。块形整齐均匀，质地细腻，无霉斑、霉变及杂质。具有各品种的腐乳特有的香味或特征气味，无任何其他异味，滋味鲜美，咸淡适口，无任何其他异味。</w:t>
            </w:r>
          </w:p>
          <w:p w14:paraId="1EF86573">
            <w:pPr>
              <w:keepNext w:val="0"/>
              <w:keepLines w:val="0"/>
              <w:pageBreakBefore w:val="0"/>
              <w:kinsoku/>
              <w:wordWrap/>
              <w:overflowPunct/>
              <w:topLinePunct w:val="0"/>
              <w:autoSpaceDE/>
              <w:autoSpaceDN/>
              <w:bidi w:val="0"/>
              <w:snapToGrid w:val="0"/>
              <w:spacing w:line="360" w:lineRule="auto"/>
              <w:textAlignment w:val="auto"/>
              <w:outlineLvl w:val="9"/>
              <w:rPr>
                <w:rFonts w:hint="eastAsia" w:ascii="宋体" w:hAnsi="宋体" w:cs="宋体"/>
                <w:bCs/>
                <w:color w:val="000000" w:themeColor="text1"/>
                <w:szCs w:val="2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2、</w:t>
            </w:r>
            <w:r>
              <w:rPr>
                <w:rFonts w:hint="eastAsia" w:ascii="宋体" w:hAnsi="宋体"/>
                <w:b/>
                <w:bCs/>
                <w:color w:val="000000" w:themeColor="text1"/>
                <w:highlight w:val="none"/>
                <w14:textFill>
                  <w14:solidFill>
                    <w14:schemeClr w14:val="tx1"/>
                  </w14:solidFill>
                </w14:textFill>
              </w:rPr>
              <w:t>干货制品：</w:t>
            </w:r>
            <w:r>
              <w:rPr>
                <w:rFonts w:hint="eastAsia" w:ascii="宋体" w:hAnsi="宋体"/>
                <w:color w:val="000000" w:themeColor="text1"/>
                <w:highlight w:val="none"/>
                <w14:textFill>
                  <w14:solidFill>
                    <w14:schemeClr w14:val="tx1"/>
                  </w14:solidFill>
                </w14:textFill>
              </w:rPr>
              <w:t>要求为符合国家相关行业标准的产品，干爽、不霉烂、整齐、均匀、完整，无虫蛀、无杂质，保持应有的色泽。从加工、包装、运输、贮存到销售全部符合国家规定标准，尤其是二氧化硫残留量、总砷含量不超过国家卫生标准；招标人可根据实际情况对需要的干货制品进行品质抽检，对质</w:t>
            </w:r>
            <w:r>
              <w:rPr>
                <w:rFonts w:hint="eastAsia" w:ascii="宋体" w:hAnsi="宋体" w:cs="宋体"/>
                <w:bCs/>
                <w:color w:val="000000" w:themeColor="text1"/>
                <w:szCs w:val="21"/>
                <w:highlight w:val="none"/>
                <w14:textFill>
                  <w14:solidFill>
                    <w14:schemeClr w14:val="tx1"/>
                  </w14:solidFill>
                </w14:textFill>
              </w:rPr>
              <w:t>量未达到国家标准的干货制品招标人有权拒绝接收。</w:t>
            </w:r>
          </w:p>
          <w:p w14:paraId="7535027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（1）肉皮：作为干肉皮，无论什么部位，体表洁净无毛，白亮无残余肥膘，无虫蛀，干爽，敲击时响声清脆，质量均匀为好，反之则为次之，如已发霉，并有哈喇味，即已变质。</w:t>
            </w:r>
          </w:p>
          <w:p w14:paraId="5AC045FE">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（2）玉兰片：玉兰片以色泽黄白、洁净、肉厚、纤维少、节较密、体长不超过 10~17cm的为最好，肉薄节疏、纤维多而粗老的质量较差。</w:t>
            </w:r>
          </w:p>
          <w:p w14:paraId="65F90BC2">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（3）黄花菜：又名金针菜，干燥、有清香味，菜色黄亮、身条长而粗壮、条杆粗细均匀者为佳。</w:t>
            </w:r>
          </w:p>
          <w:p w14:paraId="0B39C6EB">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s="宋体"/>
                <w:bCs/>
                <w:color w:val="000000" w:themeColor="text1"/>
                <w:szCs w:val="21"/>
                <w:highlight w:val="none"/>
                <w:lang w:val="zh-CN"/>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（4）</w:t>
            </w:r>
            <w:r>
              <w:rPr>
                <w:rFonts w:hint="eastAsia" w:ascii="宋体" w:hAnsi="宋体" w:cs="宋体"/>
                <w:bCs/>
                <w:color w:val="000000" w:themeColor="text1"/>
                <w:szCs w:val="21"/>
                <w:highlight w:val="none"/>
                <w:lang w:val="zh-CN"/>
                <w14:textFill>
                  <w14:solidFill>
                    <w14:schemeClr w14:val="tx1"/>
                  </w14:solidFill>
                </w14:textFill>
              </w:rPr>
              <w:t>黑木耳：黑木耳的质量一般以条形大而完整，耳瓣舒展少卷曲，内厚黑，富于光泽，体干不霉，无杂质和碎者为优，反之则差。</w:t>
            </w:r>
          </w:p>
          <w:p w14:paraId="4C5350EA">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s="宋体"/>
                <w:bCs/>
                <w:color w:val="000000" w:themeColor="text1"/>
                <w:szCs w:val="21"/>
                <w:highlight w:val="none"/>
                <w:lang w:val="zh-CN"/>
                <w14:textFill>
                  <w14:solidFill>
                    <w14:schemeClr w14:val="tx1"/>
                  </w14:solidFill>
                </w14:textFill>
              </w:rPr>
            </w:pPr>
            <w:r>
              <w:rPr>
                <w:rFonts w:hint="eastAsia" w:ascii="宋体" w:hAnsi="宋体" w:cs="宋体"/>
                <w:bCs/>
                <w:color w:val="000000" w:themeColor="text1"/>
                <w:szCs w:val="21"/>
                <w:highlight w:val="none"/>
                <w:lang w:val="zh-CN"/>
                <w14:textFill>
                  <w14:solidFill>
                    <w14:schemeClr w14:val="tx1"/>
                  </w14:solidFill>
                </w14:textFill>
              </w:rPr>
              <w:t>（</w:t>
            </w:r>
            <w:r>
              <w:rPr>
                <w:rFonts w:hint="eastAsia" w:ascii="宋体" w:hAnsi="宋体" w:cs="宋体"/>
                <w:bCs/>
                <w:color w:val="000000" w:themeColor="text1"/>
                <w:szCs w:val="21"/>
                <w:highlight w:val="none"/>
                <w14:textFill>
                  <w14:solidFill>
                    <w14:schemeClr w14:val="tx1"/>
                  </w14:solidFill>
                </w14:textFill>
              </w:rPr>
              <w:t>5</w:t>
            </w:r>
            <w:r>
              <w:rPr>
                <w:rFonts w:hint="eastAsia" w:ascii="宋体" w:hAnsi="宋体" w:cs="宋体"/>
                <w:bCs/>
                <w:color w:val="000000" w:themeColor="text1"/>
                <w:szCs w:val="21"/>
                <w:highlight w:val="none"/>
                <w:lang w:val="zh-CN"/>
                <w14:textFill>
                  <w14:solidFill>
                    <w14:schemeClr w14:val="tx1"/>
                  </w14:solidFill>
                </w14:textFill>
              </w:rPr>
              <w:t>）银耳：银耳又称白木耳，以朵大、色洁白、有光泽、无杂质，根小、干度足，完整者为佳品，朵小、色黄、根大、无光泽，散碎者次之；黄黑色者质量最次，依上述标准可将银耳分为上中下三等。质量好的银耳，根部易稣烂，食之柔软，质量次则根部大而发硬。</w:t>
            </w:r>
          </w:p>
          <w:p w14:paraId="2C12111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s="宋体"/>
                <w:bCs/>
                <w:color w:val="000000" w:themeColor="text1"/>
                <w:szCs w:val="21"/>
                <w:highlight w:val="none"/>
                <w:lang w:val="zh-CN"/>
                <w14:textFill>
                  <w14:solidFill>
                    <w14:schemeClr w14:val="tx1"/>
                  </w14:solidFill>
                </w14:textFill>
              </w:rPr>
            </w:pPr>
            <w:r>
              <w:rPr>
                <w:rFonts w:hint="eastAsia" w:ascii="宋体" w:hAnsi="宋体" w:cs="宋体"/>
                <w:bCs/>
                <w:color w:val="000000" w:themeColor="text1"/>
                <w:szCs w:val="21"/>
                <w:highlight w:val="none"/>
                <w:lang w:val="zh-CN"/>
                <w14:textFill>
                  <w14:solidFill>
                    <w14:schemeClr w14:val="tx1"/>
                  </w14:solidFill>
                </w14:textFill>
              </w:rPr>
              <w:t>（</w:t>
            </w:r>
            <w:r>
              <w:rPr>
                <w:rFonts w:hint="eastAsia" w:ascii="宋体" w:hAnsi="宋体" w:cs="宋体"/>
                <w:bCs/>
                <w:color w:val="000000" w:themeColor="text1"/>
                <w:szCs w:val="21"/>
                <w:highlight w:val="none"/>
                <w14:textFill>
                  <w14:solidFill>
                    <w14:schemeClr w14:val="tx1"/>
                  </w14:solidFill>
                </w14:textFill>
              </w:rPr>
              <w:t>6</w:t>
            </w:r>
            <w:r>
              <w:rPr>
                <w:rFonts w:hint="eastAsia" w:ascii="宋体" w:hAnsi="宋体" w:cs="宋体"/>
                <w:bCs/>
                <w:color w:val="000000" w:themeColor="text1"/>
                <w:szCs w:val="21"/>
                <w:highlight w:val="none"/>
                <w:lang w:val="zh-CN"/>
                <w14:textFill>
                  <w14:solidFill>
                    <w14:schemeClr w14:val="tx1"/>
                  </w14:solidFill>
                </w14:textFill>
              </w:rPr>
              <w:t>）香菇：根据采收季节和形状不同，香菇又分为花菇、厚菇、薄菇和菇丁四类，其中以花菇质量最好，厚菇次之，薄菇更差，菇丁质量最差。①花菇：朵小柄短，呈半球状，菇伞顶面有似菊花似的白色裂纹，肉厚、菌盖色泽淡黑，菇底褶，通过加工呈淡黄色，身干、质嫩、有芳香气味者为质好香菇。②厚菇：形状如伞，顶面无花纹，呈黑色并略有光泽，质嫩、肉厚、朵稍大，质量稍次。③薄菇：形状扁平、开伞、朵大、肉薄、菌盖表面浅褐色，菌褐白色，菌柄稍高，浅咖啡色，基部稍带红色或红褐色，质量比花菇厚，菇差，味淡。④菇丁：是指未充分发育的香菇，个小，直径在2cm以下，味淡质差。</w:t>
            </w:r>
          </w:p>
          <w:p w14:paraId="44D24756">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s="宋体"/>
                <w:bCs/>
                <w:color w:val="000000" w:themeColor="text1"/>
                <w:szCs w:val="21"/>
                <w:highlight w:val="none"/>
                <w:lang w:val="zh-CN"/>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（7）</w:t>
            </w:r>
            <w:r>
              <w:rPr>
                <w:rFonts w:hint="eastAsia" w:ascii="宋体" w:hAnsi="宋体" w:cs="宋体"/>
                <w:bCs/>
                <w:color w:val="000000" w:themeColor="text1"/>
                <w:szCs w:val="21"/>
                <w:highlight w:val="none"/>
                <w:lang w:val="zh-CN"/>
                <w14:textFill>
                  <w14:solidFill>
                    <w14:schemeClr w14:val="tx1"/>
                  </w14:solidFill>
                </w14:textFill>
              </w:rPr>
              <w:t>黄豆：豆皮色呈各种大豆固有的颜色，光彩油亮，洁净而有光泽，颗粒饱满，整齐均匀，无虫蛀粒，无杂质，无霉变。</w:t>
            </w:r>
          </w:p>
          <w:p w14:paraId="1E4B8A2B">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s="宋体"/>
                <w:bCs/>
                <w:color w:val="000000" w:themeColor="text1"/>
                <w:szCs w:val="21"/>
                <w:highlight w:val="none"/>
                <w:lang w:val="zh-CN"/>
                <w14:textFill>
                  <w14:solidFill>
                    <w14:schemeClr w14:val="tx1"/>
                  </w14:solidFill>
                </w14:textFill>
              </w:rPr>
            </w:pPr>
            <w:r>
              <w:rPr>
                <w:rFonts w:hint="eastAsia" w:ascii="宋体" w:hAnsi="宋体" w:cs="宋体"/>
                <w:bCs/>
                <w:color w:val="000000" w:themeColor="text1"/>
                <w:szCs w:val="21"/>
                <w:highlight w:val="none"/>
                <w:lang w:val="zh-CN"/>
                <w14:textFill>
                  <w14:solidFill>
                    <w14:schemeClr w14:val="tx1"/>
                  </w14:solidFill>
                </w14:textFill>
              </w:rPr>
              <w:t>（</w:t>
            </w:r>
            <w:r>
              <w:rPr>
                <w:rFonts w:hint="eastAsia" w:ascii="宋体" w:hAnsi="宋体" w:cs="宋体"/>
                <w:bCs/>
                <w:color w:val="000000" w:themeColor="text1"/>
                <w:szCs w:val="21"/>
                <w:highlight w:val="none"/>
                <w14:textFill>
                  <w14:solidFill>
                    <w14:schemeClr w14:val="tx1"/>
                  </w14:solidFill>
                </w14:textFill>
              </w:rPr>
              <w:t>8</w:t>
            </w:r>
            <w:r>
              <w:rPr>
                <w:rFonts w:hint="eastAsia" w:ascii="宋体" w:hAnsi="宋体" w:cs="宋体"/>
                <w:bCs/>
                <w:color w:val="000000" w:themeColor="text1"/>
                <w:szCs w:val="21"/>
                <w:highlight w:val="none"/>
                <w:lang w:val="zh-CN"/>
                <w14:textFill>
                  <w14:solidFill>
                    <w14:schemeClr w14:val="tx1"/>
                  </w14:solidFill>
                </w14:textFill>
              </w:rPr>
              <w:t>）花生：果荚呈土黄色或白色，果仁呈各不同品种所特有的颜色，色泽分布均匀一致，带荚花生和去荚果仁均颗粒饱满、形态完整、大小均匀，子叶肥厚而有光泽，无杂质，具有花生特有的气味、香味，无任何异味。</w:t>
            </w:r>
          </w:p>
          <w:p w14:paraId="11F348AC">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s="宋体"/>
                <w:bCs/>
                <w:color w:val="000000" w:themeColor="text1"/>
                <w:szCs w:val="21"/>
                <w:highlight w:val="none"/>
                <w:lang w:val="zh-CN"/>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（9）</w:t>
            </w:r>
            <w:r>
              <w:rPr>
                <w:rFonts w:hint="eastAsia" w:ascii="宋体" w:hAnsi="宋体" w:cs="宋体"/>
                <w:bCs/>
                <w:color w:val="000000" w:themeColor="text1"/>
                <w:szCs w:val="21"/>
                <w:highlight w:val="none"/>
                <w:lang w:val="zh-CN"/>
                <w14:textFill>
                  <w14:solidFill>
                    <w14:schemeClr w14:val="tx1"/>
                  </w14:solidFill>
                </w14:textFill>
              </w:rPr>
              <w:t>腐竹：腐竹又名豆腐皮和油皮，有一、二、三级品之分。一极品：色泽黄亮、干燥筋韧、耐贮、无碎块。二极品：颜色较一极品灰黄、干燥无碎块。三极品：颜色更灰黄、无光泽、易碎、筋韧性差。</w:t>
            </w:r>
          </w:p>
          <w:p w14:paraId="27D4899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s="宋体"/>
                <w:bCs/>
                <w:color w:val="000000" w:themeColor="text1"/>
                <w:szCs w:val="21"/>
                <w:highlight w:val="none"/>
                <w:lang w:val="zh-CN"/>
                <w14:textFill>
                  <w14:solidFill>
                    <w14:schemeClr w14:val="tx1"/>
                  </w14:solidFill>
                </w14:textFill>
              </w:rPr>
            </w:pPr>
            <w:r>
              <w:rPr>
                <w:rFonts w:hint="eastAsia" w:ascii="宋体" w:hAnsi="宋体" w:cs="宋体"/>
                <w:bCs/>
                <w:color w:val="000000" w:themeColor="text1"/>
                <w:szCs w:val="21"/>
                <w:highlight w:val="none"/>
                <w:lang w:val="zh-CN"/>
                <w14:textFill>
                  <w14:solidFill>
                    <w14:schemeClr w14:val="tx1"/>
                  </w14:solidFill>
                </w14:textFill>
              </w:rPr>
              <w:t>（</w:t>
            </w:r>
            <w:r>
              <w:rPr>
                <w:rFonts w:hint="eastAsia" w:ascii="宋体" w:hAnsi="宋体" w:cs="宋体"/>
                <w:bCs/>
                <w:color w:val="000000" w:themeColor="text1"/>
                <w:szCs w:val="21"/>
                <w:highlight w:val="none"/>
                <w14:textFill>
                  <w14:solidFill>
                    <w14:schemeClr w14:val="tx1"/>
                  </w14:solidFill>
                </w14:textFill>
              </w:rPr>
              <w:t>10</w:t>
            </w:r>
            <w:r>
              <w:rPr>
                <w:rFonts w:hint="eastAsia" w:ascii="宋体" w:hAnsi="宋体" w:cs="宋体"/>
                <w:bCs/>
                <w:color w:val="000000" w:themeColor="text1"/>
                <w:szCs w:val="21"/>
                <w:highlight w:val="none"/>
                <w:lang w:val="zh-CN"/>
                <w14:textFill>
                  <w14:solidFill>
                    <w14:schemeClr w14:val="tx1"/>
                  </w14:solidFill>
                </w14:textFill>
              </w:rPr>
              <w:t>）粉丝：质量好的粉丝，粉条细长、白净、晶莹透明、丝条均匀、整齐、干燥，不易折断，无斑点、黑迹，无霉变，有粉丝特有的光泽。</w:t>
            </w:r>
          </w:p>
          <w:p w14:paraId="3995ABCE">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s="宋体"/>
                <w:bCs/>
                <w:color w:val="000000" w:themeColor="text1"/>
                <w:szCs w:val="21"/>
                <w:highlight w:val="none"/>
                <w:lang w:val="zh-CN"/>
                <w14:textFill>
                  <w14:solidFill>
                    <w14:schemeClr w14:val="tx1"/>
                  </w14:solidFill>
                </w14:textFill>
              </w:rPr>
            </w:pPr>
            <w:r>
              <w:rPr>
                <w:rFonts w:hint="eastAsia" w:ascii="宋体" w:hAnsi="宋体" w:cs="宋体"/>
                <w:bCs/>
                <w:color w:val="000000" w:themeColor="text1"/>
                <w:szCs w:val="21"/>
                <w:highlight w:val="none"/>
                <w:lang w:val="zh-CN"/>
                <w14:textFill>
                  <w14:solidFill>
                    <w14:schemeClr w14:val="tx1"/>
                  </w14:solidFill>
                </w14:textFill>
              </w:rPr>
              <w:t>（</w:t>
            </w:r>
            <w:r>
              <w:rPr>
                <w:rFonts w:hint="eastAsia" w:ascii="宋体" w:hAnsi="宋体" w:cs="宋体"/>
                <w:bCs/>
                <w:color w:val="000000" w:themeColor="text1"/>
                <w:szCs w:val="21"/>
                <w:highlight w:val="none"/>
                <w14:textFill>
                  <w14:solidFill>
                    <w14:schemeClr w14:val="tx1"/>
                  </w14:solidFill>
                </w14:textFill>
              </w:rPr>
              <w:t>11</w:t>
            </w:r>
            <w:r>
              <w:rPr>
                <w:rFonts w:hint="eastAsia" w:ascii="宋体" w:hAnsi="宋体" w:cs="宋体"/>
                <w:bCs/>
                <w:color w:val="000000" w:themeColor="text1"/>
                <w:szCs w:val="21"/>
                <w:highlight w:val="none"/>
                <w:lang w:val="zh-CN"/>
                <w14:textFill>
                  <w14:solidFill>
                    <w14:schemeClr w14:val="tx1"/>
                  </w14:solidFill>
                </w14:textFill>
              </w:rPr>
              <w:t>）蹄筋：猪蹄筋的质量首先从蹄筋抽取的部位区别，后蹄筋体长而圆、粗状、光滑的品质好。前蹄筋体短而扁细、品质较差、保管完好的蹄筋应呈白色、无杂质，干、硬度高。</w:t>
            </w:r>
          </w:p>
          <w:p w14:paraId="056C3B0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s="宋体"/>
                <w:bCs/>
                <w:color w:val="000000" w:themeColor="text1"/>
                <w:szCs w:val="21"/>
                <w:highlight w:val="none"/>
                <w:lang w:val="zh-CN"/>
                <w14:textFill>
                  <w14:solidFill>
                    <w14:schemeClr w14:val="tx1"/>
                  </w14:solidFill>
                </w14:textFill>
              </w:rPr>
            </w:pPr>
            <w:r>
              <w:rPr>
                <w:rFonts w:hint="eastAsia" w:ascii="宋体" w:hAnsi="宋体" w:cs="宋体"/>
                <w:bCs/>
                <w:color w:val="000000" w:themeColor="text1"/>
                <w:szCs w:val="21"/>
                <w:highlight w:val="none"/>
                <w:lang w:val="zh-CN"/>
                <w14:textFill>
                  <w14:solidFill>
                    <w14:schemeClr w14:val="tx1"/>
                  </w14:solidFill>
                </w14:textFill>
              </w:rPr>
              <w:t>（</w:t>
            </w:r>
            <w:r>
              <w:rPr>
                <w:rFonts w:hint="eastAsia" w:ascii="宋体" w:hAnsi="宋体" w:cs="宋体"/>
                <w:bCs/>
                <w:color w:val="000000" w:themeColor="text1"/>
                <w:szCs w:val="21"/>
                <w:highlight w:val="none"/>
                <w14:textFill>
                  <w14:solidFill>
                    <w14:schemeClr w14:val="tx1"/>
                  </w14:solidFill>
                </w14:textFill>
              </w:rPr>
              <w:t>12</w:t>
            </w:r>
            <w:r>
              <w:rPr>
                <w:rFonts w:hint="eastAsia" w:ascii="宋体" w:hAnsi="宋体" w:cs="宋体"/>
                <w:bCs/>
                <w:color w:val="000000" w:themeColor="text1"/>
                <w:szCs w:val="21"/>
                <w:highlight w:val="none"/>
                <w:lang w:val="zh-CN"/>
                <w14:textFill>
                  <w14:solidFill>
                    <w14:schemeClr w14:val="tx1"/>
                  </w14:solidFill>
                </w14:textFill>
              </w:rPr>
              <w:t>）干贝：上等干贝粒大完整、黄亮干燥、肉质饱满，肉丝清晰、粗且有特殊香气。粒小、碎破、色淡无光泽者较次。破碎、发黑发霉的为变质品。</w:t>
            </w:r>
          </w:p>
          <w:p w14:paraId="1852AAF1">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s="宋体"/>
                <w:bCs/>
                <w:color w:val="000000" w:themeColor="text1"/>
                <w:szCs w:val="21"/>
                <w:highlight w:val="none"/>
                <w:lang w:val="zh-CN"/>
                <w14:textFill>
                  <w14:solidFill>
                    <w14:schemeClr w14:val="tx1"/>
                  </w14:solidFill>
                </w14:textFill>
              </w:rPr>
            </w:pPr>
            <w:r>
              <w:rPr>
                <w:rFonts w:hint="eastAsia" w:ascii="宋体" w:hAnsi="宋体" w:cs="宋体"/>
                <w:bCs/>
                <w:color w:val="000000" w:themeColor="text1"/>
                <w:szCs w:val="21"/>
                <w:highlight w:val="none"/>
                <w:lang w:val="zh-CN"/>
                <w14:textFill>
                  <w14:solidFill>
                    <w14:schemeClr w14:val="tx1"/>
                  </w14:solidFill>
                </w14:textFill>
              </w:rPr>
              <w:t>（</w:t>
            </w:r>
            <w:r>
              <w:rPr>
                <w:rFonts w:hint="eastAsia" w:ascii="宋体" w:hAnsi="宋体" w:cs="宋体"/>
                <w:bCs/>
                <w:color w:val="000000" w:themeColor="text1"/>
                <w:szCs w:val="21"/>
                <w:highlight w:val="none"/>
                <w14:textFill>
                  <w14:solidFill>
                    <w14:schemeClr w14:val="tx1"/>
                  </w14:solidFill>
                </w14:textFill>
              </w:rPr>
              <w:t>13</w:t>
            </w:r>
            <w:r>
              <w:rPr>
                <w:rFonts w:hint="eastAsia" w:ascii="宋体" w:hAnsi="宋体" w:cs="宋体"/>
                <w:bCs/>
                <w:color w:val="000000" w:themeColor="text1"/>
                <w:szCs w:val="21"/>
                <w:highlight w:val="none"/>
                <w:lang w:val="zh-CN"/>
                <w14:textFill>
                  <w14:solidFill>
                    <w14:schemeClr w14:val="tx1"/>
                  </w14:solidFill>
                </w14:textFill>
              </w:rPr>
              <w:t>）鱿鱼：市场上常见的鱿鱼有椭圆形和长方形，选购时应注意：体干、体形完整、光亮洁净、淡粉红色、片大头小、肉厚者为优。体形部分卷曲，尾部和背部红中透暗，两侧有微红点、体小而宽、肉薄者为次品。</w:t>
            </w:r>
          </w:p>
          <w:p w14:paraId="6F7B228C">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s="宋体"/>
                <w:bCs/>
                <w:color w:val="000000" w:themeColor="text1"/>
                <w:szCs w:val="21"/>
                <w:highlight w:val="none"/>
                <w:lang w:val="zh-CN"/>
                <w14:textFill>
                  <w14:solidFill>
                    <w14:schemeClr w14:val="tx1"/>
                  </w14:solidFill>
                </w14:textFill>
              </w:rPr>
            </w:pPr>
            <w:r>
              <w:rPr>
                <w:rFonts w:hint="eastAsia" w:ascii="宋体" w:hAnsi="宋体" w:cs="宋体"/>
                <w:bCs/>
                <w:color w:val="000000" w:themeColor="text1"/>
                <w:szCs w:val="21"/>
                <w:highlight w:val="none"/>
                <w:lang w:val="zh-CN"/>
                <w14:textFill>
                  <w14:solidFill>
                    <w14:schemeClr w14:val="tx1"/>
                  </w14:solidFill>
                </w14:textFill>
              </w:rPr>
              <w:t>（</w:t>
            </w:r>
            <w:r>
              <w:rPr>
                <w:rFonts w:hint="eastAsia" w:ascii="宋体" w:hAnsi="宋体" w:cs="宋体"/>
                <w:bCs/>
                <w:color w:val="000000" w:themeColor="text1"/>
                <w:szCs w:val="21"/>
                <w:highlight w:val="none"/>
                <w14:textFill>
                  <w14:solidFill>
                    <w14:schemeClr w14:val="tx1"/>
                  </w14:solidFill>
                </w14:textFill>
              </w:rPr>
              <w:t>14</w:t>
            </w:r>
            <w:r>
              <w:rPr>
                <w:rFonts w:hint="eastAsia" w:ascii="宋体" w:hAnsi="宋体" w:cs="宋体"/>
                <w:bCs/>
                <w:color w:val="000000" w:themeColor="text1"/>
                <w:szCs w:val="21"/>
                <w:highlight w:val="none"/>
                <w:lang w:val="zh-CN"/>
                <w14:textFill>
                  <w14:solidFill>
                    <w14:schemeClr w14:val="tx1"/>
                  </w14:solidFill>
                </w14:textFill>
              </w:rPr>
              <w:t>）海蛰：海蛰是由水母加工制成，选购时应注意色泽，以乳白色或淡黄色、气味清新、质厚均匀、个体完整、块大、无血黑（体肉红皮）有光泽的为上品，带有膜状血衣的为次品。</w:t>
            </w:r>
          </w:p>
          <w:p w14:paraId="5FB6F0D2">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s="宋体"/>
                <w:bCs/>
                <w:color w:val="000000" w:themeColor="text1"/>
                <w:szCs w:val="21"/>
                <w:highlight w:val="none"/>
                <w:lang w:val="zh-CN"/>
                <w14:textFill>
                  <w14:solidFill>
                    <w14:schemeClr w14:val="tx1"/>
                  </w14:solidFill>
                </w14:textFill>
              </w:rPr>
            </w:pPr>
            <w:r>
              <w:rPr>
                <w:rFonts w:hint="eastAsia" w:ascii="宋体" w:hAnsi="宋体" w:cs="宋体"/>
                <w:bCs/>
                <w:color w:val="000000" w:themeColor="text1"/>
                <w:szCs w:val="21"/>
                <w:highlight w:val="none"/>
                <w:lang w:val="zh-CN"/>
                <w14:textFill>
                  <w14:solidFill>
                    <w14:schemeClr w14:val="tx1"/>
                  </w14:solidFill>
                </w14:textFill>
              </w:rPr>
              <w:t>（</w:t>
            </w:r>
            <w:r>
              <w:rPr>
                <w:rFonts w:hint="eastAsia" w:ascii="宋体" w:hAnsi="宋体" w:cs="宋体"/>
                <w:bCs/>
                <w:color w:val="000000" w:themeColor="text1"/>
                <w:szCs w:val="21"/>
                <w:highlight w:val="none"/>
                <w14:textFill>
                  <w14:solidFill>
                    <w14:schemeClr w14:val="tx1"/>
                  </w14:solidFill>
                </w14:textFill>
              </w:rPr>
              <w:t>15</w:t>
            </w:r>
            <w:r>
              <w:rPr>
                <w:rFonts w:hint="eastAsia" w:ascii="宋体" w:hAnsi="宋体" w:cs="宋体"/>
                <w:bCs/>
                <w:color w:val="000000" w:themeColor="text1"/>
                <w:szCs w:val="21"/>
                <w:highlight w:val="none"/>
                <w:lang w:val="zh-CN"/>
                <w14:textFill>
                  <w14:solidFill>
                    <w14:schemeClr w14:val="tx1"/>
                  </w14:solidFill>
                </w14:textFill>
              </w:rPr>
              <w:t>）海参：检验标准主要是以体形的大小，肉质的厚薄及体内有无沙粒来鉴别。体形大、肉质厚、体内无沙者为上品，体形小、肉质薄、原体没剖开，体内有沙粒者较差。</w:t>
            </w:r>
          </w:p>
          <w:p w14:paraId="492AF324">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s="宋体"/>
                <w:bCs/>
                <w:color w:val="000000" w:themeColor="text1"/>
                <w:szCs w:val="21"/>
                <w:highlight w:val="none"/>
                <w:lang w:val="zh-CN"/>
                <w14:textFill>
                  <w14:solidFill>
                    <w14:schemeClr w14:val="tx1"/>
                  </w14:solidFill>
                </w14:textFill>
              </w:rPr>
            </w:pPr>
            <w:r>
              <w:rPr>
                <w:rFonts w:hint="eastAsia" w:ascii="宋体" w:hAnsi="宋体" w:cs="宋体"/>
                <w:bCs/>
                <w:color w:val="000000" w:themeColor="text1"/>
                <w:szCs w:val="21"/>
                <w:highlight w:val="none"/>
                <w:lang w:val="zh-CN"/>
                <w14:textFill>
                  <w14:solidFill>
                    <w14:schemeClr w14:val="tx1"/>
                  </w14:solidFill>
                </w14:textFill>
              </w:rPr>
              <w:t>（</w:t>
            </w:r>
            <w:r>
              <w:rPr>
                <w:rFonts w:hint="eastAsia" w:ascii="宋体" w:hAnsi="宋体" w:cs="宋体"/>
                <w:bCs/>
                <w:color w:val="000000" w:themeColor="text1"/>
                <w:szCs w:val="21"/>
                <w:highlight w:val="none"/>
                <w14:textFill>
                  <w14:solidFill>
                    <w14:schemeClr w14:val="tx1"/>
                  </w14:solidFill>
                </w14:textFill>
              </w:rPr>
              <w:t>16</w:t>
            </w:r>
            <w:r>
              <w:rPr>
                <w:rFonts w:hint="eastAsia" w:ascii="宋体" w:hAnsi="宋体" w:cs="宋体"/>
                <w:bCs/>
                <w:color w:val="000000" w:themeColor="text1"/>
                <w:szCs w:val="21"/>
                <w:highlight w:val="none"/>
                <w:lang w:val="zh-CN"/>
                <w14:textFill>
                  <w14:solidFill>
                    <w14:schemeClr w14:val="tx1"/>
                  </w14:solidFill>
                </w14:textFill>
              </w:rPr>
              <w:t>）紫菜：属海产红藻类植物，因鲜紫菜叶较宽大，经干制成长方块形，散片状卷筒，其中以卷筒形柔嫩微脆、叶薄、色紫清香鲜美的为品质优。</w:t>
            </w:r>
          </w:p>
          <w:p w14:paraId="13735C35">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s="宋体"/>
                <w:bCs/>
                <w:color w:val="000000" w:themeColor="text1"/>
                <w:szCs w:val="21"/>
                <w:highlight w:val="none"/>
                <w:lang w:val="zh-CN"/>
                <w14:textFill>
                  <w14:solidFill>
                    <w14:schemeClr w14:val="tx1"/>
                  </w14:solidFill>
                </w14:textFill>
              </w:rPr>
            </w:pPr>
            <w:r>
              <w:rPr>
                <w:rFonts w:hint="eastAsia" w:ascii="宋体" w:hAnsi="宋体" w:cs="宋体"/>
                <w:bCs/>
                <w:color w:val="000000" w:themeColor="text1"/>
                <w:szCs w:val="21"/>
                <w:highlight w:val="none"/>
                <w:lang w:val="zh-CN"/>
                <w14:textFill>
                  <w14:solidFill>
                    <w14:schemeClr w14:val="tx1"/>
                  </w14:solidFill>
                </w14:textFill>
              </w:rPr>
              <w:t>（</w:t>
            </w:r>
            <w:r>
              <w:rPr>
                <w:rFonts w:hint="eastAsia" w:ascii="宋体" w:hAnsi="宋体" w:cs="宋体"/>
                <w:bCs/>
                <w:color w:val="000000" w:themeColor="text1"/>
                <w:szCs w:val="21"/>
                <w:highlight w:val="none"/>
                <w14:textFill>
                  <w14:solidFill>
                    <w14:schemeClr w14:val="tx1"/>
                  </w14:solidFill>
                </w14:textFill>
              </w:rPr>
              <w:t>17</w:t>
            </w:r>
            <w:r>
              <w:rPr>
                <w:rFonts w:hint="eastAsia" w:ascii="宋体" w:hAnsi="宋体" w:cs="宋体"/>
                <w:bCs/>
                <w:color w:val="000000" w:themeColor="text1"/>
                <w:szCs w:val="21"/>
                <w:highlight w:val="none"/>
                <w:lang w:val="zh-CN"/>
                <w14:textFill>
                  <w14:solidFill>
                    <w14:schemeClr w14:val="tx1"/>
                  </w14:solidFill>
                </w14:textFill>
              </w:rPr>
              <w:t>）发菜：发菜是陆生褐色藻类，以藻体细长、绿黑色、柔软爽滑、干燥、无杂质的质量为优，反之则劣。</w:t>
            </w:r>
          </w:p>
          <w:p w14:paraId="2FAD18E0">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s="宋体"/>
                <w:bCs/>
                <w:color w:val="000000" w:themeColor="text1"/>
                <w:szCs w:val="21"/>
                <w:highlight w:val="none"/>
                <w:lang w:val="zh-CN"/>
                <w14:textFill>
                  <w14:solidFill>
                    <w14:schemeClr w14:val="tx1"/>
                  </w14:solidFill>
                </w14:textFill>
              </w:rPr>
            </w:pPr>
            <w:r>
              <w:rPr>
                <w:rFonts w:hint="eastAsia" w:ascii="宋体" w:hAnsi="宋体" w:cs="宋体"/>
                <w:bCs/>
                <w:color w:val="000000" w:themeColor="text1"/>
                <w:szCs w:val="21"/>
                <w:highlight w:val="none"/>
                <w:lang w:val="zh-CN"/>
                <w14:textFill>
                  <w14:solidFill>
                    <w14:schemeClr w14:val="tx1"/>
                  </w14:solidFill>
                </w14:textFill>
              </w:rPr>
              <w:t>（</w:t>
            </w:r>
            <w:r>
              <w:rPr>
                <w:rFonts w:hint="eastAsia" w:ascii="宋体" w:hAnsi="宋体" w:cs="宋体"/>
                <w:bCs/>
                <w:color w:val="000000" w:themeColor="text1"/>
                <w:szCs w:val="21"/>
                <w:highlight w:val="none"/>
                <w14:textFill>
                  <w14:solidFill>
                    <w14:schemeClr w14:val="tx1"/>
                  </w14:solidFill>
                </w14:textFill>
              </w:rPr>
              <w:t>18</w:t>
            </w:r>
            <w:r>
              <w:rPr>
                <w:rFonts w:hint="eastAsia" w:ascii="宋体" w:hAnsi="宋体" w:cs="宋体"/>
                <w:bCs/>
                <w:color w:val="000000" w:themeColor="text1"/>
                <w:szCs w:val="21"/>
                <w:highlight w:val="none"/>
                <w:lang w:val="zh-CN"/>
                <w14:textFill>
                  <w14:solidFill>
                    <w14:schemeClr w14:val="tx1"/>
                  </w14:solidFill>
                </w14:textFill>
              </w:rPr>
              <w:t>）鱼肚：其标准一般为体大整齐、肚厚、身干、光洁明亮、无虫蛀腐者好；灰暗、肉薄、体小则次之，有虫蛀、颜色发黑、变霉则为变质品。</w:t>
            </w:r>
          </w:p>
          <w:p w14:paraId="20C5E7AB">
            <w:pPr>
              <w:keepNext w:val="0"/>
              <w:keepLines w:val="0"/>
              <w:pageBreakBefore w:val="0"/>
              <w:kinsoku/>
              <w:wordWrap/>
              <w:overflowPunct/>
              <w:topLinePunct w:val="0"/>
              <w:autoSpaceDE/>
              <w:autoSpaceDN/>
              <w:bidi w:val="0"/>
              <w:snapToGrid w:val="0"/>
              <w:spacing w:line="360" w:lineRule="auto"/>
              <w:textAlignment w:val="auto"/>
              <w:outlineLvl w:val="9"/>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3、豆制品：</w:t>
            </w:r>
          </w:p>
          <w:p w14:paraId="5B081A58">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s="宋体"/>
                <w:bCs/>
                <w:color w:val="000000" w:themeColor="text1"/>
                <w:szCs w:val="21"/>
                <w:highlight w:val="none"/>
                <w:lang w:val="zh-CN"/>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w:t>
            </w:r>
            <w:r>
              <w:rPr>
                <w:rFonts w:hint="eastAsia" w:ascii="宋体" w:hAnsi="宋体" w:cs="宋体"/>
                <w:bCs/>
                <w:color w:val="000000" w:themeColor="text1"/>
                <w:szCs w:val="21"/>
                <w:highlight w:val="none"/>
                <w:lang w:val="zh-CN"/>
                <w14:textFill>
                  <w14:solidFill>
                    <w14:schemeClr w14:val="tx1"/>
                  </w14:solidFill>
                </w14:textFill>
              </w:rPr>
              <w:t>豆腐：腐呈均匀的乳白色或淡黄色，稍有光泽，块形完整，软硬适度，富有一定的弹性，质地细嫩，结构均匀，无杂质，具有豆腐特有的香味，取样品品尝时口感细腻鲜嫩，味道纯正清香。</w:t>
            </w:r>
          </w:p>
          <w:p w14:paraId="461DEAE6">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lang w:val="zh-CN"/>
                <w14:textFill>
                  <w14:solidFill>
                    <w14:schemeClr w14:val="tx1"/>
                  </w14:solidFill>
                </w14:textFill>
              </w:rPr>
              <w:t>（</w:t>
            </w:r>
            <w:r>
              <w:rPr>
                <w:rFonts w:hint="eastAsia" w:ascii="宋体" w:hAnsi="宋体" w:cs="宋体"/>
                <w:bCs/>
                <w:color w:val="000000" w:themeColor="text1"/>
                <w:szCs w:val="21"/>
                <w:highlight w:val="none"/>
                <w14:textFill>
                  <w14:solidFill>
                    <w14:schemeClr w14:val="tx1"/>
                  </w14:solidFill>
                </w14:textFill>
              </w:rPr>
              <w:t>2</w:t>
            </w:r>
            <w:r>
              <w:rPr>
                <w:rFonts w:hint="eastAsia" w:ascii="宋体" w:hAnsi="宋体" w:cs="宋体"/>
                <w:bCs/>
                <w:color w:val="000000" w:themeColor="text1"/>
                <w:szCs w:val="21"/>
                <w:highlight w:val="none"/>
                <w:lang w:val="zh-CN"/>
                <w14:textFill>
                  <w14:solidFill>
                    <w14:schemeClr w14:val="tx1"/>
                  </w14:solidFill>
                </w14:textFill>
              </w:rPr>
              <w:t>）油炸豆卜：金黄色或棕黄色，色彩鲜艳而有光泽，块形整齐，有弹性，皮脆，内质呈蜂窝状，不粘不散，无杂质</w:t>
            </w:r>
            <w:r>
              <w:rPr>
                <w:rFonts w:hint="eastAsia" w:ascii="宋体" w:hAnsi="宋体" w:cs="宋体"/>
                <w:bCs/>
                <w:color w:val="000000" w:themeColor="text1"/>
                <w:szCs w:val="21"/>
                <w:highlight w:val="none"/>
                <w14:textFill>
                  <w14:solidFill>
                    <w14:schemeClr w14:val="tx1"/>
                  </w14:solidFill>
                </w14:textFill>
              </w:rPr>
              <w:t>,</w:t>
            </w:r>
            <w:r>
              <w:rPr>
                <w:rFonts w:hint="eastAsia" w:ascii="宋体" w:hAnsi="宋体" w:cs="宋体"/>
                <w:bCs/>
                <w:color w:val="000000" w:themeColor="text1"/>
                <w:szCs w:val="21"/>
                <w:highlight w:val="none"/>
                <w:lang w:val="zh-CN"/>
                <w14:textFill>
                  <w14:solidFill>
                    <w14:schemeClr w14:val="tx1"/>
                  </w14:solidFill>
                </w14:textFill>
              </w:rPr>
              <w:t>具有豆腐泡特有的清香风味，无其他任何不良气味，取样品细细咀嚼，外皮酥脆适口，泡内软嫩，咸香适度，具有豆腐泡固有的滋味。</w:t>
            </w:r>
          </w:p>
          <w:p w14:paraId="7E6A0DAE">
            <w:pPr>
              <w:keepNext w:val="0"/>
              <w:keepLines w:val="0"/>
              <w:pageBreakBefore w:val="0"/>
              <w:kinsoku/>
              <w:wordWrap/>
              <w:overflowPunct/>
              <w:topLinePunct w:val="0"/>
              <w:autoSpaceDE/>
              <w:autoSpaceDN/>
              <w:bidi w:val="0"/>
              <w:snapToGrid w:val="0"/>
              <w:spacing w:line="360" w:lineRule="auto"/>
              <w:textAlignment w:val="auto"/>
              <w:outlineLvl w:val="9"/>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4、粮油（大米、面、油）</w:t>
            </w:r>
          </w:p>
          <w:p w14:paraId="0BA12B38">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 xml:space="preserve">（1）供应产品的质量要求： </w:t>
            </w:r>
          </w:p>
          <w:p w14:paraId="2C4D62F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①米、油货物必须符合卫生，不得有腐烂、变质、油脂酸败、霉变、生虫、污秽不结、混有异物</w:t>
            </w:r>
            <w:r>
              <w:rPr>
                <w:rFonts w:hint="eastAsia" w:ascii="宋体" w:hAnsi="宋体"/>
                <w:bCs/>
                <w:color w:val="000000" w:themeColor="text1"/>
                <w:highlight w:val="none"/>
                <w14:textFill>
                  <w14:solidFill>
                    <w14:schemeClr w14:val="tx1"/>
                  </w14:solidFill>
                </w14:textFill>
              </w:rPr>
              <w:t>或者</w:t>
            </w:r>
            <w:r>
              <w:rPr>
                <w:rFonts w:hint="eastAsia" w:ascii="宋体" w:hAnsi="宋体"/>
                <w:color w:val="000000" w:themeColor="text1"/>
                <w:highlight w:val="none"/>
                <w14:textFill>
                  <w14:solidFill>
                    <w14:schemeClr w14:val="tx1"/>
                  </w14:solidFill>
                </w14:textFill>
              </w:rPr>
              <w:t>其他感官性状异常，并可能对人体健康有害的物质。</w:t>
            </w:r>
          </w:p>
          <w:p w14:paraId="3AE5FF13">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②米、油要提供SC认证、国家机关发出的产品检验合格证书。包装食品：包装箱完整，同时包装箱要印有注册商标、生产厂家名称、厂址、出厂日期、产品合格证、保质期限、产品成份、厂家电话号码。散装豆类：提供生产厂家营业执照、卫生许可证、国家机关发出的产品检验合格证书。中标供应商所提供产品质量必须要符合行业标准要求，不得有掺假、变质、变味、过期等现象出现，严禁伪劣、假冒、无证不合格物品进入仓库。</w:t>
            </w:r>
          </w:p>
          <w:p w14:paraId="14E1966B">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③中标供应商在供应过程中，如果发生出现质量问题或造成食物中毒,如变质等情况，经查实后确属中标供应商责任，中标供应商应承担全部责任，主要包括食物中毒人员医疗费、误工费、事故处理费等，直至追究刑事责任。</w:t>
            </w:r>
          </w:p>
          <w:p w14:paraId="3D038D7A">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outlineLvl w:val="9"/>
              <w:rPr>
                <w:rFonts w:hint="eastAsia" w:ascii="宋体" w:hAnsi="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④</w:t>
            </w:r>
            <w:r>
              <w:rPr>
                <w:rFonts w:hint="eastAsia" w:ascii="宋体" w:hAnsi="宋体"/>
                <w:color w:val="000000" w:themeColor="text1"/>
                <w:highlight w:val="none"/>
                <w14:textFill>
                  <w14:solidFill>
                    <w14:schemeClr w14:val="tx1"/>
                  </w14:solidFill>
                </w14:textFill>
              </w:rPr>
              <w:t>要求提供的食用油生产厂家信誉良好，有明确的商品标签，有生产日期、保质期、质量等级，并标明初制油的加工工艺(即用浸出法生产，还是用压榨法生产的)和是否用转基因油料生产，不许以次充好、以假充真。如将毛油当一级或二级油进行销售，将低价位的植物油掺入高价位植物油中进行销售，牟取暴利，一经查处，中标供应商将承担全部责任。</w:t>
            </w:r>
          </w:p>
          <w:p w14:paraId="65466F1B">
            <w:pPr>
              <w:pStyle w:val="22"/>
              <w:keepNext w:val="0"/>
              <w:keepLines w:val="0"/>
              <w:pageBreakBefore w:val="0"/>
              <w:tabs>
                <w:tab w:val="left" w:pos="545"/>
              </w:tabs>
              <w:kinsoku/>
              <w:wordWrap/>
              <w:overflowPunct/>
              <w:topLinePunct w:val="0"/>
              <w:autoSpaceDE/>
              <w:autoSpaceDN/>
              <w:bidi w:val="0"/>
              <w:ind w:firstLine="0" w:firstLineChars="0"/>
              <w:jc w:val="left"/>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1）大米</w:t>
            </w:r>
          </w:p>
          <w:tbl>
            <w:tblPr>
              <w:tblStyle w:val="16"/>
              <w:tblW w:w="8407" w:type="dxa"/>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074"/>
              <w:gridCol w:w="1266"/>
              <w:gridCol w:w="6067"/>
            </w:tblGrid>
            <w:tr w14:paraId="02868D7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79" w:hRule="atLeast"/>
                <w:jc w:val="center"/>
              </w:trPr>
              <w:tc>
                <w:tcPr>
                  <w:tcW w:w="1074" w:type="dxa"/>
                  <w:tcBorders>
                    <w:bottom w:val="single" w:color="000000" w:sz="6" w:space="0"/>
                    <w:right w:val="single" w:color="000000" w:sz="6" w:space="0"/>
                  </w:tcBorders>
                  <w:noWrap w:val="0"/>
                  <w:vAlign w:val="top"/>
                </w:tcPr>
                <w:p w14:paraId="72F82AAB">
                  <w:pPr>
                    <w:pStyle w:val="24"/>
                    <w:keepNext w:val="0"/>
                    <w:keepLines w:val="0"/>
                    <w:pageBreakBefore w:val="0"/>
                    <w:kinsoku/>
                    <w:wordWrap/>
                    <w:overflowPunct/>
                    <w:topLinePunct w:val="0"/>
                    <w:autoSpaceDE/>
                    <w:autoSpaceDN/>
                    <w:bidi w:val="0"/>
                    <w:spacing w:before="79"/>
                    <w:ind w:left="268" w:right="269"/>
                    <w:jc w:val="center"/>
                    <w:textAlignment w:val="auto"/>
                    <w:outlineLvl w:val="9"/>
                    <w:rPr>
                      <w:b/>
                      <w:color w:val="000000" w:themeColor="text1"/>
                      <w:sz w:val="21"/>
                      <w:szCs w:val="21"/>
                      <w:highlight w:val="none"/>
                      <w14:textFill>
                        <w14:solidFill>
                          <w14:schemeClr w14:val="tx1"/>
                        </w14:solidFill>
                      </w14:textFill>
                    </w:rPr>
                  </w:pPr>
                  <w:r>
                    <w:rPr>
                      <w:b/>
                      <w:color w:val="000000" w:themeColor="text1"/>
                      <w:sz w:val="21"/>
                      <w:szCs w:val="21"/>
                      <w:highlight w:val="none"/>
                      <w14:textFill>
                        <w14:solidFill>
                          <w14:schemeClr w14:val="tx1"/>
                        </w14:solidFill>
                      </w14:textFill>
                    </w:rPr>
                    <w:t>序号</w:t>
                  </w:r>
                </w:p>
              </w:tc>
              <w:tc>
                <w:tcPr>
                  <w:tcW w:w="1266" w:type="dxa"/>
                  <w:tcBorders>
                    <w:left w:val="single" w:color="000000" w:sz="6" w:space="0"/>
                    <w:bottom w:val="single" w:color="000000" w:sz="6" w:space="0"/>
                    <w:right w:val="single" w:color="000000" w:sz="6" w:space="0"/>
                  </w:tcBorders>
                  <w:noWrap w:val="0"/>
                  <w:vAlign w:val="top"/>
                </w:tcPr>
                <w:p w14:paraId="5F5E8380">
                  <w:pPr>
                    <w:pStyle w:val="24"/>
                    <w:keepNext w:val="0"/>
                    <w:keepLines w:val="0"/>
                    <w:pageBreakBefore w:val="0"/>
                    <w:kinsoku/>
                    <w:wordWrap/>
                    <w:overflowPunct/>
                    <w:topLinePunct w:val="0"/>
                    <w:autoSpaceDE/>
                    <w:autoSpaceDN/>
                    <w:bidi w:val="0"/>
                    <w:spacing w:before="79"/>
                    <w:ind w:right="546"/>
                    <w:jc w:val="center"/>
                    <w:textAlignment w:val="auto"/>
                    <w:outlineLvl w:val="9"/>
                    <w:rPr>
                      <w:b/>
                      <w:color w:val="000000" w:themeColor="text1"/>
                      <w:sz w:val="21"/>
                      <w:szCs w:val="21"/>
                      <w:highlight w:val="none"/>
                      <w14:textFill>
                        <w14:solidFill>
                          <w14:schemeClr w14:val="tx1"/>
                        </w14:solidFill>
                      </w14:textFill>
                    </w:rPr>
                  </w:pPr>
                  <w:r>
                    <w:rPr>
                      <w:b/>
                      <w:color w:val="000000" w:themeColor="text1"/>
                      <w:sz w:val="21"/>
                      <w:szCs w:val="21"/>
                      <w:highlight w:val="none"/>
                      <w14:textFill>
                        <w14:solidFill>
                          <w14:schemeClr w14:val="tx1"/>
                        </w14:solidFill>
                      </w14:textFill>
                    </w:rPr>
                    <w:t>品名</w:t>
                  </w:r>
                </w:p>
              </w:tc>
              <w:tc>
                <w:tcPr>
                  <w:tcW w:w="6067" w:type="dxa"/>
                  <w:tcBorders>
                    <w:left w:val="single" w:color="000000" w:sz="6" w:space="0"/>
                    <w:bottom w:val="single" w:color="000000" w:sz="6" w:space="0"/>
                  </w:tcBorders>
                  <w:noWrap w:val="0"/>
                  <w:vAlign w:val="top"/>
                </w:tcPr>
                <w:p w14:paraId="37C28742">
                  <w:pPr>
                    <w:pStyle w:val="24"/>
                    <w:keepNext w:val="0"/>
                    <w:keepLines w:val="0"/>
                    <w:pageBreakBefore w:val="0"/>
                    <w:kinsoku/>
                    <w:wordWrap/>
                    <w:overflowPunct/>
                    <w:topLinePunct w:val="0"/>
                    <w:autoSpaceDE/>
                    <w:autoSpaceDN/>
                    <w:bidi w:val="0"/>
                    <w:spacing w:before="79"/>
                    <w:ind w:right="3434"/>
                    <w:jc w:val="center"/>
                    <w:textAlignment w:val="auto"/>
                    <w:outlineLvl w:val="9"/>
                    <w:rPr>
                      <w:b/>
                      <w:color w:val="000000" w:themeColor="text1"/>
                      <w:sz w:val="21"/>
                      <w:szCs w:val="21"/>
                      <w:highlight w:val="none"/>
                      <w14:textFill>
                        <w14:solidFill>
                          <w14:schemeClr w14:val="tx1"/>
                        </w14:solidFill>
                      </w14:textFill>
                    </w:rPr>
                  </w:pPr>
                  <w:r>
                    <w:rPr>
                      <w:b/>
                      <w:color w:val="000000" w:themeColor="text1"/>
                      <w:sz w:val="21"/>
                      <w:szCs w:val="21"/>
                      <w:highlight w:val="none"/>
                      <w14:textFill>
                        <w14:solidFill>
                          <w14:schemeClr w14:val="tx1"/>
                        </w14:solidFill>
                      </w14:textFill>
                    </w:rPr>
                    <w:t>质量描述</w:t>
                  </w:r>
                </w:p>
              </w:tc>
            </w:tr>
            <w:tr w14:paraId="7C1D334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765" w:hRule="atLeast"/>
                <w:jc w:val="center"/>
              </w:trPr>
              <w:tc>
                <w:tcPr>
                  <w:tcW w:w="1074" w:type="dxa"/>
                  <w:tcBorders>
                    <w:top w:val="single" w:color="000000" w:sz="6" w:space="0"/>
                    <w:bottom w:val="single" w:color="000000" w:sz="6" w:space="0"/>
                    <w:right w:val="single" w:color="000000" w:sz="6" w:space="0"/>
                  </w:tcBorders>
                  <w:noWrap w:val="0"/>
                  <w:vAlign w:val="top"/>
                </w:tcPr>
                <w:p w14:paraId="1A43A2C9">
                  <w:pPr>
                    <w:pStyle w:val="24"/>
                    <w:keepNext w:val="0"/>
                    <w:keepLines w:val="0"/>
                    <w:pageBreakBefore w:val="0"/>
                    <w:kinsoku/>
                    <w:wordWrap/>
                    <w:overflowPunct/>
                    <w:topLinePunct w:val="0"/>
                    <w:autoSpaceDE/>
                    <w:autoSpaceDN/>
                    <w:bidi w:val="0"/>
                    <w:spacing w:before="3"/>
                    <w:jc w:val="center"/>
                    <w:textAlignment w:val="auto"/>
                    <w:outlineLvl w:val="9"/>
                    <w:rPr>
                      <w:rFonts w:hint="eastAsia"/>
                      <w:color w:val="000000" w:themeColor="text1"/>
                      <w:szCs w:val="21"/>
                      <w:highlight w:val="none"/>
                      <w14:textFill>
                        <w14:solidFill>
                          <w14:schemeClr w14:val="tx1"/>
                        </w14:solidFill>
                      </w14:textFill>
                    </w:rPr>
                  </w:pPr>
                </w:p>
                <w:p w14:paraId="0DB22CCB">
                  <w:pPr>
                    <w:pStyle w:val="24"/>
                    <w:keepNext w:val="0"/>
                    <w:keepLines w:val="0"/>
                    <w:pageBreakBefore w:val="0"/>
                    <w:kinsoku/>
                    <w:wordWrap/>
                    <w:overflowPunct/>
                    <w:topLinePunct w:val="0"/>
                    <w:autoSpaceDE/>
                    <w:autoSpaceDN/>
                    <w:bidi w:val="0"/>
                    <w:spacing w:before="3"/>
                    <w:jc w:val="center"/>
                    <w:textAlignment w:val="auto"/>
                    <w:outlineLvl w:val="9"/>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1</w:t>
                  </w:r>
                </w:p>
              </w:tc>
              <w:tc>
                <w:tcPr>
                  <w:tcW w:w="1266" w:type="dxa"/>
                  <w:tcBorders>
                    <w:top w:val="single" w:color="000000" w:sz="6" w:space="0"/>
                    <w:left w:val="single" w:color="000000" w:sz="6" w:space="0"/>
                    <w:bottom w:val="single" w:color="000000" w:sz="6" w:space="0"/>
                    <w:right w:val="single" w:color="000000" w:sz="6" w:space="0"/>
                  </w:tcBorders>
                  <w:noWrap w:val="0"/>
                  <w:vAlign w:val="top"/>
                </w:tcPr>
                <w:p w14:paraId="11BF7F84">
                  <w:pPr>
                    <w:pStyle w:val="24"/>
                    <w:keepNext w:val="0"/>
                    <w:keepLines w:val="0"/>
                    <w:pageBreakBefore w:val="0"/>
                    <w:kinsoku/>
                    <w:wordWrap/>
                    <w:overflowPunct/>
                    <w:topLinePunct w:val="0"/>
                    <w:autoSpaceDE/>
                    <w:autoSpaceDN/>
                    <w:bidi w:val="0"/>
                    <w:spacing w:before="3"/>
                    <w:jc w:val="center"/>
                    <w:textAlignment w:val="auto"/>
                    <w:outlineLvl w:val="9"/>
                    <w:rPr>
                      <w:rFonts w:hint="eastAsia"/>
                      <w:color w:val="000000" w:themeColor="text1"/>
                      <w:szCs w:val="21"/>
                      <w:highlight w:val="none"/>
                      <w14:textFill>
                        <w14:solidFill>
                          <w14:schemeClr w14:val="tx1"/>
                        </w14:solidFill>
                      </w14:textFill>
                    </w:rPr>
                  </w:pPr>
                </w:p>
                <w:p w14:paraId="67095C48">
                  <w:pPr>
                    <w:pStyle w:val="24"/>
                    <w:keepNext w:val="0"/>
                    <w:keepLines w:val="0"/>
                    <w:pageBreakBefore w:val="0"/>
                    <w:kinsoku/>
                    <w:wordWrap/>
                    <w:overflowPunct/>
                    <w:topLinePunct w:val="0"/>
                    <w:autoSpaceDE/>
                    <w:autoSpaceDN/>
                    <w:bidi w:val="0"/>
                    <w:spacing w:before="3"/>
                    <w:jc w:val="center"/>
                    <w:textAlignment w:val="auto"/>
                    <w:outlineLvl w:val="9"/>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大米</w:t>
                  </w:r>
                </w:p>
              </w:tc>
              <w:tc>
                <w:tcPr>
                  <w:tcW w:w="6067" w:type="dxa"/>
                  <w:tcBorders>
                    <w:top w:val="single" w:color="000000" w:sz="6" w:space="0"/>
                    <w:left w:val="single" w:color="000000" w:sz="6" w:space="0"/>
                    <w:bottom w:val="single" w:color="000000" w:sz="6" w:space="0"/>
                  </w:tcBorders>
                  <w:noWrap w:val="0"/>
                  <w:vAlign w:val="top"/>
                </w:tcPr>
                <w:p w14:paraId="52F8C7D6">
                  <w:pPr>
                    <w:pStyle w:val="24"/>
                    <w:keepNext w:val="0"/>
                    <w:keepLines w:val="0"/>
                    <w:pageBreakBefore w:val="0"/>
                    <w:kinsoku/>
                    <w:wordWrap/>
                    <w:overflowPunct/>
                    <w:topLinePunct w:val="0"/>
                    <w:autoSpaceDE/>
                    <w:autoSpaceDN/>
                    <w:bidi w:val="0"/>
                    <w:spacing w:before="3"/>
                    <w:textAlignment w:val="auto"/>
                    <w:outlineLvl w:val="9"/>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14:textFill>
                        <w14:solidFill>
                          <w14:schemeClr w14:val="tx1"/>
                        </w14:solidFill>
                      </w14:textFill>
                    </w:rPr>
                    <w:t>1.</w:t>
                  </w:r>
                  <w:r>
                    <w:rPr>
                      <w:rFonts w:hint="eastAsia"/>
                      <w:color w:val="000000" w:themeColor="text1"/>
                      <w:szCs w:val="21"/>
                      <w:highlight w:val="none"/>
                      <w14:textFill>
                        <w14:solidFill>
                          <w14:schemeClr w14:val="tx1"/>
                        </w14:solidFill>
                      </w14:textFill>
                    </w:rPr>
                    <w:t>大米须达GB/T 1354-2018二级标准，水分含量在12°以下，无掺杂、无沙石，碎米少，无黄粒米；</w:t>
                  </w:r>
                </w:p>
                <w:p w14:paraId="495F1C4A">
                  <w:pPr>
                    <w:pStyle w:val="24"/>
                    <w:keepNext w:val="0"/>
                    <w:keepLines w:val="0"/>
                    <w:pageBreakBefore w:val="0"/>
                    <w:kinsoku/>
                    <w:wordWrap/>
                    <w:overflowPunct/>
                    <w:topLinePunct w:val="0"/>
                    <w:autoSpaceDE/>
                    <w:autoSpaceDN/>
                    <w:bidi w:val="0"/>
                    <w:spacing w:before="3"/>
                    <w:textAlignment w:val="auto"/>
                    <w:outlineLvl w:val="9"/>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14:textFill>
                        <w14:solidFill>
                          <w14:schemeClr w14:val="tx1"/>
                        </w14:solidFill>
                      </w14:textFill>
                    </w:rPr>
                    <w:t>2.</w:t>
                  </w:r>
                  <w:r>
                    <w:rPr>
                      <w:rFonts w:hint="eastAsia"/>
                      <w:color w:val="000000" w:themeColor="text1"/>
                      <w:szCs w:val="21"/>
                      <w:highlight w:val="none"/>
                      <w14:textFill>
                        <w14:solidFill>
                          <w14:schemeClr w14:val="tx1"/>
                        </w14:solidFill>
                      </w14:textFill>
                    </w:rPr>
                    <w:t>大米包装袋上印有大米品名、等级、数量、出厂名、厂家地址及其电话。</w:t>
                  </w:r>
                </w:p>
              </w:tc>
            </w:tr>
            <w:tr w14:paraId="0171922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149" w:hRule="atLeast"/>
                <w:jc w:val="center"/>
              </w:trPr>
              <w:tc>
                <w:tcPr>
                  <w:tcW w:w="1074" w:type="dxa"/>
                  <w:tcBorders>
                    <w:top w:val="single" w:color="000000" w:sz="6" w:space="0"/>
                    <w:bottom w:val="single" w:color="000000" w:sz="6" w:space="0"/>
                    <w:right w:val="single" w:color="000000" w:sz="6" w:space="0"/>
                  </w:tcBorders>
                  <w:noWrap w:val="0"/>
                  <w:vAlign w:val="top"/>
                </w:tcPr>
                <w:p w14:paraId="4675020E">
                  <w:pPr>
                    <w:pStyle w:val="24"/>
                    <w:keepNext w:val="0"/>
                    <w:keepLines w:val="0"/>
                    <w:pageBreakBefore w:val="0"/>
                    <w:kinsoku/>
                    <w:wordWrap/>
                    <w:overflowPunct/>
                    <w:topLinePunct w:val="0"/>
                    <w:autoSpaceDE/>
                    <w:autoSpaceDN/>
                    <w:bidi w:val="0"/>
                    <w:spacing w:before="3"/>
                    <w:jc w:val="center"/>
                    <w:textAlignment w:val="auto"/>
                    <w:outlineLvl w:val="9"/>
                    <w:rPr>
                      <w:rFonts w:hint="eastAsia"/>
                      <w:color w:val="000000" w:themeColor="text1"/>
                      <w:szCs w:val="21"/>
                      <w:highlight w:val="none"/>
                      <w14:textFill>
                        <w14:solidFill>
                          <w14:schemeClr w14:val="tx1"/>
                        </w14:solidFill>
                      </w14:textFill>
                    </w:rPr>
                  </w:pPr>
                </w:p>
                <w:p w14:paraId="7EB85A75">
                  <w:pPr>
                    <w:pStyle w:val="24"/>
                    <w:keepNext w:val="0"/>
                    <w:keepLines w:val="0"/>
                    <w:pageBreakBefore w:val="0"/>
                    <w:kinsoku/>
                    <w:wordWrap/>
                    <w:overflowPunct/>
                    <w:topLinePunct w:val="0"/>
                    <w:autoSpaceDE/>
                    <w:autoSpaceDN/>
                    <w:bidi w:val="0"/>
                    <w:spacing w:before="3"/>
                    <w:jc w:val="center"/>
                    <w:textAlignment w:val="auto"/>
                    <w:outlineLvl w:val="9"/>
                    <w:rPr>
                      <w:rFonts w:hint="eastAsia"/>
                      <w:color w:val="000000" w:themeColor="text1"/>
                      <w:szCs w:val="21"/>
                      <w:highlight w:val="none"/>
                      <w14:textFill>
                        <w14:solidFill>
                          <w14:schemeClr w14:val="tx1"/>
                        </w14:solidFill>
                      </w14:textFill>
                    </w:rPr>
                  </w:pPr>
                </w:p>
                <w:p w14:paraId="7E00B2E2">
                  <w:pPr>
                    <w:pStyle w:val="24"/>
                    <w:keepNext w:val="0"/>
                    <w:keepLines w:val="0"/>
                    <w:pageBreakBefore w:val="0"/>
                    <w:kinsoku/>
                    <w:wordWrap/>
                    <w:overflowPunct/>
                    <w:topLinePunct w:val="0"/>
                    <w:autoSpaceDE/>
                    <w:autoSpaceDN/>
                    <w:bidi w:val="0"/>
                    <w:spacing w:before="3"/>
                    <w:jc w:val="center"/>
                    <w:textAlignment w:val="auto"/>
                    <w:outlineLvl w:val="9"/>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2</w:t>
                  </w:r>
                </w:p>
              </w:tc>
              <w:tc>
                <w:tcPr>
                  <w:tcW w:w="1266" w:type="dxa"/>
                  <w:tcBorders>
                    <w:top w:val="single" w:color="000000" w:sz="6" w:space="0"/>
                    <w:left w:val="single" w:color="000000" w:sz="6" w:space="0"/>
                    <w:bottom w:val="single" w:color="000000" w:sz="6" w:space="0"/>
                    <w:right w:val="single" w:color="000000" w:sz="6" w:space="0"/>
                  </w:tcBorders>
                  <w:noWrap w:val="0"/>
                  <w:vAlign w:val="top"/>
                </w:tcPr>
                <w:p w14:paraId="24B2DBE0">
                  <w:pPr>
                    <w:pStyle w:val="24"/>
                    <w:keepNext w:val="0"/>
                    <w:keepLines w:val="0"/>
                    <w:pageBreakBefore w:val="0"/>
                    <w:kinsoku/>
                    <w:wordWrap/>
                    <w:overflowPunct/>
                    <w:topLinePunct w:val="0"/>
                    <w:autoSpaceDE/>
                    <w:autoSpaceDN/>
                    <w:bidi w:val="0"/>
                    <w:spacing w:before="3"/>
                    <w:jc w:val="center"/>
                    <w:textAlignment w:val="auto"/>
                    <w:outlineLvl w:val="9"/>
                    <w:rPr>
                      <w:rFonts w:hint="eastAsia"/>
                      <w:color w:val="000000" w:themeColor="text1"/>
                      <w:szCs w:val="21"/>
                      <w:highlight w:val="none"/>
                      <w14:textFill>
                        <w14:solidFill>
                          <w14:schemeClr w14:val="tx1"/>
                        </w14:solidFill>
                      </w14:textFill>
                    </w:rPr>
                  </w:pPr>
                </w:p>
                <w:p w14:paraId="48667301">
                  <w:pPr>
                    <w:pStyle w:val="24"/>
                    <w:keepNext w:val="0"/>
                    <w:keepLines w:val="0"/>
                    <w:pageBreakBefore w:val="0"/>
                    <w:kinsoku/>
                    <w:wordWrap/>
                    <w:overflowPunct/>
                    <w:topLinePunct w:val="0"/>
                    <w:autoSpaceDE/>
                    <w:autoSpaceDN/>
                    <w:bidi w:val="0"/>
                    <w:spacing w:before="3"/>
                    <w:jc w:val="center"/>
                    <w:textAlignment w:val="auto"/>
                    <w:outlineLvl w:val="9"/>
                    <w:rPr>
                      <w:rFonts w:hint="eastAsia"/>
                      <w:color w:val="000000" w:themeColor="text1"/>
                      <w:szCs w:val="21"/>
                      <w:highlight w:val="none"/>
                      <w14:textFill>
                        <w14:solidFill>
                          <w14:schemeClr w14:val="tx1"/>
                        </w14:solidFill>
                      </w14:textFill>
                    </w:rPr>
                  </w:pPr>
                </w:p>
                <w:p w14:paraId="1B78CDD6">
                  <w:pPr>
                    <w:pStyle w:val="24"/>
                    <w:keepNext w:val="0"/>
                    <w:keepLines w:val="0"/>
                    <w:pageBreakBefore w:val="0"/>
                    <w:kinsoku/>
                    <w:wordWrap/>
                    <w:overflowPunct/>
                    <w:topLinePunct w:val="0"/>
                    <w:autoSpaceDE/>
                    <w:autoSpaceDN/>
                    <w:bidi w:val="0"/>
                    <w:spacing w:before="3"/>
                    <w:jc w:val="center"/>
                    <w:textAlignment w:val="auto"/>
                    <w:outlineLvl w:val="9"/>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油</w:t>
                  </w:r>
                </w:p>
              </w:tc>
              <w:tc>
                <w:tcPr>
                  <w:tcW w:w="6067" w:type="dxa"/>
                  <w:tcBorders>
                    <w:top w:val="single" w:color="000000" w:sz="6" w:space="0"/>
                    <w:left w:val="single" w:color="000000" w:sz="6" w:space="0"/>
                    <w:bottom w:val="single" w:color="000000" w:sz="6" w:space="0"/>
                  </w:tcBorders>
                  <w:noWrap w:val="0"/>
                  <w:vAlign w:val="top"/>
                </w:tcPr>
                <w:p w14:paraId="786B5C7E">
                  <w:pPr>
                    <w:pStyle w:val="24"/>
                    <w:keepNext w:val="0"/>
                    <w:keepLines w:val="0"/>
                    <w:pageBreakBefore w:val="0"/>
                    <w:kinsoku/>
                    <w:wordWrap/>
                    <w:overflowPunct/>
                    <w:topLinePunct w:val="0"/>
                    <w:autoSpaceDE/>
                    <w:autoSpaceDN/>
                    <w:bidi w:val="0"/>
                    <w:spacing w:before="3"/>
                    <w:textAlignment w:val="auto"/>
                    <w:outlineLvl w:val="9"/>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14:textFill>
                        <w14:solidFill>
                          <w14:schemeClr w14:val="tx1"/>
                        </w14:solidFill>
                      </w14:textFill>
                    </w:rPr>
                    <w:t>1.</w:t>
                  </w:r>
                  <w:r>
                    <w:rPr>
                      <w:rFonts w:hint="eastAsia"/>
                      <w:color w:val="000000" w:themeColor="text1"/>
                      <w:szCs w:val="21"/>
                      <w:highlight w:val="none"/>
                      <w14:textFill>
                        <w14:solidFill>
                          <w14:schemeClr w14:val="tx1"/>
                        </w14:solidFill>
                      </w14:textFill>
                    </w:rPr>
                    <w:t>按国家食用调和油质量标准SB/T 10292-1998；</w:t>
                  </w:r>
                </w:p>
                <w:p w14:paraId="3F7B10E9">
                  <w:pPr>
                    <w:pStyle w:val="24"/>
                    <w:keepNext w:val="0"/>
                    <w:keepLines w:val="0"/>
                    <w:pageBreakBefore w:val="0"/>
                    <w:kinsoku/>
                    <w:wordWrap/>
                    <w:overflowPunct/>
                    <w:topLinePunct w:val="0"/>
                    <w:autoSpaceDE/>
                    <w:autoSpaceDN/>
                    <w:bidi w:val="0"/>
                    <w:spacing w:before="3"/>
                    <w:textAlignment w:val="auto"/>
                    <w:outlineLvl w:val="9"/>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14:textFill>
                        <w14:solidFill>
                          <w14:schemeClr w14:val="tx1"/>
                        </w14:solidFill>
                      </w14:textFill>
                    </w:rPr>
                    <w:t>2.</w:t>
                  </w:r>
                  <w:r>
                    <w:rPr>
                      <w:rFonts w:hint="eastAsia"/>
                      <w:color w:val="000000" w:themeColor="text1"/>
                      <w:szCs w:val="21"/>
                      <w:highlight w:val="none"/>
                      <w14:textFill>
                        <w14:solidFill>
                          <w14:schemeClr w14:val="tx1"/>
                        </w14:solidFill>
                      </w14:textFill>
                    </w:rPr>
                    <w:t>有合格检疫报告，外观的色泽、透明度、气味滋味等无异常；</w:t>
                  </w:r>
                </w:p>
                <w:p w14:paraId="3EE48BB2">
                  <w:pPr>
                    <w:pStyle w:val="24"/>
                    <w:keepNext w:val="0"/>
                    <w:keepLines w:val="0"/>
                    <w:pageBreakBefore w:val="0"/>
                    <w:kinsoku/>
                    <w:wordWrap/>
                    <w:overflowPunct/>
                    <w:topLinePunct w:val="0"/>
                    <w:autoSpaceDE/>
                    <w:autoSpaceDN/>
                    <w:bidi w:val="0"/>
                    <w:spacing w:before="3"/>
                    <w:textAlignment w:val="auto"/>
                    <w:outlineLvl w:val="9"/>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14:textFill>
                        <w14:solidFill>
                          <w14:schemeClr w14:val="tx1"/>
                        </w14:solidFill>
                      </w14:textFill>
                    </w:rPr>
                    <w:t>3.</w:t>
                  </w:r>
                  <w:r>
                    <w:rPr>
                      <w:rFonts w:hint="eastAsia"/>
                      <w:color w:val="000000" w:themeColor="text1"/>
                      <w:szCs w:val="21"/>
                      <w:highlight w:val="none"/>
                      <w14:textFill>
                        <w14:solidFill>
                          <w14:schemeClr w14:val="tx1"/>
                        </w14:solidFill>
                      </w14:textFill>
                    </w:rPr>
                    <w:t>定型包装。</w:t>
                  </w:r>
                </w:p>
              </w:tc>
            </w:tr>
            <w:tr w14:paraId="2B8CDBD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533" w:hRule="atLeast"/>
                <w:jc w:val="center"/>
              </w:trPr>
              <w:tc>
                <w:tcPr>
                  <w:tcW w:w="1074" w:type="dxa"/>
                  <w:tcBorders>
                    <w:top w:val="single" w:color="000000" w:sz="6" w:space="0"/>
                    <w:bottom w:val="single" w:color="000000" w:sz="6" w:space="0"/>
                    <w:right w:val="single" w:color="000000" w:sz="6" w:space="0"/>
                  </w:tcBorders>
                  <w:noWrap w:val="0"/>
                  <w:vAlign w:val="top"/>
                </w:tcPr>
                <w:p w14:paraId="1B153E0D">
                  <w:pPr>
                    <w:pStyle w:val="24"/>
                    <w:keepNext w:val="0"/>
                    <w:keepLines w:val="0"/>
                    <w:pageBreakBefore w:val="0"/>
                    <w:kinsoku/>
                    <w:wordWrap/>
                    <w:overflowPunct/>
                    <w:topLinePunct w:val="0"/>
                    <w:autoSpaceDE/>
                    <w:autoSpaceDN/>
                    <w:bidi w:val="0"/>
                    <w:spacing w:before="3"/>
                    <w:jc w:val="center"/>
                    <w:textAlignment w:val="auto"/>
                    <w:outlineLvl w:val="9"/>
                    <w:rPr>
                      <w:rFonts w:hint="eastAsia"/>
                      <w:color w:val="000000" w:themeColor="text1"/>
                      <w:szCs w:val="21"/>
                      <w:highlight w:val="none"/>
                      <w14:textFill>
                        <w14:solidFill>
                          <w14:schemeClr w14:val="tx1"/>
                        </w14:solidFill>
                      </w14:textFill>
                    </w:rPr>
                  </w:pPr>
                </w:p>
                <w:p w14:paraId="60A14F43">
                  <w:pPr>
                    <w:pStyle w:val="24"/>
                    <w:keepNext w:val="0"/>
                    <w:keepLines w:val="0"/>
                    <w:pageBreakBefore w:val="0"/>
                    <w:kinsoku/>
                    <w:wordWrap/>
                    <w:overflowPunct/>
                    <w:topLinePunct w:val="0"/>
                    <w:autoSpaceDE/>
                    <w:autoSpaceDN/>
                    <w:bidi w:val="0"/>
                    <w:spacing w:before="3"/>
                    <w:jc w:val="center"/>
                    <w:textAlignment w:val="auto"/>
                    <w:outlineLvl w:val="9"/>
                    <w:rPr>
                      <w:rFonts w:hint="eastAsia"/>
                      <w:color w:val="000000" w:themeColor="text1"/>
                      <w:szCs w:val="21"/>
                      <w:highlight w:val="none"/>
                      <w14:textFill>
                        <w14:solidFill>
                          <w14:schemeClr w14:val="tx1"/>
                        </w14:solidFill>
                      </w14:textFill>
                    </w:rPr>
                  </w:pPr>
                </w:p>
                <w:p w14:paraId="78432F5A">
                  <w:pPr>
                    <w:pStyle w:val="24"/>
                    <w:keepNext w:val="0"/>
                    <w:keepLines w:val="0"/>
                    <w:pageBreakBefore w:val="0"/>
                    <w:kinsoku/>
                    <w:wordWrap/>
                    <w:overflowPunct/>
                    <w:topLinePunct w:val="0"/>
                    <w:autoSpaceDE/>
                    <w:autoSpaceDN/>
                    <w:bidi w:val="0"/>
                    <w:spacing w:before="3"/>
                    <w:jc w:val="center"/>
                    <w:textAlignment w:val="auto"/>
                    <w:outlineLvl w:val="9"/>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3</w:t>
                  </w:r>
                </w:p>
              </w:tc>
              <w:tc>
                <w:tcPr>
                  <w:tcW w:w="1266" w:type="dxa"/>
                  <w:tcBorders>
                    <w:top w:val="single" w:color="000000" w:sz="6" w:space="0"/>
                    <w:left w:val="single" w:color="000000" w:sz="6" w:space="0"/>
                    <w:bottom w:val="single" w:color="000000" w:sz="6" w:space="0"/>
                    <w:right w:val="single" w:color="000000" w:sz="6" w:space="0"/>
                  </w:tcBorders>
                  <w:noWrap w:val="0"/>
                  <w:vAlign w:val="top"/>
                </w:tcPr>
                <w:p w14:paraId="517D0415">
                  <w:pPr>
                    <w:pStyle w:val="24"/>
                    <w:keepNext w:val="0"/>
                    <w:keepLines w:val="0"/>
                    <w:pageBreakBefore w:val="0"/>
                    <w:kinsoku/>
                    <w:wordWrap/>
                    <w:overflowPunct/>
                    <w:topLinePunct w:val="0"/>
                    <w:autoSpaceDE/>
                    <w:autoSpaceDN/>
                    <w:bidi w:val="0"/>
                    <w:spacing w:before="3"/>
                    <w:jc w:val="center"/>
                    <w:textAlignment w:val="auto"/>
                    <w:outlineLvl w:val="9"/>
                    <w:rPr>
                      <w:rFonts w:hint="eastAsia"/>
                      <w:color w:val="000000" w:themeColor="text1"/>
                      <w:szCs w:val="21"/>
                      <w:highlight w:val="none"/>
                      <w14:textFill>
                        <w14:solidFill>
                          <w14:schemeClr w14:val="tx1"/>
                        </w14:solidFill>
                      </w14:textFill>
                    </w:rPr>
                  </w:pPr>
                </w:p>
                <w:p w14:paraId="34CE6067">
                  <w:pPr>
                    <w:pStyle w:val="24"/>
                    <w:keepNext w:val="0"/>
                    <w:keepLines w:val="0"/>
                    <w:pageBreakBefore w:val="0"/>
                    <w:kinsoku/>
                    <w:wordWrap/>
                    <w:overflowPunct/>
                    <w:topLinePunct w:val="0"/>
                    <w:autoSpaceDE/>
                    <w:autoSpaceDN/>
                    <w:bidi w:val="0"/>
                    <w:spacing w:before="3"/>
                    <w:jc w:val="center"/>
                    <w:textAlignment w:val="auto"/>
                    <w:outlineLvl w:val="9"/>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高筋面粉（含面粉配料）</w:t>
                  </w:r>
                </w:p>
              </w:tc>
              <w:tc>
                <w:tcPr>
                  <w:tcW w:w="6067" w:type="dxa"/>
                  <w:tcBorders>
                    <w:top w:val="single" w:color="000000" w:sz="6" w:space="0"/>
                    <w:left w:val="single" w:color="000000" w:sz="6" w:space="0"/>
                    <w:bottom w:val="single" w:color="000000" w:sz="6" w:space="0"/>
                  </w:tcBorders>
                  <w:noWrap w:val="0"/>
                  <w:vAlign w:val="top"/>
                </w:tcPr>
                <w:p w14:paraId="1406C095">
                  <w:pPr>
                    <w:pStyle w:val="24"/>
                    <w:keepNext w:val="0"/>
                    <w:keepLines w:val="0"/>
                    <w:pageBreakBefore w:val="0"/>
                    <w:kinsoku/>
                    <w:wordWrap/>
                    <w:overflowPunct/>
                    <w:topLinePunct w:val="0"/>
                    <w:autoSpaceDE/>
                    <w:autoSpaceDN/>
                    <w:bidi w:val="0"/>
                    <w:spacing w:before="3"/>
                    <w:textAlignment w:val="auto"/>
                    <w:outlineLvl w:val="9"/>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14:textFill>
                        <w14:solidFill>
                          <w14:schemeClr w14:val="tx1"/>
                        </w14:solidFill>
                      </w14:textFill>
                    </w:rPr>
                    <w:t>1.</w:t>
                  </w:r>
                  <w:r>
                    <w:rPr>
                      <w:rFonts w:hint="eastAsia"/>
                      <w:color w:val="000000" w:themeColor="text1"/>
                      <w:szCs w:val="21"/>
                      <w:highlight w:val="none"/>
                      <w14:textFill>
                        <w14:solidFill>
                          <w14:schemeClr w14:val="tx1"/>
                        </w14:solidFill>
                      </w14:textFill>
                    </w:rPr>
                    <w:t>高筋面粉达GB/T 8607-1988国家标准，质量等级一级；</w:t>
                  </w:r>
                </w:p>
                <w:p w14:paraId="463030FF">
                  <w:pPr>
                    <w:pStyle w:val="24"/>
                    <w:keepNext w:val="0"/>
                    <w:keepLines w:val="0"/>
                    <w:pageBreakBefore w:val="0"/>
                    <w:kinsoku/>
                    <w:wordWrap/>
                    <w:overflowPunct/>
                    <w:topLinePunct w:val="0"/>
                    <w:autoSpaceDE/>
                    <w:autoSpaceDN/>
                    <w:bidi w:val="0"/>
                    <w:spacing w:before="3"/>
                    <w:textAlignment w:val="auto"/>
                    <w:outlineLvl w:val="9"/>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14:textFill>
                        <w14:solidFill>
                          <w14:schemeClr w14:val="tx1"/>
                        </w14:solidFill>
                      </w14:textFill>
                    </w:rPr>
                    <w:t>2.</w:t>
                  </w:r>
                  <w:r>
                    <w:rPr>
                      <w:rFonts w:hint="eastAsia"/>
                      <w:color w:val="000000" w:themeColor="text1"/>
                      <w:szCs w:val="21"/>
                      <w:highlight w:val="none"/>
                      <w14:textFill>
                        <w14:solidFill>
                          <w14:schemeClr w14:val="tx1"/>
                        </w14:solidFill>
                      </w14:textFill>
                    </w:rPr>
                    <w:t>色泽正常，干爽无异味；</w:t>
                  </w:r>
                </w:p>
                <w:p w14:paraId="4916E8A0">
                  <w:pPr>
                    <w:pStyle w:val="24"/>
                    <w:keepNext w:val="0"/>
                    <w:keepLines w:val="0"/>
                    <w:pageBreakBefore w:val="0"/>
                    <w:kinsoku/>
                    <w:wordWrap/>
                    <w:overflowPunct/>
                    <w:topLinePunct w:val="0"/>
                    <w:autoSpaceDE/>
                    <w:autoSpaceDN/>
                    <w:bidi w:val="0"/>
                    <w:spacing w:before="3"/>
                    <w:textAlignment w:val="auto"/>
                    <w:outlineLvl w:val="9"/>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14:textFill>
                        <w14:solidFill>
                          <w14:schemeClr w14:val="tx1"/>
                        </w14:solidFill>
                      </w14:textFill>
                    </w:rPr>
                    <w:t>3.</w:t>
                  </w:r>
                  <w:r>
                    <w:rPr>
                      <w:rFonts w:hint="eastAsia"/>
                      <w:color w:val="000000" w:themeColor="text1"/>
                      <w:szCs w:val="21"/>
                      <w:highlight w:val="none"/>
                      <w14:textFill>
                        <w14:solidFill>
                          <w14:schemeClr w14:val="tx1"/>
                        </w14:solidFill>
                      </w14:textFill>
                    </w:rPr>
                    <w:t>按进货量抽查20％，数量按抽查验收实数为准；</w:t>
                  </w:r>
                </w:p>
                <w:p w14:paraId="72591059">
                  <w:pPr>
                    <w:pStyle w:val="24"/>
                    <w:keepNext w:val="0"/>
                    <w:keepLines w:val="0"/>
                    <w:pageBreakBefore w:val="0"/>
                    <w:kinsoku/>
                    <w:wordWrap/>
                    <w:overflowPunct/>
                    <w:topLinePunct w:val="0"/>
                    <w:autoSpaceDE/>
                    <w:autoSpaceDN/>
                    <w:bidi w:val="0"/>
                    <w:spacing w:before="3"/>
                    <w:textAlignment w:val="auto"/>
                    <w:outlineLvl w:val="9"/>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14:textFill>
                        <w14:solidFill>
                          <w14:schemeClr w14:val="tx1"/>
                        </w14:solidFill>
                      </w14:textFill>
                    </w:rPr>
                    <w:t>4.</w:t>
                  </w:r>
                  <w:r>
                    <w:rPr>
                      <w:rFonts w:hint="eastAsia"/>
                      <w:color w:val="000000" w:themeColor="text1"/>
                      <w:szCs w:val="21"/>
                      <w:highlight w:val="none"/>
                      <w14:textFill>
                        <w14:solidFill>
                          <w14:schemeClr w14:val="tx1"/>
                        </w14:solidFill>
                      </w14:textFill>
                    </w:rPr>
                    <w:t>包装袋上有注册商标及QS标注，有检验合格证、生产日期和保质期。</w:t>
                  </w:r>
                </w:p>
              </w:tc>
            </w:tr>
            <w:tr w14:paraId="185B2C9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531" w:hRule="atLeast"/>
                <w:jc w:val="center"/>
              </w:trPr>
              <w:tc>
                <w:tcPr>
                  <w:tcW w:w="1074" w:type="dxa"/>
                  <w:tcBorders>
                    <w:top w:val="single" w:color="000000" w:sz="6" w:space="0"/>
                    <w:right w:val="single" w:color="000000" w:sz="6" w:space="0"/>
                  </w:tcBorders>
                  <w:noWrap w:val="0"/>
                  <w:vAlign w:val="top"/>
                </w:tcPr>
                <w:p w14:paraId="4129E3E2">
                  <w:pPr>
                    <w:pStyle w:val="24"/>
                    <w:keepNext w:val="0"/>
                    <w:keepLines w:val="0"/>
                    <w:pageBreakBefore w:val="0"/>
                    <w:kinsoku/>
                    <w:wordWrap/>
                    <w:overflowPunct/>
                    <w:topLinePunct w:val="0"/>
                    <w:autoSpaceDE/>
                    <w:autoSpaceDN/>
                    <w:bidi w:val="0"/>
                    <w:spacing w:before="3"/>
                    <w:jc w:val="center"/>
                    <w:textAlignment w:val="auto"/>
                    <w:outlineLvl w:val="9"/>
                    <w:rPr>
                      <w:rFonts w:hint="eastAsia"/>
                      <w:color w:val="000000" w:themeColor="text1"/>
                      <w:szCs w:val="21"/>
                      <w:highlight w:val="none"/>
                      <w14:textFill>
                        <w14:solidFill>
                          <w14:schemeClr w14:val="tx1"/>
                        </w14:solidFill>
                      </w14:textFill>
                    </w:rPr>
                  </w:pPr>
                </w:p>
                <w:p w14:paraId="51F71D4A">
                  <w:pPr>
                    <w:pStyle w:val="24"/>
                    <w:keepNext w:val="0"/>
                    <w:keepLines w:val="0"/>
                    <w:pageBreakBefore w:val="0"/>
                    <w:kinsoku/>
                    <w:wordWrap/>
                    <w:overflowPunct/>
                    <w:topLinePunct w:val="0"/>
                    <w:autoSpaceDE/>
                    <w:autoSpaceDN/>
                    <w:bidi w:val="0"/>
                    <w:spacing w:before="3"/>
                    <w:jc w:val="center"/>
                    <w:textAlignment w:val="auto"/>
                    <w:outlineLvl w:val="9"/>
                    <w:rPr>
                      <w:rFonts w:hint="eastAsia"/>
                      <w:color w:val="000000" w:themeColor="text1"/>
                      <w:szCs w:val="21"/>
                      <w:highlight w:val="none"/>
                      <w14:textFill>
                        <w14:solidFill>
                          <w14:schemeClr w14:val="tx1"/>
                        </w14:solidFill>
                      </w14:textFill>
                    </w:rPr>
                  </w:pPr>
                </w:p>
                <w:p w14:paraId="2097FFDB">
                  <w:pPr>
                    <w:pStyle w:val="24"/>
                    <w:keepNext w:val="0"/>
                    <w:keepLines w:val="0"/>
                    <w:pageBreakBefore w:val="0"/>
                    <w:kinsoku/>
                    <w:wordWrap/>
                    <w:overflowPunct/>
                    <w:topLinePunct w:val="0"/>
                    <w:autoSpaceDE/>
                    <w:autoSpaceDN/>
                    <w:bidi w:val="0"/>
                    <w:spacing w:before="3"/>
                    <w:jc w:val="center"/>
                    <w:textAlignment w:val="auto"/>
                    <w:outlineLvl w:val="9"/>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4</w:t>
                  </w:r>
                </w:p>
              </w:tc>
              <w:tc>
                <w:tcPr>
                  <w:tcW w:w="1266" w:type="dxa"/>
                  <w:tcBorders>
                    <w:top w:val="single" w:color="000000" w:sz="6" w:space="0"/>
                    <w:left w:val="single" w:color="000000" w:sz="6" w:space="0"/>
                    <w:right w:val="single" w:color="000000" w:sz="6" w:space="0"/>
                  </w:tcBorders>
                  <w:noWrap w:val="0"/>
                  <w:vAlign w:val="top"/>
                </w:tcPr>
                <w:p w14:paraId="5D93236A">
                  <w:pPr>
                    <w:pStyle w:val="24"/>
                    <w:keepNext w:val="0"/>
                    <w:keepLines w:val="0"/>
                    <w:pageBreakBefore w:val="0"/>
                    <w:kinsoku/>
                    <w:wordWrap/>
                    <w:overflowPunct/>
                    <w:topLinePunct w:val="0"/>
                    <w:autoSpaceDE/>
                    <w:autoSpaceDN/>
                    <w:bidi w:val="0"/>
                    <w:spacing w:before="3"/>
                    <w:jc w:val="center"/>
                    <w:textAlignment w:val="auto"/>
                    <w:outlineLvl w:val="9"/>
                    <w:rPr>
                      <w:rFonts w:hint="eastAsia"/>
                      <w:color w:val="000000" w:themeColor="text1"/>
                      <w:szCs w:val="21"/>
                      <w:highlight w:val="none"/>
                      <w14:textFill>
                        <w14:solidFill>
                          <w14:schemeClr w14:val="tx1"/>
                        </w14:solidFill>
                      </w14:textFill>
                    </w:rPr>
                  </w:pPr>
                </w:p>
                <w:p w14:paraId="688B2B3C">
                  <w:pPr>
                    <w:pStyle w:val="24"/>
                    <w:keepNext w:val="0"/>
                    <w:keepLines w:val="0"/>
                    <w:pageBreakBefore w:val="0"/>
                    <w:kinsoku/>
                    <w:wordWrap/>
                    <w:overflowPunct/>
                    <w:topLinePunct w:val="0"/>
                    <w:autoSpaceDE/>
                    <w:autoSpaceDN/>
                    <w:bidi w:val="0"/>
                    <w:spacing w:before="3"/>
                    <w:jc w:val="center"/>
                    <w:textAlignment w:val="auto"/>
                    <w:outlineLvl w:val="9"/>
                    <w:rPr>
                      <w:rFonts w:hint="eastAsia"/>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低筋面粉（含面粉配料）</w:t>
                  </w:r>
                </w:p>
              </w:tc>
              <w:tc>
                <w:tcPr>
                  <w:tcW w:w="6067" w:type="dxa"/>
                  <w:tcBorders>
                    <w:top w:val="single" w:color="000000" w:sz="6" w:space="0"/>
                    <w:left w:val="single" w:color="000000" w:sz="6" w:space="0"/>
                  </w:tcBorders>
                  <w:noWrap w:val="0"/>
                  <w:vAlign w:val="top"/>
                </w:tcPr>
                <w:p w14:paraId="1BF3F7AE">
                  <w:pPr>
                    <w:pStyle w:val="24"/>
                    <w:keepNext w:val="0"/>
                    <w:keepLines w:val="0"/>
                    <w:pageBreakBefore w:val="0"/>
                    <w:kinsoku/>
                    <w:wordWrap/>
                    <w:overflowPunct/>
                    <w:topLinePunct w:val="0"/>
                    <w:autoSpaceDE/>
                    <w:autoSpaceDN/>
                    <w:bidi w:val="0"/>
                    <w:spacing w:before="3"/>
                    <w:textAlignment w:val="auto"/>
                    <w:outlineLvl w:val="9"/>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14:textFill>
                        <w14:solidFill>
                          <w14:schemeClr w14:val="tx1"/>
                        </w14:solidFill>
                      </w14:textFill>
                    </w:rPr>
                    <w:t>1.</w:t>
                  </w:r>
                  <w:r>
                    <w:rPr>
                      <w:rFonts w:hint="eastAsia"/>
                      <w:color w:val="000000" w:themeColor="text1"/>
                      <w:szCs w:val="21"/>
                      <w:highlight w:val="none"/>
                      <w14:textFill>
                        <w14:solidFill>
                          <w14:schemeClr w14:val="tx1"/>
                        </w14:solidFill>
                      </w14:textFill>
                    </w:rPr>
                    <w:t>低筋面粉达GB/T 8608-1988标准，质量等级一级；</w:t>
                  </w:r>
                </w:p>
                <w:p w14:paraId="2398785D">
                  <w:pPr>
                    <w:pStyle w:val="24"/>
                    <w:keepNext w:val="0"/>
                    <w:keepLines w:val="0"/>
                    <w:pageBreakBefore w:val="0"/>
                    <w:kinsoku/>
                    <w:wordWrap/>
                    <w:overflowPunct/>
                    <w:topLinePunct w:val="0"/>
                    <w:autoSpaceDE/>
                    <w:autoSpaceDN/>
                    <w:bidi w:val="0"/>
                    <w:spacing w:before="3"/>
                    <w:textAlignment w:val="auto"/>
                    <w:outlineLvl w:val="9"/>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14:textFill>
                        <w14:solidFill>
                          <w14:schemeClr w14:val="tx1"/>
                        </w14:solidFill>
                      </w14:textFill>
                    </w:rPr>
                    <w:t>2.</w:t>
                  </w:r>
                  <w:r>
                    <w:rPr>
                      <w:rFonts w:hint="eastAsia"/>
                      <w:color w:val="000000" w:themeColor="text1"/>
                      <w:szCs w:val="21"/>
                      <w:highlight w:val="none"/>
                      <w14:textFill>
                        <w14:solidFill>
                          <w14:schemeClr w14:val="tx1"/>
                        </w14:solidFill>
                      </w14:textFill>
                    </w:rPr>
                    <w:t>色泽正常，干爽无异味；</w:t>
                  </w:r>
                </w:p>
                <w:p w14:paraId="659EEEE9">
                  <w:pPr>
                    <w:pStyle w:val="24"/>
                    <w:keepNext w:val="0"/>
                    <w:keepLines w:val="0"/>
                    <w:pageBreakBefore w:val="0"/>
                    <w:kinsoku/>
                    <w:wordWrap/>
                    <w:overflowPunct/>
                    <w:topLinePunct w:val="0"/>
                    <w:autoSpaceDE/>
                    <w:autoSpaceDN/>
                    <w:bidi w:val="0"/>
                    <w:spacing w:before="3"/>
                    <w:textAlignment w:val="auto"/>
                    <w:outlineLvl w:val="9"/>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14:textFill>
                        <w14:solidFill>
                          <w14:schemeClr w14:val="tx1"/>
                        </w14:solidFill>
                      </w14:textFill>
                    </w:rPr>
                    <w:t>3.</w:t>
                  </w:r>
                  <w:r>
                    <w:rPr>
                      <w:rFonts w:hint="eastAsia"/>
                      <w:color w:val="000000" w:themeColor="text1"/>
                      <w:szCs w:val="21"/>
                      <w:highlight w:val="none"/>
                      <w14:textFill>
                        <w14:solidFill>
                          <w14:schemeClr w14:val="tx1"/>
                        </w14:solidFill>
                      </w14:textFill>
                    </w:rPr>
                    <w:t>按进货量抽查20％，数量按抽查验收实数为准；</w:t>
                  </w:r>
                </w:p>
                <w:p w14:paraId="189A3694">
                  <w:pPr>
                    <w:pStyle w:val="24"/>
                    <w:keepNext w:val="0"/>
                    <w:keepLines w:val="0"/>
                    <w:pageBreakBefore w:val="0"/>
                    <w:kinsoku/>
                    <w:wordWrap/>
                    <w:overflowPunct/>
                    <w:topLinePunct w:val="0"/>
                    <w:autoSpaceDE/>
                    <w:autoSpaceDN/>
                    <w:bidi w:val="0"/>
                    <w:spacing w:before="3"/>
                    <w:textAlignment w:val="auto"/>
                    <w:outlineLvl w:val="9"/>
                    <w:rPr>
                      <w:rFonts w:hint="eastAsia"/>
                      <w:color w:val="000000" w:themeColor="text1"/>
                      <w:szCs w:val="21"/>
                      <w:highlight w:val="none"/>
                      <w14:textFill>
                        <w14:solidFill>
                          <w14:schemeClr w14:val="tx1"/>
                        </w14:solidFill>
                      </w14:textFill>
                    </w:rPr>
                  </w:pPr>
                  <w:r>
                    <w:rPr>
                      <w:rFonts w:hint="eastAsia"/>
                      <w:color w:val="000000" w:themeColor="text1"/>
                      <w:szCs w:val="21"/>
                      <w:highlight w:val="none"/>
                      <w:lang w:val="en-US"/>
                      <w14:textFill>
                        <w14:solidFill>
                          <w14:schemeClr w14:val="tx1"/>
                        </w14:solidFill>
                      </w14:textFill>
                    </w:rPr>
                    <w:t>4.</w:t>
                  </w:r>
                  <w:r>
                    <w:rPr>
                      <w:rFonts w:hint="eastAsia"/>
                      <w:color w:val="000000" w:themeColor="text1"/>
                      <w:szCs w:val="21"/>
                      <w:highlight w:val="none"/>
                      <w14:textFill>
                        <w14:solidFill>
                          <w14:schemeClr w14:val="tx1"/>
                        </w14:solidFill>
                      </w14:textFill>
                    </w:rPr>
                    <w:t>包装袋上有注册商标及QS标注，有检验合格证、生产日期和保质期。</w:t>
                  </w:r>
                </w:p>
              </w:tc>
            </w:tr>
          </w:tbl>
          <w:p w14:paraId="1124DF48">
            <w:pPr>
              <w:pStyle w:val="22"/>
              <w:keepNext w:val="0"/>
              <w:keepLines w:val="0"/>
              <w:pageBreakBefore w:val="0"/>
              <w:tabs>
                <w:tab w:val="left" w:pos="545"/>
              </w:tabs>
              <w:kinsoku/>
              <w:wordWrap/>
              <w:overflowPunct/>
              <w:topLinePunct w:val="0"/>
              <w:autoSpaceDE/>
              <w:autoSpaceDN/>
              <w:bidi w:val="0"/>
              <w:spacing w:before="86"/>
              <w:ind w:left="420" w:leftChars="200" w:firstLine="0" w:firstLineChars="0"/>
              <w:jc w:val="left"/>
              <w:textAlignment w:val="auto"/>
              <w:outlineLvl w:val="9"/>
              <w:rPr>
                <w:color w:val="000000" w:themeColor="text1"/>
                <w:szCs w:val="21"/>
                <w:highlight w:val="none"/>
                <w14:textFill>
                  <w14:solidFill>
                    <w14:schemeClr w14:val="tx1"/>
                  </w14:solidFill>
                </w14:textFill>
              </w:rPr>
            </w:pPr>
          </w:p>
          <w:p w14:paraId="7C5093E5">
            <w:pPr>
              <w:pStyle w:val="22"/>
              <w:keepNext w:val="0"/>
              <w:keepLines w:val="0"/>
              <w:pageBreakBefore w:val="0"/>
              <w:tabs>
                <w:tab w:val="left" w:pos="545"/>
              </w:tabs>
              <w:kinsoku/>
              <w:wordWrap/>
              <w:overflowPunct/>
              <w:topLinePunct w:val="0"/>
              <w:autoSpaceDE/>
              <w:autoSpaceDN/>
              <w:bidi w:val="0"/>
              <w:spacing w:before="86"/>
              <w:ind w:left="420" w:leftChars="200" w:firstLine="0" w:firstLineChars="0"/>
              <w:jc w:val="left"/>
              <w:textAlignment w:val="auto"/>
              <w:outlineLvl w:val="9"/>
              <w:rPr>
                <w:color w:val="000000" w:themeColor="text1"/>
                <w:sz w:val="15"/>
                <w:highlight w:val="none"/>
                <w14:textFill>
                  <w14:solidFill>
                    <w14:schemeClr w14:val="tx1"/>
                  </w14:solidFill>
                </w14:textFill>
              </w:rPr>
            </w:pPr>
            <w:r>
              <w:rPr>
                <w:color w:val="000000" w:themeColor="text1"/>
                <w:szCs w:val="21"/>
                <w:highlight w:val="none"/>
                <w14:textFill>
                  <w14:solidFill>
                    <w14:schemeClr w14:val="tx1"/>
                  </w14:solidFill>
                </w14:textFill>
              </w:rPr>
              <w:t>大米检测标准要求</w:t>
            </w:r>
          </w:p>
          <w:tbl>
            <w:tblPr>
              <w:tblStyle w:val="16"/>
              <w:tblW w:w="864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02"/>
              <w:gridCol w:w="1564"/>
              <w:gridCol w:w="1581"/>
              <w:gridCol w:w="4399"/>
            </w:tblGrid>
            <w:tr w14:paraId="59646E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jc w:val="center"/>
              </w:trPr>
              <w:tc>
                <w:tcPr>
                  <w:tcW w:w="1102" w:type="dxa"/>
                  <w:noWrap w:val="0"/>
                  <w:vAlign w:val="center"/>
                </w:tcPr>
                <w:p w14:paraId="7DA80CD8">
                  <w:pPr>
                    <w:keepNext w:val="0"/>
                    <w:keepLines w:val="0"/>
                    <w:pageBreakBefore w:val="0"/>
                    <w:kinsoku/>
                    <w:wordWrap/>
                    <w:overflowPunct/>
                    <w:topLinePunct w:val="0"/>
                    <w:autoSpaceDE/>
                    <w:autoSpaceDN/>
                    <w:bidi w:val="0"/>
                    <w:jc w:val="center"/>
                    <w:textAlignment w:val="auto"/>
                    <w:outlineLvl w:val="9"/>
                    <w:rPr>
                      <w:rFonts w:hint="eastAsia"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序号</w:t>
                  </w:r>
                </w:p>
              </w:tc>
              <w:tc>
                <w:tcPr>
                  <w:tcW w:w="3145" w:type="dxa"/>
                  <w:gridSpan w:val="2"/>
                  <w:noWrap w:val="0"/>
                  <w:vAlign w:val="center"/>
                </w:tcPr>
                <w:p w14:paraId="2775D993">
                  <w:pPr>
                    <w:keepNext w:val="0"/>
                    <w:keepLines w:val="0"/>
                    <w:pageBreakBefore w:val="0"/>
                    <w:kinsoku/>
                    <w:wordWrap/>
                    <w:overflowPunct/>
                    <w:topLinePunct w:val="0"/>
                    <w:autoSpaceDE/>
                    <w:autoSpaceDN/>
                    <w:bidi w:val="0"/>
                    <w:jc w:val="center"/>
                    <w:textAlignment w:val="auto"/>
                    <w:outlineLvl w:val="9"/>
                    <w:rPr>
                      <w:rFonts w:hint="eastAsia"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内容</w:t>
                  </w:r>
                </w:p>
              </w:tc>
              <w:tc>
                <w:tcPr>
                  <w:tcW w:w="4399" w:type="dxa"/>
                  <w:noWrap w:val="0"/>
                  <w:vAlign w:val="center"/>
                </w:tcPr>
                <w:p w14:paraId="5595A7D5">
                  <w:pPr>
                    <w:keepNext w:val="0"/>
                    <w:keepLines w:val="0"/>
                    <w:pageBreakBefore w:val="0"/>
                    <w:kinsoku/>
                    <w:wordWrap/>
                    <w:overflowPunct/>
                    <w:topLinePunct w:val="0"/>
                    <w:autoSpaceDE/>
                    <w:autoSpaceDN/>
                    <w:bidi w:val="0"/>
                    <w:jc w:val="center"/>
                    <w:textAlignment w:val="auto"/>
                    <w:outlineLvl w:val="9"/>
                    <w:rPr>
                      <w:rFonts w:hint="eastAsia" w:ascii="宋体" w:hAnsi="宋体" w:cs="宋体"/>
                      <w:b/>
                      <w:bCs/>
                      <w:color w:val="000000" w:themeColor="text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质量标准</w:t>
                  </w:r>
                </w:p>
              </w:tc>
            </w:tr>
            <w:tr w14:paraId="679F56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jc w:val="center"/>
              </w:trPr>
              <w:tc>
                <w:tcPr>
                  <w:tcW w:w="1102" w:type="dxa"/>
                  <w:noWrap w:val="0"/>
                  <w:vAlign w:val="center"/>
                </w:tcPr>
                <w:p w14:paraId="23B57399">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w:t>
                  </w:r>
                </w:p>
              </w:tc>
              <w:tc>
                <w:tcPr>
                  <w:tcW w:w="3145" w:type="dxa"/>
                  <w:gridSpan w:val="2"/>
                  <w:noWrap w:val="0"/>
                  <w:vAlign w:val="center"/>
                </w:tcPr>
                <w:p w14:paraId="0E2379C2">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加工精度</w:t>
                  </w:r>
                </w:p>
              </w:tc>
              <w:tc>
                <w:tcPr>
                  <w:tcW w:w="4399" w:type="dxa"/>
                  <w:noWrap w:val="0"/>
                  <w:vAlign w:val="center"/>
                </w:tcPr>
                <w:p w14:paraId="35BDC959">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符合二等品或以上要求</w:t>
                  </w:r>
                </w:p>
              </w:tc>
            </w:tr>
            <w:tr w14:paraId="2D4B2D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jc w:val="center"/>
              </w:trPr>
              <w:tc>
                <w:tcPr>
                  <w:tcW w:w="1102" w:type="dxa"/>
                  <w:noWrap w:val="0"/>
                  <w:vAlign w:val="center"/>
                </w:tcPr>
                <w:p w14:paraId="3F6DD310">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w:t>
                  </w:r>
                </w:p>
              </w:tc>
              <w:tc>
                <w:tcPr>
                  <w:tcW w:w="3145" w:type="dxa"/>
                  <w:gridSpan w:val="2"/>
                  <w:noWrap w:val="0"/>
                  <w:vAlign w:val="center"/>
                </w:tcPr>
                <w:p w14:paraId="3878C407">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不完善粒</w:t>
                  </w:r>
                </w:p>
              </w:tc>
              <w:tc>
                <w:tcPr>
                  <w:tcW w:w="4399" w:type="dxa"/>
                  <w:noWrap w:val="0"/>
                  <w:vAlign w:val="center"/>
                </w:tcPr>
                <w:p w14:paraId="28176DA8">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≤6.0%</w:t>
                  </w:r>
                </w:p>
              </w:tc>
            </w:tr>
            <w:tr w14:paraId="5530EA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jc w:val="center"/>
              </w:trPr>
              <w:tc>
                <w:tcPr>
                  <w:tcW w:w="1102" w:type="dxa"/>
                  <w:noWrap w:val="0"/>
                  <w:vAlign w:val="center"/>
                </w:tcPr>
                <w:p w14:paraId="0CF7319D">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p>
              </w:tc>
              <w:tc>
                <w:tcPr>
                  <w:tcW w:w="1564" w:type="dxa"/>
                  <w:vMerge w:val="restart"/>
                  <w:noWrap w:val="0"/>
                  <w:vAlign w:val="center"/>
                </w:tcPr>
                <w:p w14:paraId="646980BA">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最大限度杂质</w:t>
                  </w:r>
                </w:p>
              </w:tc>
              <w:tc>
                <w:tcPr>
                  <w:tcW w:w="1581" w:type="dxa"/>
                  <w:noWrap w:val="0"/>
                  <w:vAlign w:val="center"/>
                </w:tcPr>
                <w:p w14:paraId="6EF70507">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总量</w:t>
                  </w:r>
                </w:p>
              </w:tc>
              <w:tc>
                <w:tcPr>
                  <w:tcW w:w="4399" w:type="dxa"/>
                  <w:noWrap w:val="0"/>
                  <w:vAlign w:val="center"/>
                </w:tcPr>
                <w:p w14:paraId="7C699BC8">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≤0.40%</w:t>
                  </w:r>
                </w:p>
              </w:tc>
            </w:tr>
            <w:tr w14:paraId="2D6A11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8" w:hRule="atLeast"/>
                <w:jc w:val="center"/>
              </w:trPr>
              <w:tc>
                <w:tcPr>
                  <w:tcW w:w="1102" w:type="dxa"/>
                  <w:noWrap w:val="0"/>
                  <w:vAlign w:val="center"/>
                </w:tcPr>
                <w:p w14:paraId="50417047">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w:t>
                  </w:r>
                </w:p>
              </w:tc>
              <w:tc>
                <w:tcPr>
                  <w:tcW w:w="1564" w:type="dxa"/>
                  <w:vMerge w:val="continue"/>
                  <w:tcBorders>
                    <w:top w:val="nil"/>
                  </w:tcBorders>
                  <w:noWrap w:val="0"/>
                  <w:vAlign w:val="center"/>
                </w:tcPr>
                <w:p w14:paraId="68E8EF74">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p>
              </w:tc>
              <w:tc>
                <w:tcPr>
                  <w:tcW w:w="1581" w:type="dxa"/>
                  <w:noWrap w:val="0"/>
                  <w:vAlign w:val="center"/>
                </w:tcPr>
                <w:p w14:paraId="3DF45042">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糠粉</w:t>
                  </w:r>
                </w:p>
              </w:tc>
              <w:tc>
                <w:tcPr>
                  <w:tcW w:w="4399" w:type="dxa"/>
                  <w:noWrap w:val="0"/>
                  <w:vAlign w:val="center"/>
                </w:tcPr>
                <w:p w14:paraId="7F0CFCBD">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≤0.20%</w:t>
                  </w:r>
                </w:p>
              </w:tc>
            </w:tr>
            <w:tr w14:paraId="61F76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jc w:val="center"/>
              </w:trPr>
              <w:tc>
                <w:tcPr>
                  <w:tcW w:w="1102" w:type="dxa"/>
                  <w:noWrap w:val="0"/>
                  <w:vAlign w:val="center"/>
                </w:tcPr>
                <w:p w14:paraId="7EDB876D">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w:t>
                  </w:r>
                </w:p>
              </w:tc>
              <w:tc>
                <w:tcPr>
                  <w:tcW w:w="1564" w:type="dxa"/>
                  <w:vMerge w:val="continue"/>
                  <w:tcBorders>
                    <w:top w:val="nil"/>
                  </w:tcBorders>
                  <w:noWrap w:val="0"/>
                  <w:vAlign w:val="center"/>
                </w:tcPr>
                <w:p w14:paraId="20809730">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p>
              </w:tc>
              <w:tc>
                <w:tcPr>
                  <w:tcW w:w="1581" w:type="dxa"/>
                  <w:noWrap w:val="0"/>
                  <w:vAlign w:val="center"/>
                </w:tcPr>
                <w:p w14:paraId="1D04D1CB">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矿物质</w:t>
                  </w:r>
                </w:p>
              </w:tc>
              <w:tc>
                <w:tcPr>
                  <w:tcW w:w="4399" w:type="dxa"/>
                  <w:noWrap w:val="0"/>
                  <w:vAlign w:val="center"/>
                </w:tcPr>
                <w:p w14:paraId="4BEE8D2E">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≤0.02%</w:t>
                  </w:r>
                </w:p>
              </w:tc>
            </w:tr>
            <w:tr w14:paraId="60246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7" w:hRule="atLeast"/>
                <w:jc w:val="center"/>
              </w:trPr>
              <w:tc>
                <w:tcPr>
                  <w:tcW w:w="1102" w:type="dxa"/>
                  <w:noWrap w:val="0"/>
                  <w:vAlign w:val="center"/>
                </w:tcPr>
                <w:p w14:paraId="38B990ED">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w:t>
                  </w:r>
                </w:p>
              </w:tc>
              <w:tc>
                <w:tcPr>
                  <w:tcW w:w="1564" w:type="dxa"/>
                  <w:vMerge w:val="continue"/>
                  <w:tcBorders>
                    <w:top w:val="nil"/>
                  </w:tcBorders>
                  <w:noWrap w:val="0"/>
                  <w:vAlign w:val="center"/>
                </w:tcPr>
                <w:p w14:paraId="47D22BFA">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p>
              </w:tc>
              <w:tc>
                <w:tcPr>
                  <w:tcW w:w="1581" w:type="dxa"/>
                  <w:noWrap w:val="0"/>
                  <w:vAlign w:val="center"/>
                </w:tcPr>
                <w:p w14:paraId="1C13E5B9">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带壳稞 </w:t>
                  </w:r>
                </w:p>
              </w:tc>
              <w:tc>
                <w:tcPr>
                  <w:tcW w:w="4399" w:type="dxa"/>
                  <w:noWrap w:val="0"/>
                  <w:vAlign w:val="center"/>
                </w:tcPr>
                <w:p w14:paraId="17D8F71F">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≤70粒/kg</w:t>
                  </w:r>
                </w:p>
              </w:tc>
            </w:tr>
            <w:tr w14:paraId="1CA8E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jc w:val="center"/>
              </w:trPr>
              <w:tc>
                <w:tcPr>
                  <w:tcW w:w="1102" w:type="dxa"/>
                  <w:noWrap w:val="0"/>
                  <w:vAlign w:val="center"/>
                </w:tcPr>
                <w:p w14:paraId="3AD5DD3E">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w:t>
                  </w:r>
                </w:p>
              </w:tc>
              <w:tc>
                <w:tcPr>
                  <w:tcW w:w="1564" w:type="dxa"/>
                  <w:vMerge w:val="continue"/>
                  <w:tcBorders>
                    <w:top w:val="nil"/>
                  </w:tcBorders>
                  <w:noWrap w:val="0"/>
                  <w:vAlign w:val="center"/>
                </w:tcPr>
                <w:p w14:paraId="54DD1CC3">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p>
              </w:tc>
              <w:tc>
                <w:tcPr>
                  <w:tcW w:w="1581" w:type="dxa"/>
                  <w:noWrap w:val="0"/>
                  <w:vAlign w:val="center"/>
                </w:tcPr>
                <w:p w14:paraId="74EA9EE6">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稻谷粒 </w:t>
                  </w:r>
                </w:p>
              </w:tc>
              <w:tc>
                <w:tcPr>
                  <w:tcW w:w="4399" w:type="dxa"/>
                  <w:noWrap w:val="0"/>
                  <w:vAlign w:val="center"/>
                </w:tcPr>
                <w:p w14:paraId="182A24E1">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≤16粒/kg</w:t>
                  </w:r>
                </w:p>
              </w:tc>
            </w:tr>
            <w:tr w14:paraId="02D95D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jc w:val="center"/>
              </w:trPr>
              <w:tc>
                <w:tcPr>
                  <w:tcW w:w="1102" w:type="dxa"/>
                  <w:noWrap w:val="0"/>
                  <w:vAlign w:val="center"/>
                </w:tcPr>
                <w:p w14:paraId="5C6EE407">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8</w:t>
                  </w:r>
                </w:p>
              </w:tc>
              <w:tc>
                <w:tcPr>
                  <w:tcW w:w="3145" w:type="dxa"/>
                  <w:gridSpan w:val="2"/>
                  <w:noWrap w:val="0"/>
                  <w:vAlign w:val="center"/>
                </w:tcPr>
                <w:p w14:paraId="3949F555">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碎米总量</w:t>
                  </w:r>
                </w:p>
              </w:tc>
              <w:tc>
                <w:tcPr>
                  <w:tcW w:w="4399" w:type="dxa"/>
                  <w:noWrap w:val="0"/>
                  <w:vAlign w:val="center"/>
                </w:tcPr>
                <w:p w14:paraId="17C74C82">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≤35.0%</w:t>
                  </w:r>
                </w:p>
              </w:tc>
            </w:tr>
            <w:tr w14:paraId="19F48F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jc w:val="center"/>
              </w:trPr>
              <w:tc>
                <w:tcPr>
                  <w:tcW w:w="1102" w:type="dxa"/>
                  <w:noWrap w:val="0"/>
                  <w:vAlign w:val="center"/>
                </w:tcPr>
                <w:p w14:paraId="5C143FB6">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9</w:t>
                  </w:r>
                </w:p>
              </w:tc>
              <w:tc>
                <w:tcPr>
                  <w:tcW w:w="3145" w:type="dxa"/>
                  <w:gridSpan w:val="2"/>
                  <w:noWrap w:val="0"/>
                  <w:vAlign w:val="center"/>
                </w:tcPr>
                <w:p w14:paraId="79D4D18D">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小碎米</w:t>
                  </w:r>
                </w:p>
              </w:tc>
              <w:tc>
                <w:tcPr>
                  <w:tcW w:w="4399" w:type="dxa"/>
                  <w:noWrap w:val="0"/>
                  <w:vAlign w:val="center"/>
                </w:tcPr>
                <w:p w14:paraId="22DF84BD">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≤2.5%</w:t>
                  </w:r>
                </w:p>
              </w:tc>
            </w:tr>
            <w:tr w14:paraId="2A2FAB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jc w:val="center"/>
              </w:trPr>
              <w:tc>
                <w:tcPr>
                  <w:tcW w:w="1102" w:type="dxa"/>
                  <w:noWrap w:val="0"/>
                  <w:vAlign w:val="center"/>
                </w:tcPr>
                <w:p w14:paraId="6635A75C">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10</w:t>
                  </w:r>
                </w:p>
              </w:tc>
              <w:tc>
                <w:tcPr>
                  <w:tcW w:w="3145" w:type="dxa"/>
                  <w:gridSpan w:val="2"/>
                  <w:noWrap w:val="0"/>
                  <w:vAlign w:val="center"/>
                </w:tcPr>
                <w:p w14:paraId="00EBE2BD">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黄粒米</w:t>
                  </w:r>
                </w:p>
              </w:tc>
              <w:tc>
                <w:tcPr>
                  <w:tcW w:w="4399" w:type="dxa"/>
                  <w:noWrap w:val="0"/>
                  <w:vAlign w:val="center"/>
                </w:tcPr>
                <w:p w14:paraId="48C6E6AB">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≤2.0%</w:t>
                  </w:r>
                </w:p>
              </w:tc>
            </w:tr>
            <w:tr w14:paraId="756E91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jc w:val="center"/>
              </w:trPr>
              <w:tc>
                <w:tcPr>
                  <w:tcW w:w="1102" w:type="dxa"/>
                  <w:noWrap w:val="0"/>
                  <w:vAlign w:val="center"/>
                </w:tcPr>
                <w:p w14:paraId="732E2CDA">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11</w:t>
                  </w:r>
                </w:p>
              </w:tc>
              <w:tc>
                <w:tcPr>
                  <w:tcW w:w="3145" w:type="dxa"/>
                  <w:gridSpan w:val="2"/>
                  <w:noWrap w:val="0"/>
                  <w:vAlign w:val="center"/>
                </w:tcPr>
                <w:p w14:paraId="31D1E2AA">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水份</w:t>
                  </w:r>
                </w:p>
              </w:tc>
              <w:tc>
                <w:tcPr>
                  <w:tcW w:w="4399" w:type="dxa"/>
                  <w:noWrap w:val="0"/>
                  <w:vAlign w:val="center"/>
                </w:tcPr>
                <w:p w14:paraId="199ECAB9">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≤14.0%</w:t>
                  </w:r>
                </w:p>
              </w:tc>
            </w:tr>
            <w:tr w14:paraId="1C290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jc w:val="center"/>
              </w:trPr>
              <w:tc>
                <w:tcPr>
                  <w:tcW w:w="1102" w:type="dxa"/>
                  <w:noWrap w:val="0"/>
                  <w:vAlign w:val="center"/>
                </w:tcPr>
                <w:p w14:paraId="1ECA6267">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12</w:t>
                  </w:r>
                </w:p>
              </w:tc>
              <w:tc>
                <w:tcPr>
                  <w:tcW w:w="3145" w:type="dxa"/>
                  <w:gridSpan w:val="2"/>
                  <w:noWrap w:val="0"/>
                  <w:vAlign w:val="center"/>
                </w:tcPr>
                <w:p w14:paraId="5C3A9683">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六六六 </w:t>
                  </w:r>
                </w:p>
              </w:tc>
              <w:tc>
                <w:tcPr>
                  <w:tcW w:w="4399" w:type="dxa"/>
                  <w:noWrap w:val="0"/>
                  <w:vAlign w:val="center"/>
                </w:tcPr>
                <w:p w14:paraId="132B2639">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≤0.05mg/kg</w:t>
                  </w:r>
                </w:p>
              </w:tc>
            </w:tr>
            <w:tr w14:paraId="3CB212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jc w:val="center"/>
              </w:trPr>
              <w:tc>
                <w:tcPr>
                  <w:tcW w:w="1102" w:type="dxa"/>
                  <w:noWrap w:val="0"/>
                  <w:vAlign w:val="center"/>
                </w:tcPr>
                <w:p w14:paraId="3F1E9F21">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13</w:t>
                  </w:r>
                </w:p>
              </w:tc>
              <w:tc>
                <w:tcPr>
                  <w:tcW w:w="3145" w:type="dxa"/>
                  <w:gridSpan w:val="2"/>
                  <w:noWrap w:val="0"/>
                  <w:vAlign w:val="center"/>
                </w:tcPr>
                <w:p w14:paraId="6DF9A01B">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滴滴涕 </w:t>
                  </w:r>
                </w:p>
              </w:tc>
              <w:tc>
                <w:tcPr>
                  <w:tcW w:w="4399" w:type="dxa"/>
                  <w:noWrap w:val="0"/>
                  <w:vAlign w:val="center"/>
                </w:tcPr>
                <w:p w14:paraId="75AA591E">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≤0.05mg/kg</w:t>
                  </w:r>
                </w:p>
              </w:tc>
            </w:tr>
            <w:tr w14:paraId="669DD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7" w:hRule="atLeast"/>
                <w:jc w:val="center"/>
              </w:trPr>
              <w:tc>
                <w:tcPr>
                  <w:tcW w:w="1102" w:type="dxa"/>
                  <w:noWrap w:val="0"/>
                  <w:vAlign w:val="center"/>
                </w:tcPr>
                <w:p w14:paraId="0C046680">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14</w:t>
                  </w:r>
                </w:p>
              </w:tc>
              <w:tc>
                <w:tcPr>
                  <w:tcW w:w="3145" w:type="dxa"/>
                  <w:gridSpan w:val="2"/>
                  <w:noWrap w:val="0"/>
                  <w:vAlign w:val="center"/>
                </w:tcPr>
                <w:p w14:paraId="5DF6210B">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色泽、气味、口味</w:t>
                  </w:r>
                </w:p>
              </w:tc>
              <w:tc>
                <w:tcPr>
                  <w:tcW w:w="4399" w:type="dxa"/>
                  <w:noWrap w:val="0"/>
                  <w:vAlign w:val="center"/>
                </w:tcPr>
                <w:p w14:paraId="5DA922C6">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正常</w:t>
                  </w:r>
                </w:p>
              </w:tc>
            </w:tr>
            <w:tr w14:paraId="5A60BF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jc w:val="center"/>
              </w:trPr>
              <w:tc>
                <w:tcPr>
                  <w:tcW w:w="1102" w:type="dxa"/>
                  <w:noWrap w:val="0"/>
                  <w:vAlign w:val="center"/>
                </w:tcPr>
                <w:p w14:paraId="5E707C9E">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15</w:t>
                  </w:r>
                </w:p>
              </w:tc>
              <w:tc>
                <w:tcPr>
                  <w:tcW w:w="3145" w:type="dxa"/>
                  <w:gridSpan w:val="2"/>
                  <w:noWrap w:val="0"/>
                  <w:vAlign w:val="center"/>
                </w:tcPr>
                <w:p w14:paraId="705070E7">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标签检验</w:t>
                  </w:r>
                </w:p>
              </w:tc>
              <w:tc>
                <w:tcPr>
                  <w:tcW w:w="4399" w:type="dxa"/>
                  <w:noWrap w:val="0"/>
                  <w:vAlign w:val="center"/>
                </w:tcPr>
                <w:p w14:paraId="13812BD7">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符合 GB2715-2016 标准第九款要求</w:t>
                  </w:r>
                </w:p>
              </w:tc>
            </w:tr>
            <w:tr w14:paraId="31757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jc w:val="center"/>
              </w:trPr>
              <w:tc>
                <w:tcPr>
                  <w:tcW w:w="1102" w:type="dxa"/>
                  <w:noWrap w:val="0"/>
                  <w:vAlign w:val="center"/>
                </w:tcPr>
                <w:p w14:paraId="3BF82473">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16</w:t>
                  </w:r>
                </w:p>
              </w:tc>
              <w:tc>
                <w:tcPr>
                  <w:tcW w:w="3145" w:type="dxa"/>
                  <w:gridSpan w:val="2"/>
                  <w:noWrap w:val="0"/>
                  <w:vAlign w:val="center"/>
                </w:tcPr>
                <w:p w14:paraId="269FD3AE">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镉</w:t>
                  </w:r>
                </w:p>
              </w:tc>
              <w:tc>
                <w:tcPr>
                  <w:tcW w:w="4399" w:type="dxa"/>
                  <w:noWrap w:val="0"/>
                  <w:vAlign w:val="center"/>
                </w:tcPr>
                <w:p w14:paraId="174E63F4">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≤0.2mg/kg</w:t>
                  </w:r>
                </w:p>
              </w:tc>
            </w:tr>
          </w:tbl>
          <w:p w14:paraId="3BD7B539">
            <w:pPr>
              <w:pStyle w:val="22"/>
              <w:keepNext w:val="0"/>
              <w:keepLines w:val="0"/>
              <w:pageBreakBefore w:val="0"/>
              <w:tabs>
                <w:tab w:val="left" w:pos="545"/>
              </w:tabs>
              <w:kinsoku/>
              <w:wordWrap/>
              <w:overflowPunct/>
              <w:topLinePunct w:val="0"/>
              <w:autoSpaceDE/>
              <w:autoSpaceDN/>
              <w:bidi w:val="0"/>
              <w:spacing w:before="86"/>
              <w:ind w:firstLine="0" w:firstLineChars="0"/>
              <w:jc w:val="left"/>
              <w:textAlignment w:val="auto"/>
              <w:outlineLvl w:val="9"/>
              <w:rPr>
                <w:rFonts w:hint="eastAsia" w:ascii="宋体" w:hAnsi="宋体" w:cs="宋体"/>
                <w:color w:val="000000" w:themeColor="text1"/>
                <w:szCs w:val="21"/>
                <w:highlight w:val="none"/>
                <w14:textFill>
                  <w14:solidFill>
                    <w14:schemeClr w14:val="tx1"/>
                  </w14:solidFill>
                </w14:textFill>
              </w:rPr>
            </w:pPr>
          </w:p>
          <w:p w14:paraId="296BDFC3">
            <w:pPr>
              <w:pStyle w:val="22"/>
              <w:keepNext w:val="0"/>
              <w:keepLines w:val="0"/>
              <w:pageBreakBefore w:val="0"/>
              <w:tabs>
                <w:tab w:val="left" w:pos="545"/>
              </w:tabs>
              <w:kinsoku/>
              <w:wordWrap/>
              <w:overflowPunct/>
              <w:topLinePunct w:val="0"/>
              <w:autoSpaceDE/>
              <w:autoSpaceDN/>
              <w:bidi w:val="0"/>
              <w:spacing w:before="86"/>
              <w:ind w:firstLine="0" w:firstLineChars="0"/>
              <w:jc w:val="left"/>
              <w:textAlignment w:val="auto"/>
              <w:outlineLvl w:val="9"/>
              <w:rPr>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2）特</w:t>
            </w:r>
            <w:r>
              <w:rPr>
                <w:color w:val="000000" w:themeColor="text1"/>
                <w:szCs w:val="21"/>
                <w:highlight w:val="none"/>
                <w14:textFill>
                  <w14:solidFill>
                    <w14:schemeClr w14:val="tx1"/>
                  </w14:solidFill>
                </w14:textFill>
              </w:rPr>
              <w:t>一级面粉理化指标</w:t>
            </w:r>
          </w:p>
          <w:tbl>
            <w:tblPr>
              <w:tblStyle w:val="16"/>
              <w:tblW w:w="8321" w:type="dxa"/>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3630"/>
              <w:gridCol w:w="4691"/>
            </w:tblGrid>
            <w:tr w14:paraId="464AD1F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79" w:hRule="atLeast"/>
                <w:jc w:val="center"/>
              </w:trPr>
              <w:tc>
                <w:tcPr>
                  <w:tcW w:w="3630" w:type="dxa"/>
                  <w:tcBorders>
                    <w:bottom w:val="single" w:color="000000" w:sz="6" w:space="0"/>
                    <w:right w:val="single" w:color="000000" w:sz="6" w:space="0"/>
                  </w:tcBorders>
                  <w:noWrap w:val="0"/>
                  <w:vAlign w:val="top"/>
                </w:tcPr>
                <w:p w14:paraId="5649FC73">
                  <w:pPr>
                    <w:pStyle w:val="24"/>
                    <w:keepNext w:val="0"/>
                    <w:keepLines w:val="0"/>
                    <w:pageBreakBefore w:val="0"/>
                    <w:kinsoku/>
                    <w:wordWrap/>
                    <w:overflowPunct/>
                    <w:topLinePunct w:val="0"/>
                    <w:autoSpaceDE/>
                    <w:autoSpaceDN/>
                    <w:bidi w:val="0"/>
                    <w:spacing w:before="79"/>
                    <w:ind w:left="948" w:right="949"/>
                    <w:jc w:val="center"/>
                    <w:textAlignment w:val="auto"/>
                    <w:outlineLvl w:val="9"/>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项目</w:t>
                  </w:r>
                </w:p>
              </w:tc>
              <w:tc>
                <w:tcPr>
                  <w:tcW w:w="4691" w:type="dxa"/>
                  <w:tcBorders>
                    <w:left w:val="single" w:color="000000" w:sz="6" w:space="0"/>
                    <w:bottom w:val="single" w:color="000000" w:sz="6" w:space="0"/>
                  </w:tcBorders>
                  <w:noWrap w:val="0"/>
                  <w:vAlign w:val="top"/>
                </w:tcPr>
                <w:p w14:paraId="0C8225F8">
                  <w:pPr>
                    <w:pStyle w:val="24"/>
                    <w:keepNext w:val="0"/>
                    <w:keepLines w:val="0"/>
                    <w:pageBreakBefore w:val="0"/>
                    <w:kinsoku/>
                    <w:wordWrap/>
                    <w:overflowPunct/>
                    <w:topLinePunct w:val="0"/>
                    <w:autoSpaceDE/>
                    <w:autoSpaceDN/>
                    <w:bidi w:val="0"/>
                    <w:spacing w:before="79"/>
                    <w:ind w:left="1015" w:right="1013"/>
                    <w:jc w:val="center"/>
                    <w:textAlignment w:val="auto"/>
                    <w:outlineLvl w:val="9"/>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指标</w:t>
                  </w:r>
                </w:p>
              </w:tc>
            </w:tr>
            <w:tr w14:paraId="7AA78E8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3630" w:type="dxa"/>
                  <w:tcBorders>
                    <w:top w:val="single" w:color="000000" w:sz="6" w:space="0"/>
                    <w:bottom w:val="single" w:color="000000" w:sz="6" w:space="0"/>
                    <w:right w:val="single" w:color="000000" w:sz="6" w:space="0"/>
                  </w:tcBorders>
                  <w:noWrap w:val="0"/>
                  <w:vAlign w:val="top"/>
                </w:tcPr>
                <w:p w14:paraId="33228B77">
                  <w:pPr>
                    <w:pStyle w:val="24"/>
                    <w:keepNext w:val="0"/>
                    <w:keepLines w:val="0"/>
                    <w:pageBreakBefore w:val="0"/>
                    <w:kinsoku/>
                    <w:wordWrap/>
                    <w:overflowPunct/>
                    <w:topLinePunct w:val="0"/>
                    <w:autoSpaceDE/>
                    <w:autoSpaceDN/>
                    <w:bidi w:val="0"/>
                    <w:spacing w:before="80"/>
                    <w:ind w:left="968" w:right="949"/>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加工精度</w:t>
                  </w:r>
                </w:p>
              </w:tc>
              <w:tc>
                <w:tcPr>
                  <w:tcW w:w="4691" w:type="dxa"/>
                  <w:tcBorders>
                    <w:top w:val="single" w:color="000000" w:sz="6" w:space="0"/>
                    <w:left w:val="single" w:color="000000" w:sz="6" w:space="0"/>
                    <w:bottom w:val="single" w:color="000000" w:sz="6" w:space="0"/>
                  </w:tcBorders>
                  <w:noWrap w:val="0"/>
                  <w:vAlign w:val="top"/>
                </w:tcPr>
                <w:p w14:paraId="5431418F">
                  <w:pPr>
                    <w:pStyle w:val="24"/>
                    <w:keepNext w:val="0"/>
                    <w:keepLines w:val="0"/>
                    <w:pageBreakBefore w:val="0"/>
                    <w:kinsoku/>
                    <w:wordWrap/>
                    <w:overflowPunct/>
                    <w:topLinePunct w:val="0"/>
                    <w:autoSpaceDE/>
                    <w:autoSpaceDN/>
                    <w:bidi w:val="0"/>
                    <w:spacing w:before="80"/>
                    <w:ind w:left="968" w:right="187" w:rightChars="0"/>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粉色合格，麸星合格</w:t>
                  </w:r>
                </w:p>
              </w:tc>
            </w:tr>
            <w:tr w14:paraId="7062BFD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272" w:hRule="atLeast"/>
                <w:jc w:val="center"/>
              </w:trPr>
              <w:tc>
                <w:tcPr>
                  <w:tcW w:w="3630" w:type="dxa"/>
                  <w:tcBorders>
                    <w:top w:val="single" w:color="000000" w:sz="6" w:space="0"/>
                    <w:bottom w:val="single" w:color="000000" w:sz="6" w:space="0"/>
                    <w:right w:val="single" w:color="000000" w:sz="6" w:space="0"/>
                  </w:tcBorders>
                  <w:noWrap w:val="0"/>
                  <w:vAlign w:val="top"/>
                </w:tcPr>
                <w:p w14:paraId="33DDF104">
                  <w:pPr>
                    <w:pStyle w:val="24"/>
                    <w:keepNext w:val="0"/>
                    <w:keepLines w:val="0"/>
                    <w:pageBreakBefore w:val="0"/>
                    <w:kinsoku/>
                    <w:wordWrap/>
                    <w:overflowPunct/>
                    <w:topLinePunct w:val="0"/>
                    <w:autoSpaceDE/>
                    <w:autoSpaceDN/>
                    <w:bidi w:val="0"/>
                    <w:spacing w:before="80"/>
                    <w:ind w:left="968" w:right="949"/>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粗细度</w:t>
                  </w:r>
                </w:p>
              </w:tc>
              <w:tc>
                <w:tcPr>
                  <w:tcW w:w="4691" w:type="dxa"/>
                  <w:tcBorders>
                    <w:top w:val="single" w:color="000000" w:sz="6" w:space="0"/>
                    <w:left w:val="single" w:color="000000" w:sz="6" w:space="0"/>
                    <w:bottom w:val="single" w:color="000000" w:sz="6" w:space="0"/>
                  </w:tcBorders>
                  <w:noWrap w:val="0"/>
                  <w:vAlign w:val="top"/>
                </w:tcPr>
                <w:p w14:paraId="2BFEA81C">
                  <w:pPr>
                    <w:pStyle w:val="24"/>
                    <w:keepNext w:val="0"/>
                    <w:keepLines w:val="0"/>
                    <w:pageBreakBefore w:val="0"/>
                    <w:kinsoku/>
                    <w:wordWrap/>
                    <w:overflowPunct/>
                    <w:topLinePunct w:val="0"/>
                    <w:autoSpaceDE/>
                    <w:autoSpaceDN/>
                    <w:bidi w:val="0"/>
                    <w:spacing w:before="80"/>
                    <w:ind w:right="146" w:rightChars="0"/>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GB36号全部通过；GB42晒留存量不超</w:t>
                  </w:r>
                  <w:r>
                    <w:rPr>
                      <w:rFonts w:hint="eastAsia"/>
                      <w:color w:val="000000" w:themeColor="text1"/>
                      <w:szCs w:val="21"/>
                      <w:highlight w:val="none"/>
                      <w14:textFill>
                        <w14:solidFill>
                          <w14:schemeClr w14:val="tx1"/>
                        </w14:solidFill>
                      </w14:textFill>
                    </w:rPr>
                    <w:t>过</w:t>
                  </w:r>
                  <w:r>
                    <w:rPr>
                      <w:color w:val="000000" w:themeColor="text1"/>
                      <w:szCs w:val="21"/>
                      <w:highlight w:val="none"/>
                      <w14:textFill>
                        <w14:solidFill>
                          <w14:schemeClr w14:val="tx1"/>
                        </w14:solidFill>
                      </w14:textFill>
                    </w:rPr>
                    <w:t>10.0%</w:t>
                  </w:r>
                </w:p>
              </w:tc>
            </w:tr>
            <w:tr w14:paraId="19E2C0D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272" w:hRule="atLeast"/>
                <w:jc w:val="center"/>
              </w:trPr>
              <w:tc>
                <w:tcPr>
                  <w:tcW w:w="3630" w:type="dxa"/>
                  <w:tcBorders>
                    <w:top w:val="single" w:color="000000" w:sz="6" w:space="0"/>
                    <w:bottom w:val="single" w:color="000000" w:sz="6" w:space="0"/>
                    <w:right w:val="single" w:color="000000" w:sz="6" w:space="0"/>
                  </w:tcBorders>
                  <w:noWrap w:val="0"/>
                  <w:vAlign w:val="top"/>
                </w:tcPr>
                <w:p w14:paraId="667F776D">
                  <w:pPr>
                    <w:pStyle w:val="24"/>
                    <w:keepNext w:val="0"/>
                    <w:keepLines w:val="0"/>
                    <w:pageBreakBefore w:val="0"/>
                    <w:kinsoku/>
                    <w:wordWrap/>
                    <w:overflowPunct/>
                    <w:topLinePunct w:val="0"/>
                    <w:autoSpaceDE/>
                    <w:autoSpaceDN/>
                    <w:bidi w:val="0"/>
                    <w:spacing w:before="80"/>
                    <w:ind w:left="968" w:right="949"/>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面筋质（以湿重计）</w:t>
                  </w:r>
                </w:p>
              </w:tc>
              <w:tc>
                <w:tcPr>
                  <w:tcW w:w="4691" w:type="dxa"/>
                  <w:tcBorders>
                    <w:top w:val="single" w:color="000000" w:sz="6" w:space="0"/>
                    <w:left w:val="single" w:color="000000" w:sz="6" w:space="0"/>
                    <w:bottom w:val="single" w:color="000000" w:sz="6" w:space="0"/>
                  </w:tcBorders>
                  <w:noWrap w:val="0"/>
                  <w:vAlign w:val="top"/>
                </w:tcPr>
                <w:p w14:paraId="3D78E75F">
                  <w:pPr>
                    <w:pStyle w:val="24"/>
                    <w:keepNext w:val="0"/>
                    <w:keepLines w:val="0"/>
                    <w:pageBreakBefore w:val="0"/>
                    <w:kinsoku/>
                    <w:wordWrap/>
                    <w:overflowPunct/>
                    <w:topLinePunct w:val="0"/>
                    <w:autoSpaceDE/>
                    <w:autoSpaceDN/>
                    <w:bidi w:val="0"/>
                    <w:spacing w:before="80"/>
                    <w:ind w:left="968" w:right="949"/>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≥26.0%</w:t>
                  </w:r>
                </w:p>
              </w:tc>
            </w:tr>
            <w:tr w14:paraId="7B2380B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32" w:hRule="atLeast"/>
                <w:jc w:val="center"/>
              </w:trPr>
              <w:tc>
                <w:tcPr>
                  <w:tcW w:w="3630" w:type="dxa"/>
                  <w:tcBorders>
                    <w:top w:val="single" w:color="000000" w:sz="6" w:space="0"/>
                    <w:bottom w:val="single" w:color="000000" w:sz="6" w:space="0"/>
                    <w:right w:val="single" w:color="000000" w:sz="6" w:space="0"/>
                  </w:tcBorders>
                  <w:noWrap w:val="0"/>
                  <w:vAlign w:val="top"/>
                </w:tcPr>
                <w:p w14:paraId="20EF0178">
                  <w:pPr>
                    <w:pStyle w:val="24"/>
                    <w:keepNext w:val="0"/>
                    <w:keepLines w:val="0"/>
                    <w:pageBreakBefore w:val="0"/>
                    <w:kinsoku/>
                    <w:wordWrap/>
                    <w:overflowPunct/>
                    <w:topLinePunct w:val="0"/>
                    <w:autoSpaceDE/>
                    <w:autoSpaceDN/>
                    <w:bidi w:val="0"/>
                    <w:spacing w:before="80"/>
                    <w:ind w:left="968" w:right="949"/>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含砂量</w:t>
                  </w:r>
                </w:p>
              </w:tc>
              <w:tc>
                <w:tcPr>
                  <w:tcW w:w="4691" w:type="dxa"/>
                  <w:tcBorders>
                    <w:top w:val="single" w:color="000000" w:sz="6" w:space="0"/>
                    <w:left w:val="single" w:color="000000" w:sz="6" w:space="0"/>
                    <w:bottom w:val="single" w:color="000000" w:sz="6" w:space="0"/>
                  </w:tcBorders>
                  <w:noWrap w:val="0"/>
                  <w:vAlign w:val="top"/>
                </w:tcPr>
                <w:p w14:paraId="6CD1F950">
                  <w:pPr>
                    <w:pStyle w:val="24"/>
                    <w:keepNext w:val="0"/>
                    <w:keepLines w:val="0"/>
                    <w:pageBreakBefore w:val="0"/>
                    <w:kinsoku/>
                    <w:wordWrap/>
                    <w:overflowPunct/>
                    <w:topLinePunct w:val="0"/>
                    <w:autoSpaceDE/>
                    <w:autoSpaceDN/>
                    <w:bidi w:val="0"/>
                    <w:spacing w:before="80"/>
                    <w:ind w:left="968" w:right="949"/>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≤0.02%</w:t>
                  </w:r>
                </w:p>
              </w:tc>
            </w:tr>
            <w:tr w14:paraId="48F0B55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3630" w:type="dxa"/>
                  <w:tcBorders>
                    <w:top w:val="single" w:color="000000" w:sz="6" w:space="0"/>
                    <w:bottom w:val="single" w:color="000000" w:sz="6" w:space="0"/>
                    <w:right w:val="single" w:color="000000" w:sz="6" w:space="0"/>
                  </w:tcBorders>
                  <w:noWrap w:val="0"/>
                  <w:vAlign w:val="top"/>
                </w:tcPr>
                <w:p w14:paraId="26E20571">
                  <w:pPr>
                    <w:pStyle w:val="24"/>
                    <w:keepNext w:val="0"/>
                    <w:keepLines w:val="0"/>
                    <w:pageBreakBefore w:val="0"/>
                    <w:kinsoku/>
                    <w:wordWrap/>
                    <w:overflowPunct/>
                    <w:topLinePunct w:val="0"/>
                    <w:autoSpaceDE/>
                    <w:autoSpaceDN/>
                    <w:bidi w:val="0"/>
                    <w:spacing w:before="80"/>
                    <w:ind w:left="968" w:right="949"/>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灰分（以干物质计）</w:t>
                  </w:r>
                </w:p>
              </w:tc>
              <w:tc>
                <w:tcPr>
                  <w:tcW w:w="4691" w:type="dxa"/>
                  <w:tcBorders>
                    <w:top w:val="single" w:color="000000" w:sz="6" w:space="0"/>
                    <w:left w:val="single" w:color="000000" w:sz="6" w:space="0"/>
                    <w:bottom w:val="single" w:color="000000" w:sz="6" w:space="0"/>
                  </w:tcBorders>
                  <w:noWrap w:val="0"/>
                  <w:vAlign w:val="top"/>
                </w:tcPr>
                <w:p w14:paraId="5597864E">
                  <w:pPr>
                    <w:pStyle w:val="24"/>
                    <w:keepNext w:val="0"/>
                    <w:keepLines w:val="0"/>
                    <w:pageBreakBefore w:val="0"/>
                    <w:kinsoku/>
                    <w:wordWrap/>
                    <w:overflowPunct/>
                    <w:topLinePunct w:val="0"/>
                    <w:autoSpaceDE/>
                    <w:autoSpaceDN/>
                    <w:bidi w:val="0"/>
                    <w:spacing w:before="80"/>
                    <w:ind w:left="968" w:right="949"/>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≤0.70%</w:t>
                  </w:r>
                </w:p>
              </w:tc>
            </w:tr>
            <w:tr w14:paraId="2C41421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3630" w:type="dxa"/>
                  <w:tcBorders>
                    <w:top w:val="single" w:color="000000" w:sz="6" w:space="0"/>
                    <w:bottom w:val="single" w:color="000000" w:sz="6" w:space="0"/>
                    <w:right w:val="single" w:color="000000" w:sz="6" w:space="0"/>
                  </w:tcBorders>
                  <w:noWrap w:val="0"/>
                  <w:vAlign w:val="top"/>
                </w:tcPr>
                <w:p w14:paraId="498AD9C4">
                  <w:pPr>
                    <w:pStyle w:val="24"/>
                    <w:keepNext w:val="0"/>
                    <w:keepLines w:val="0"/>
                    <w:pageBreakBefore w:val="0"/>
                    <w:kinsoku/>
                    <w:wordWrap/>
                    <w:overflowPunct/>
                    <w:topLinePunct w:val="0"/>
                    <w:autoSpaceDE/>
                    <w:autoSpaceDN/>
                    <w:bidi w:val="0"/>
                    <w:spacing w:before="80"/>
                    <w:ind w:left="968" w:right="949"/>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水分</w:t>
                  </w:r>
                </w:p>
              </w:tc>
              <w:tc>
                <w:tcPr>
                  <w:tcW w:w="4691" w:type="dxa"/>
                  <w:tcBorders>
                    <w:top w:val="single" w:color="000000" w:sz="6" w:space="0"/>
                    <w:left w:val="single" w:color="000000" w:sz="6" w:space="0"/>
                    <w:bottom w:val="single" w:color="000000" w:sz="6" w:space="0"/>
                  </w:tcBorders>
                  <w:noWrap w:val="0"/>
                  <w:vAlign w:val="top"/>
                </w:tcPr>
                <w:p w14:paraId="2B0C2AE8">
                  <w:pPr>
                    <w:pStyle w:val="24"/>
                    <w:keepNext w:val="0"/>
                    <w:keepLines w:val="0"/>
                    <w:pageBreakBefore w:val="0"/>
                    <w:kinsoku/>
                    <w:wordWrap/>
                    <w:overflowPunct/>
                    <w:topLinePunct w:val="0"/>
                    <w:autoSpaceDE/>
                    <w:autoSpaceDN/>
                    <w:bidi w:val="0"/>
                    <w:spacing w:before="80"/>
                    <w:ind w:left="968" w:right="949"/>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≤14.0%</w:t>
                  </w:r>
                </w:p>
              </w:tc>
            </w:tr>
            <w:tr w14:paraId="76B9F5A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3630" w:type="dxa"/>
                  <w:tcBorders>
                    <w:top w:val="single" w:color="000000" w:sz="6" w:space="0"/>
                    <w:bottom w:val="single" w:color="000000" w:sz="6" w:space="0"/>
                    <w:right w:val="single" w:color="000000" w:sz="6" w:space="0"/>
                  </w:tcBorders>
                  <w:noWrap w:val="0"/>
                  <w:vAlign w:val="top"/>
                </w:tcPr>
                <w:p w14:paraId="3DCD8E7B">
                  <w:pPr>
                    <w:pStyle w:val="24"/>
                    <w:keepNext w:val="0"/>
                    <w:keepLines w:val="0"/>
                    <w:pageBreakBefore w:val="0"/>
                    <w:kinsoku/>
                    <w:wordWrap/>
                    <w:overflowPunct/>
                    <w:topLinePunct w:val="0"/>
                    <w:autoSpaceDE/>
                    <w:autoSpaceDN/>
                    <w:bidi w:val="0"/>
                    <w:spacing w:before="80"/>
                    <w:ind w:left="968" w:right="949"/>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磁性金属物质</w:t>
                  </w:r>
                </w:p>
              </w:tc>
              <w:tc>
                <w:tcPr>
                  <w:tcW w:w="4691" w:type="dxa"/>
                  <w:tcBorders>
                    <w:top w:val="single" w:color="000000" w:sz="6" w:space="0"/>
                    <w:left w:val="single" w:color="000000" w:sz="6" w:space="0"/>
                    <w:bottom w:val="single" w:color="000000" w:sz="6" w:space="0"/>
                  </w:tcBorders>
                  <w:noWrap w:val="0"/>
                  <w:vAlign w:val="top"/>
                </w:tcPr>
                <w:p w14:paraId="3CE670B3">
                  <w:pPr>
                    <w:pStyle w:val="24"/>
                    <w:keepNext w:val="0"/>
                    <w:keepLines w:val="0"/>
                    <w:pageBreakBefore w:val="0"/>
                    <w:kinsoku/>
                    <w:wordWrap/>
                    <w:overflowPunct/>
                    <w:topLinePunct w:val="0"/>
                    <w:autoSpaceDE/>
                    <w:autoSpaceDN/>
                    <w:bidi w:val="0"/>
                    <w:spacing w:before="80"/>
                    <w:ind w:left="968" w:right="949"/>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≤0.003g/kg</w:t>
                  </w:r>
                </w:p>
              </w:tc>
            </w:tr>
            <w:tr w14:paraId="0E1D552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3630" w:type="dxa"/>
                  <w:tcBorders>
                    <w:top w:val="single" w:color="000000" w:sz="6" w:space="0"/>
                    <w:bottom w:val="single" w:color="000000" w:sz="6" w:space="0"/>
                    <w:right w:val="single" w:color="000000" w:sz="6" w:space="0"/>
                  </w:tcBorders>
                  <w:noWrap w:val="0"/>
                  <w:vAlign w:val="top"/>
                </w:tcPr>
                <w:p w14:paraId="69932E23">
                  <w:pPr>
                    <w:pStyle w:val="24"/>
                    <w:keepNext w:val="0"/>
                    <w:keepLines w:val="0"/>
                    <w:pageBreakBefore w:val="0"/>
                    <w:kinsoku/>
                    <w:wordWrap/>
                    <w:overflowPunct/>
                    <w:topLinePunct w:val="0"/>
                    <w:autoSpaceDE/>
                    <w:autoSpaceDN/>
                    <w:bidi w:val="0"/>
                    <w:spacing w:before="80"/>
                    <w:ind w:left="968" w:right="949"/>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脂肪酸值（湿基计）</w:t>
                  </w:r>
                </w:p>
              </w:tc>
              <w:tc>
                <w:tcPr>
                  <w:tcW w:w="4691" w:type="dxa"/>
                  <w:tcBorders>
                    <w:top w:val="single" w:color="000000" w:sz="6" w:space="0"/>
                    <w:left w:val="single" w:color="000000" w:sz="6" w:space="0"/>
                    <w:bottom w:val="single" w:color="000000" w:sz="6" w:space="0"/>
                  </w:tcBorders>
                  <w:noWrap w:val="0"/>
                  <w:vAlign w:val="top"/>
                </w:tcPr>
                <w:p w14:paraId="71649B5A">
                  <w:pPr>
                    <w:pStyle w:val="24"/>
                    <w:keepNext w:val="0"/>
                    <w:keepLines w:val="0"/>
                    <w:pageBreakBefore w:val="0"/>
                    <w:kinsoku/>
                    <w:wordWrap/>
                    <w:overflowPunct/>
                    <w:topLinePunct w:val="0"/>
                    <w:autoSpaceDE/>
                    <w:autoSpaceDN/>
                    <w:bidi w:val="0"/>
                    <w:spacing w:before="80"/>
                    <w:ind w:left="968" w:right="949"/>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≤80</w:t>
                  </w:r>
                </w:p>
              </w:tc>
            </w:tr>
            <w:tr w14:paraId="6C2FF0B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3630" w:type="dxa"/>
                  <w:tcBorders>
                    <w:top w:val="single" w:color="000000" w:sz="6" w:space="0"/>
                    <w:bottom w:val="single" w:color="000000" w:sz="6" w:space="0"/>
                    <w:right w:val="single" w:color="000000" w:sz="6" w:space="0"/>
                  </w:tcBorders>
                  <w:noWrap w:val="0"/>
                  <w:vAlign w:val="top"/>
                </w:tcPr>
                <w:p w14:paraId="50E78951">
                  <w:pPr>
                    <w:pStyle w:val="24"/>
                    <w:keepNext w:val="0"/>
                    <w:keepLines w:val="0"/>
                    <w:pageBreakBefore w:val="0"/>
                    <w:kinsoku/>
                    <w:wordWrap/>
                    <w:overflowPunct/>
                    <w:topLinePunct w:val="0"/>
                    <w:autoSpaceDE/>
                    <w:autoSpaceDN/>
                    <w:bidi w:val="0"/>
                    <w:spacing w:before="80"/>
                    <w:ind w:right="949"/>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六六六（以成品粮计）</w:t>
                  </w:r>
                </w:p>
              </w:tc>
              <w:tc>
                <w:tcPr>
                  <w:tcW w:w="4691" w:type="dxa"/>
                  <w:tcBorders>
                    <w:top w:val="single" w:color="000000" w:sz="6" w:space="0"/>
                    <w:left w:val="single" w:color="000000" w:sz="6" w:space="0"/>
                    <w:bottom w:val="single" w:color="000000" w:sz="6" w:space="0"/>
                  </w:tcBorders>
                  <w:noWrap w:val="0"/>
                  <w:vAlign w:val="top"/>
                </w:tcPr>
                <w:p w14:paraId="70C5E03E">
                  <w:pPr>
                    <w:pStyle w:val="24"/>
                    <w:keepNext w:val="0"/>
                    <w:keepLines w:val="0"/>
                    <w:pageBreakBefore w:val="0"/>
                    <w:kinsoku/>
                    <w:wordWrap/>
                    <w:overflowPunct/>
                    <w:topLinePunct w:val="0"/>
                    <w:autoSpaceDE/>
                    <w:autoSpaceDN/>
                    <w:bidi w:val="0"/>
                    <w:spacing w:before="80"/>
                    <w:ind w:left="968" w:right="949"/>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≤0.3mg/kg</w:t>
                  </w:r>
                </w:p>
              </w:tc>
            </w:tr>
            <w:tr w14:paraId="3893B50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3630" w:type="dxa"/>
                  <w:tcBorders>
                    <w:top w:val="single" w:color="000000" w:sz="6" w:space="0"/>
                    <w:bottom w:val="single" w:color="000000" w:sz="6" w:space="0"/>
                    <w:right w:val="single" w:color="000000" w:sz="6" w:space="0"/>
                  </w:tcBorders>
                  <w:noWrap w:val="0"/>
                  <w:vAlign w:val="top"/>
                </w:tcPr>
                <w:p w14:paraId="1D372CD0">
                  <w:pPr>
                    <w:pStyle w:val="24"/>
                    <w:keepNext w:val="0"/>
                    <w:keepLines w:val="0"/>
                    <w:pageBreakBefore w:val="0"/>
                    <w:kinsoku/>
                    <w:wordWrap/>
                    <w:overflowPunct/>
                    <w:topLinePunct w:val="0"/>
                    <w:autoSpaceDE/>
                    <w:autoSpaceDN/>
                    <w:bidi w:val="0"/>
                    <w:spacing w:before="80"/>
                    <w:ind w:right="949"/>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滴滴涕（成品粮计）</w:t>
                  </w:r>
                </w:p>
              </w:tc>
              <w:tc>
                <w:tcPr>
                  <w:tcW w:w="4691" w:type="dxa"/>
                  <w:tcBorders>
                    <w:top w:val="single" w:color="000000" w:sz="6" w:space="0"/>
                    <w:left w:val="single" w:color="000000" w:sz="6" w:space="0"/>
                    <w:bottom w:val="single" w:color="000000" w:sz="6" w:space="0"/>
                  </w:tcBorders>
                  <w:noWrap w:val="0"/>
                  <w:vAlign w:val="top"/>
                </w:tcPr>
                <w:p w14:paraId="4AB06A36">
                  <w:pPr>
                    <w:pStyle w:val="24"/>
                    <w:keepNext w:val="0"/>
                    <w:keepLines w:val="0"/>
                    <w:pageBreakBefore w:val="0"/>
                    <w:kinsoku/>
                    <w:wordWrap/>
                    <w:overflowPunct/>
                    <w:topLinePunct w:val="0"/>
                    <w:autoSpaceDE/>
                    <w:autoSpaceDN/>
                    <w:bidi w:val="0"/>
                    <w:spacing w:before="80"/>
                    <w:ind w:left="968" w:right="949"/>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≤0.2mg/kg</w:t>
                  </w:r>
                </w:p>
              </w:tc>
            </w:tr>
            <w:tr w14:paraId="1FBE61C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3630" w:type="dxa"/>
                  <w:tcBorders>
                    <w:top w:val="single" w:color="000000" w:sz="6" w:space="0"/>
                    <w:bottom w:val="single" w:color="000000" w:sz="6" w:space="0"/>
                    <w:right w:val="single" w:color="000000" w:sz="6" w:space="0"/>
                  </w:tcBorders>
                  <w:noWrap w:val="0"/>
                  <w:vAlign w:val="top"/>
                </w:tcPr>
                <w:p w14:paraId="0311A2DE">
                  <w:pPr>
                    <w:pStyle w:val="24"/>
                    <w:keepNext w:val="0"/>
                    <w:keepLines w:val="0"/>
                    <w:pageBreakBefore w:val="0"/>
                    <w:kinsoku/>
                    <w:wordWrap/>
                    <w:overflowPunct/>
                    <w:topLinePunct w:val="0"/>
                    <w:autoSpaceDE/>
                    <w:autoSpaceDN/>
                    <w:bidi w:val="0"/>
                    <w:spacing w:before="80"/>
                    <w:ind w:left="968" w:right="949"/>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汞（成品粮计）</w:t>
                  </w:r>
                </w:p>
              </w:tc>
              <w:tc>
                <w:tcPr>
                  <w:tcW w:w="4691" w:type="dxa"/>
                  <w:tcBorders>
                    <w:top w:val="single" w:color="000000" w:sz="6" w:space="0"/>
                    <w:left w:val="single" w:color="000000" w:sz="6" w:space="0"/>
                    <w:bottom w:val="single" w:color="000000" w:sz="6" w:space="0"/>
                  </w:tcBorders>
                  <w:noWrap w:val="0"/>
                  <w:vAlign w:val="top"/>
                </w:tcPr>
                <w:p w14:paraId="076A69A8">
                  <w:pPr>
                    <w:pStyle w:val="24"/>
                    <w:keepNext w:val="0"/>
                    <w:keepLines w:val="0"/>
                    <w:pageBreakBefore w:val="0"/>
                    <w:kinsoku/>
                    <w:wordWrap/>
                    <w:overflowPunct/>
                    <w:topLinePunct w:val="0"/>
                    <w:autoSpaceDE/>
                    <w:autoSpaceDN/>
                    <w:bidi w:val="0"/>
                    <w:spacing w:before="80"/>
                    <w:ind w:left="968" w:right="949"/>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≤0.02mg/kg</w:t>
                  </w:r>
                </w:p>
              </w:tc>
            </w:tr>
            <w:tr w14:paraId="126070B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08" w:hRule="atLeast"/>
                <w:jc w:val="center"/>
              </w:trPr>
              <w:tc>
                <w:tcPr>
                  <w:tcW w:w="3630" w:type="dxa"/>
                  <w:tcBorders>
                    <w:top w:val="single" w:color="000000" w:sz="6" w:space="0"/>
                    <w:right w:val="single" w:color="000000" w:sz="6" w:space="0"/>
                  </w:tcBorders>
                  <w:noWrap w:val="0"/>
                  <w:vAlign w:val="top"/>
                </w:tcPr>
                <w:p w14:paraId="0D7D0156">
                  <w:pPr>
                    <w:pStyle w:val="24"/>
                    <w:keepNext w:val="0"/>
                    <w:keepLines w:val="0"/>
                    <w:pageBreakBefore w:val="0"/>
                    <w:kinsoku/>
                    <w:wordWrap/>
                    <w:overflowPunct/>
                    <w:topLinePunct w:val="0"/>
                    <w:autoSpaceDE/>
                    <w:autoSpaceDN/>
                    <w:bidi w:val="0"/>
                    <w:spacing w:before="80"/>
                    <w:ind w:left="968" w:right="949"/>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黄霉素毒素B1</w:t>
                  </w:r>
                </w:p>
              </w:tc>
              <w:tc>
                <w:tcPr>
                  <w:tcW w:w="4691" w:type="dxa"/>
                  <w:tcBorders>
                    <w:top w:val="single" w:color="000000" w:sz="6" w:space="0"/>
                    <w:left w:val="single" w:color="000000" w:sz="6" w:space="0"/>
                  </w:tcBorders>
                  <w:noWrap w:val="0"/>
                  <w:vAlign w:val="top"/>
                </w:tcPr>
                <w:p w14:paraId="0E290E1A">
                  <w:pPr>
                    <w:pStyle w:val="24"/>
                    <w:keepNext w:val="0"/>
                    <w:keepLines w:val="0"/>
                    <w:pageBreakBefore w:val="0"/>
                    <w:kinsoku/>
                    <w:wordWrap/>
                    <w:overflowPunct/>
                    <w:topLinePunct w:val="0"/>
                    <w:autoSpaceDE/>
                    <w:autoSpaceDN/>
                    <w:bidi w:val="0"/>
                    <w:spacing w:before="80"/>
                    <w:ind w:left="968" w:right="949"/>
                    <w:jc w:val="center"/>
                    <w:textAlignment w:val="auto"/>
                    <w:outlineLvl w:val="9"/>
                    <w:rPr>
                      <w:rFonts w:hint="eastAsia" w:eastAsia="宋体"/>
                      <w:color w:val="000000" w:themeColor="text1"/>
                      <w:szCs w:val="21"/>
                      <w:highlight w:val="none"/>
                      <w:lang w:val="en-US" w:eastAsia="zh-CN"/>
                      <w14:textFill>
                        <w14:solidFill>
                          <w14:schemeClr w14:val="tx1"/>
                        </w14:solidFill>
                      </w14:textFill>
                    </w:rPr>
                  </w:pPr>
                  <w:r>
                    <w:rPr>
                      <w:color w:val="000000" w:themeColor="text1"/>
                      <w:szCs w:val="21"/>
                      <w:highlight w:val="none"/>
                      <w14:textFill>
                        <w14:solidFill>
                          <w14:schemeClr w14:val="tx1"/>
                        </w14:solidFill>
                      </w14:textFill>
                    </w:rPr>
                    <w:t>≤5μg/kg</w:t>
                  </w:r>
                  <w:r>
                    <w:rPr>
                      <w:rFonts w:hint="eastAsia"/>
                      <w:color w:val="000000" w:themeColor="text1"/>
                      <w:szCs w:val="21"/>
                      <w:highlight w:val="none"/>
                      <w:lang w:val="en-US" w:eastAsia="zh-CN"/>
                      <w14:textFill>
                        <w14:solidFill>
                          <w14:schemeClr w14:val="tx1"/>
                        </w14:solidFill>
                      </w14:textFill>
                    </w:rPr>
                    <w:t xml:space="preserve"> </w:t>
                  </w:r>
                </w:p>
              </w:tc>
            </w:tr>
          </w:tbl>
          <w:p w14:paraId="73BAEFCA">
            <w:pPr>
              <w:pStyle w:val="22"/>
              <w:keepNext w:val="0"/>
              <w:keepLines w:val="0"/>
              <w:pageBreakBefore w:val="0"/>
              <w:tabs>
                <w:tab w:val="left" w:pos="545"/>
              </w:tabs>
              <w:kinsoku/>
              <w:wordWrap/>
              <w:overflowPunct/>
              <w:topLinePunct w:val="0"/>
              <w:autoSpaceDE/>
              <w:autoSpaceDN/>
              <w:bidi w:val="0"/>
              <w:spacing w:before="141"/>
              <w:ind w:firstLine="0" w:firstLineChars="0"/>
              <w:jc w:val="left"/>
              <w:textAlignment w:val="auto"/>
              <w:outlineLvl w:val="9"/>
              <w:rPr>
                <w:color w:val="000000" w:themeColor="text1"/>
                <w:szCs w:val="21"/>
                <w:highlight w:val="none"/>
                <w14:textFill>
                  <w14:solidFill>
                    <w14:schemeClr w14:val="tx1"/>
                  </w14:solidFill>
                </w14:textFill>
              </w:rPr>
            </w:pPr>
          </w:p>
          <w:p w14:paraId="01BBB368">
            <w:pPr>
              <w:pStyle w:val="22"/>
              <w:keepNext w:val="0"/>
              <w:keepLines w:val="0"/>
              <w:pageBreakBefore w:val="0"/>
              <w:tabs>
                <w:tab w:val="left" w:pos="545"/>
              </w:tabs>
              <w:kinsoku/>
              <w:wordWrap/>
              <w:overflowPunct/>
              <w:topLinePunct w:val="0"/>
              <w:autoSpaceDE/>
              <w:autoSpaceDN/>
              <w:bidi w:val="0"/>
              <w:spacing w:before="141"/>
              <w:ind w:firstLine="0" w:firstLineChars="0"/>
              <w:jc w:val="left"/>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标准面粉理化指标</w:t>
            </w:r>
          </w:p>
          <w:tbl>
            <w:tblPr>
              <w:tblStyle w:val="16"/>
              <w:tblW w:w="8357" w:type="dxa"/>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3317"/>
              <w:gridCol w:w="5040"/>
            </w:tblGrid>
            <w:tr w14:paraId="29A5BE8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0" w:hRule="atLeast"/>
                <w:jc w:val="center"/>
              </w:trPr>
              <w:tc>
                <w:tcPr>
                  <w:tcW w:w="3317" w:type="dxa"/>
                  <w:tcBorders>
                    <w:bottom w:val="single" w:color="000000" w:sz="6" w:space="0"/>
                    <w:right w:val="single" w:color="000000" w:sz="6" w:space="0"/>
                  </w:tcBorders>
                  <w:noWrap w:val="0"/>
                  <w:vAlign w:val="center"/>
                </w:tcPr>
                <w:p w14:paraId="0229422D">
                  <w:pPr>
                    <w:keepNext w:val="0"/>
                    <w:keepLines w:val="0"/>
                    <w:pageBreakBefore w:val="0"/>
                    <w:kinsoku/>
                    <w:wordWrap/>
                    <w:overflowPunct/>
                    <w:topLinePunct w:val="0"/>
                    <w:autoSpaceDE/>
                    <w:autoSpaceDN/>
                    <w:bidi w:val="0"/>
                    <w:jc w:val="center"/>
                    <w:textAlignment w:val="auto"/>
                    <w:outlineLvl w:val="9"/>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项目</w:t>
                  </w:r>
                </w:p>
              </w:tc>
              <w:tc>
                <w:tcPr>
                  <w:tcW w:w="5040" w:type="dxa"/>
                  <w:tcBorders>
                    <w:left w:val="single" w:color="000000" w:sz="6" w:space="0"/>
                    <w:bottom w:val="single" w:color="000000" w:sz="6" w:space="0"/>
                  </w:tcBorders>
                  <w:noWrap w:val="0"/>
                  <w:vAlign w:val="center"/>
                </w:tcPr>
                <w:p w14:paraId="459B653C">
                  <w:pPr>
                    <w:keepNext w:val="0"/>
                    <w:keepLines w:val="0"/>
                    <w:pageBreakBefore w:val="0"/>
                    <w:kinsoku/>
                    <w:wordWrap/>
                    <w:overflowPunct/>
                    <w:topLinePunct w:val="0"/>
                    <w:autoSpaceDE/>
                    <w:autoSpaceDN/>
                    <w:bidi w:val="0"/>
                    <w:jc w:val="center"/>
                    <w:textAlignment w:val="auto"/>
                    <w:outlineLvl w:val="9"/>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指标</w:t>
                  </w:r>
                </w:p>
              </w:tc>
            </w:tr>
            <w:tr w14:paraId="62F9296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3317" w:type="dxa"/>
                  <w:tcBorders>
                    <w:top w:val="single" w:color="000000" w:sz="6" w:space="0"/>
                    <w:bottom w:val="single" w:color="000000" w:sz="6" w:space="0"/>
                    <w:right w:val="single" w:color="000000" w:sz="6" w:space="0"/>
                  </w:tcBorders>
                  <w:noWrap w:val="0"/>
                  <w:vAlign w:val="center"/>
                </w:tcPr>
                <w:p w14:paraId="0613E4B7">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加工精度</w:t>
                  </w:r>
                </w:p>
              </w:tc>
              <w:tc>
                <w:tcPr>
                  <w:tcW w:w="5040" w:type="dxa"/>
                  <w:tcBorders>
                    <w:top w:val="single" w:color="000000" w:sz="6" w:space="0"/>
                    <w:left w:val="single" w:color="000000" w:sz="6" w:space="0"/>
                    <w:bottom w:val="single" w:color="000000" w:sz="6" w:space="0"/>
                  </w:tcBorders>
                  <w:noWrap w:val="0"/>
                  <w:vAlign w:val="center"/>
                </w:tcPr>
                <w:p w14:paraId="4FB01D37">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对照实物标准样品对照检验粉色、麸星</w:t>
                  </w:r>
                </w:p>
              </w:tc>
            </w:tr>
            <w:tr w14:paraId="5283F4B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3317" w:type="dxa"/>
                  <w:tcBorders>
                    <w:top w:val="single" w:color="000000" w:sz="6" w:space="0"/>
                    <w:bottom w:val="single" w:color="000000" w:sz="6" w:space="0"/>
                    <w:right w:val="single" w:color="000000" w:sz="6" w:space="0"/>
                  </w:tcBorders>
                  <w:noWrap w:val="0"/>
                  <w:vAlign w:val="center"/>
                </w:tcPr>
                <w:p w14:paraId="3232E1B0">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灰分（以干物质计）</w:t>
                  </w:r>
                </w:p>
              </w:tc>
              <w:tc>
                <w:tcPr>
                  <w:tcW w:w="5040" w:type="dxa"/>
                  <w:tcBorders>
                    <w:top w:val="single" w:color="000000" w:sz="6" w:space="0"/>
                    <w:left w:val="single" w:color="000000" w:sz="6" w:space="0"/>
                    <w:bottom w:val="single" w:color="000000" w:sz="6" w:space="0"/>
                  </w:tcBorders>
                  <w:noWrap w:val="0"/>
                  <w:vAlign w:val="center"/>
                </w:tcPr>
                <w:p w14:paraId="7AFF427B">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≤1.10%</w:t>
                  </w:r>
                </w:p>
              </w:tc>
            </w:tr>
            <w:tr w14:paraId="2254E36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3317" w:type="dxa"/>
                  <w:tcBorders>
                    <w:top w:val="single" w:color="000000" w:sz="6" w:space="0"/>
                    <w:bottom w:val="single" w:color="000000" w:sz="6" w:space="0"/>
                    <w:right w:val="single" w:color="000000" w:sz="6" w:space="0"/>
                  </w:tcBorders>
                  <w:noWrap w:val="0"/>
                  <w:vAlign w:val="center"/>
                </w:tcPr>
                <w:p w14:paraId="67BD511E">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水分</w:t>
                  </w:r>
                </w:p>
              </w:tc>
              <w:tc>
                <w:tcPr>
                  <w:tcW w:w="5040" w:type="dxa"/>
                  <w:tcBorders>
                    <w:top w:val="single" w:color="000000" w:sz="6" w:space="0"/>
                    <w:left w:val="single" w:color="000000" w:sz="6" w:space="0"/>
                    <w:bottom w:val="single" w:color="000000" w:sz="6" w:space="0"/>
                  </w:tcBorders>
                  <w:noWrap w:val="0"/>
                  <w:vAlign w:val="center"/>
                </w:tcPr>
                <w:p w14:paraId="76F7B1C9">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≤14.0%</w:t>
                  </w:r>
                </w:p>
              </w:tc>
            </w:tr>
            <w:tr w14:paraId="2208E40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3317" w:type="dxa"/>
                  <w:tcBorders>
                    <w:top w:val="single" w:color="000000" w:sz="6" w:space="0"/>
                    <w:bottom w:val="single" w:color="000000" w:sz="6" w:space="0"/>
                    <w:right w:val="single" w:color="000000" w:sz="6" w:space="0"/>
                  </w:tcBorders>
                  <w:noWrap w:val="0"/>
                  <w:vAlign w:val="center"/>
                </w:tcPr>
                <w:p w14:paraId="17941D21">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粗细度</w:t>
                  </w:r>
                </w:p>
              </w:tc>
              <w:tc>
                <w:tcPr>
                  <w:tcW w:w="5040" w:type="dxa"/>
                  <w:tcBorders>
                    <w:top w:val="single" w:color="000000" w:sz="6" w:space="0"/>
                    <w:left w:val="single" w:color="000000" w:sz="6" w:space="0"/>
                    <w:bottom w:val="single" w:color="000000" w:sz="6" w:space="0"/>
                  </w:tcBorders>
                  <w:noWrap w:val="0"/>
                  <w:vAlign w:val="center"/>
                </w:tcPr>
                <w:p w14:paraId="54DF20A2">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全部通过CQ20号筛，留存在CB30号筛的不超过20.0%</w:t>
                  </w:r>
                </w:p>
              </w:tc>
            </w:tr>
            <w:tr w14:paraId="6C75A32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3317" w:type="dxa"/>
                  <w:tcBorders>
                    <w:top w:val="single" w:color="000000" w:sz="6" w:space="0"/>
                    <w:bottom w:val="single" w:color="000000" w:sz="6" w:space="0"/>
                    <w:right w:val="single" w:color="000000" w:sz="6" w:space="0"/>
                  </w:tcBorders>
                  <w:noWrap w:val="0"/>
                  <w:vAlign w:val="center"/>
                </w:tcPr>
                <w:p w14:paraId="3BA9FAD9">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面筋质</w:t>
                  </w:r>
                </w:p>
              </w:tc>
              <w:tc>
                <w:tcPr>
                  <w:tcW w:w="5040" w:type="dxa"/>
                  <w:tcBorders>
                    <w:top w:val="single" w:color="000000" w:sz="6" w:space="0"/>
                    <w:left w:val="single" w:color="000000" w:sz="6" w:space="0"/>
                    <w:bottom w:val="single" w:color="000000" w:sz="6" w:space="0"/>
                  </w:tcBorders>
                  <w:noWrap w:val="0"/>
                  <w:vAlign w:val="center"/>
                </w:tcPr>
                <w:p w14:paraId="794BD180">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≤24.0%</w:t>
                  </w:r>
                </w:p>
              </w:tc>
            </w:tr>
            <w:tr w14:paraId="58F7700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3317" w:type="dxa"/>
                  <w:tcBorders>
                    <w:top w:val="single" w:color="000000" w:sz="6" w:space="0"/>
                    <w:bottom w:val="single" w:color="000000" w:sz="6" w:space="0"/>
                    <w:right w:val="single" w:color="000000" w:sz="6" w:space="0"/>
                  </w:tcBorders>
                  <w:noWrap w:val="0"/>
                  <w:vAlign w:val="center"/>
                </w:tcPr>
                <w:p w14:paraId="22A7296F">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含砂量</w:t>
                  </w:r>
                </w:p>
              </w:tc>
              <w:tc>
                <w:tcPr>
                  <w:tcW w:w="5040" w:type="dxa"/>
                  <w:tcBorders>
                    <w:top w:val="single" w:color="000000" w:sz="6" w:space="0"/>
                    <w:left w:val="single" w:color="000000" w:sz="6" w:space="0"/>
                    <w:bottom w:val="single" w:color="000000" w:sz="6" w:space="0"/>
                  </w:tcBorders>
                  <w:noWrap w:val="0"/>
                  <w:vAlign w:val="center"/>
                </w:tcPr>
                <w:p w14:paraId="56576DC6">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≤0.02%</w:t>
                  </w:r>
                </w:p>
              </w:tc>
            </w:tr>
            <w:tr w14:paraId="3A45D2D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3317" w:type="dxa"/>
                  <w:tcBorders>
                    <w:top w:val="single" w:color="000000" w:sz="6" w:space="0"/>
                    <w:bottom w:val="single" w:color="000000" w:sz="6" w:space="0"/>
                    <w:right w:val="single" w:color="000000" w:sz="6" w:space="0"/>
                  </w:tcBorders>
                  <w:noWrap w:val="0"/>
                  <w:vAlign w:val="center"/>
                </w:tcPr>
                <w:p w14:paraId="12376B83">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磁性金属物质</w:t>
                  </w:r>
                </w:p>
              </w:tc>
              <w:tc>
                <w:tcPr>
                  <w:tcW w:w="5040" w:type="dxa"/>
                  <w:tcBorders>
                    <w:top w:val="single" w:color="000000" w:sz="6" w:space="0"/>
                    <w:left w:val="single" w:color="000000" w:sz="6" w:space="0"/>
                    <w:bottom w:val="single" w:color="000000" w:sz="6" w:space="0"/>
                  </w:tcBorders>
                  <w:noWrap w:val="0"/>
                  <w:vAlign w:val="center"/>
                </w:tcPr>
                <w:p w14:paraId="5DA24518">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≤0.003g/kg</w:t>
                  </w:r>
                </w:p>
              </w:tc>
            </w:tr>
            <w:tr w14:paraId="22F44A8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3317" w:type="dxa"/>
                  <w:tcBorders>
                    <w:top w:val="single" w:color="000000" w:sz="6" w:space="0"/>
                    <w:bottom w:val="single" w:color="000000" w:sz="6" w:space="0"/>
                    <w:right w:val="single" w:color="000000" w:sz="6" w:space="0"/>
                  </w:tcBorders>
                  <w:noWrap w:val="0"/>
                  <w:vAlign w:val="center"/>
                </w:tcPr>
                <w:p w14:paraId="6FF8D851">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脂肪酸值（湿基计）</w:t>
                  </w:r>
                </w:p>
              </w:tc>
              <w:tc>
                <w:tcPr>
                  <w:tcW w:w="5040" w:type="dxa"/>
                  <w:tcBorders>
                    <w:top w:val="single" w:color="000000" w:sz="6" w:space="0"/>
                    <w:left w:val="single" w:color="000000" w:sz="6" w:space="0"/>
                    <w:bottom w:val="single" w:color="000000" w:sz="6" w:space="0"/>
                  </w:tcBorders>
                  <w:noWrap w:val="0"/>
                  <w:vAlign w:val="center"/>
                </w:tcPr>
                <w:p w14:paraId="31636FE9">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≤80</w:t>
                  </w:r>
                </w:p>
              </w:tc>
            </w:tr>
            <w:tr w14:paraId="3D0563D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3317" w:type="dxa"/>
                  <w:tcBorders>
                    <w:top w:val="single" w:color="000000" w:sz="6" w:space="0"/>
                    <w:bottom w:val="single" w:color="000000" w:sz="6" w:space="0"/>
                    <w:right w:val="single" w:color="000000" w:sz="6" w:space="0"/>
                  </w:tcBorders>
                  <w:noWrap w:val="0"/>
                  <w:vAlign w:val="center"/>
                </w:tcPr>
                <w:p w14:paraId="5834C9F0">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六六六（以成品粮计）</w:t>
                  </w:r>
                </w:p>
              </w:tc>
              <w:tc>
                <w:tcPr>
                  <w:tcW w:w="5040" w:type="dxa"/>
                  <w:tcBorders>
                    <w:top w:val="single" w:color="000000" w:sz="6" w:space="0"/>
                    <w:left w:val="single" w:color="000000" w:sz="6" w:space="0"/>
                    <w:bottom w:val="single" w:color="000000" w:sz="6" w:space="0"/>
                  </w:tcBorders>
                  <w:noWrap w:val="0"/>
                  <w:vAlign w:val="center"/>
                </w:tcPr>
                <w:p w14:paraId="1543773A">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≤0.3mg/kg</w:t>
                  </w:r>
                </w:p>
              </w:tc>
            </w:tr>
            <w:tr w14:paraId="1619CB0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3317" w:type="dxa"/>
                  <w:tcBorders>
                    <w:top w:val="single" w:color="000000" w:sz="6" w:space="0"/>
                    <w:bottom w:val="single" w:color="000000" w:sz="6" w:space="0"/>
                    <w:right w:val="single" w:color="000000" w:sz="6" w:space="0"/>
                  </w:tcBorders>
                  <w:noWrap w:val="0"/>
                  <w:vAlign w:val="center"/>
                </w:tcPr>
                <w:p w14:paraId="5C42E50C">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滴滴涕（成品粮计）</w:t>
                  </w:r>
                </w:p>
              </w:tc>
              <w:tc>
                <w:tcPr>
                  <w:tcW w:w="5040" w:type="dxa"/>
                  <w:tcBorders>
                    <w:top w:val="single" w:color="000000" w:sz="6" w:space="0"/>
                    <w:left w:val="single" w:color="000000" w:sz="6" w:space="0"/>
                    <w:bottom w:val="single" w:color="000000" w:sz="6" w:space="0"/>
                  </w:tcBorders>
                  <w:noWrap w:val="0"/>
                  <w:vAlign w:val="center"/>
                </w:tcPr>
                <w:p w14:paraId="431AFC8A">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≤0.2mg/kg</w:t>
                  </w:r>
                </w:p>
              </w:tc>
            </w:tr>
            <w:tr w14:paraId="7AEC8EF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3317" w:type="dxa"/>
                  <w:tcBorders>
                    <w:top w:val="single" w:color="000000" w:sz="6" w:space="0"/>
                    <w:bottom w:val="single" w:color="000000" w:sz="6" w:space="0"/>
                    <w:right w:val="single" w:color="000000" w:sz="6" w:space="0"/>
                  </w:tcBorders>
                  <w:noWrap w:val="0"/>
                  <w:vAlign w:val="center"/>
                </w:tcPr>
                <w:p w14:paraId="67568D8E">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汞（成品粮计）</w:t>
                  </w:r>
                </w:p>
              </w:tc>
              <w:tc>
                <w:tcPr>
                  <w:tcW w:w="5040" w:type="dxa"/>
                  <w:tcBorders>
                    <w:top w:val="single" w:color="000000" w:sz="6" w:space="0"/>
                    <w:left w:val="single" w:color="000000" w:sz="6" w:space="0"/>
                    <w:bottom w:val="single" w:color="000000" w:sz="6" w:space="0"/>
                  </w:tcBorders>
                  <w:noWrap w:val="0"/>
                  <w:vAlign w:val="center"/>
                </w:tcPr>
                <w:p w14:paraId="231DEF2F">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≤0.02mg/kg</w:t>
                  </w:r>
                </w:p>
              </w:tc>
            </w:tr>
            <w:tr w14:paraId="7871661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79" w:hRule="atLeast"/>
                <w:jc w:val="center"/>
              </w:trPr>
              <w:tc>
                <w:tcPr>
                  <w:tcW w:w="3317" w:type="dxa"/>
                  <w:tcBorders>
                    <w:top w:val="single" w:color="000000" w:sz="6" w:space="0"/>
                    <w:right w:val="single" w:color="000000" w:sz="6" w:space="0"/>
                  </w:tcBorders>
                  <w:noWrap w:val="0"/>
                  <w:vAlign w:val="center"/>
                </w:tcPr>
                <w:p w14:paraId="08E43F1C">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黄霉素毒素 B1</w:t>
                  </w:r>
                </w:p>
              </w:tc>
              <w:tc>
                <w:tcPr>
                  <w:tcW w:w="5040" w:type="dxa"/>
                  <w:tcBorders>
                    <w:top w:val="single" w:color="000000" w:sz="6" w:space="0"/>
                    <w:left w:val="single" w:color="000000" w:sz="6" w:space="0"/>
                  </w:tcBorders>
                  <w:noWrap w:val="0"/>
                  <w:vAlign w:val="center"/>
                </w:tcPr>
                <w:p w14:paraId="69E3E206">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≤5μg/kg</w:t>
                  </w:r>
                </w:p>
              </w:tc>
            </w:tr>
          </w:tbl>
          <w:p w14:paraId="5D4D5A4E">
            <w:pPr>
              <w:pStyle w:val="22"/>
              <w:keepNext w:val="0"/>
              <w:keepLines w:val="0"/>
              <w:pageBreakBefore w:val="0"/>
              <w:tabs>
                <w:tab w:val="left" w:pos="545"/>
              </w:tabs>
              <w:kinsoku/>
              <w:wordWrap/>
              <w:overflowPunct/>
              <w:topLinePunct w:val="0"/>
              <w:autoSpaceDE/>
              <w:autoSpaceDN/>
              <w:bidi w:val="0"/>
              <w:spacing w:before="141"/>
              <w:ind w:firstLine="0" w:firstLineChars="0"/>
              <w:jc w:val="left"/>
              <w:textAlignment w:val="auto"/>
              <w:outlineLvl w:val="9"/>
              <w:rPr>
                <w:rFonts w:hint="eastAsia" w:ascii="宋体" w:hAnsi="宋体" w:cs="宋体"/>
                <w:color w:val="000000" w:themeColor="text1"/>
                <w:szCs w:val="21"/>
                <w:highlight w:val="none"/>
                <w14:textFill>
                  <w14:solidFill>
                    <w14:schemeClr w14:val="tx1"/>
                  </w14:solidFill>
                </w14:textFill>
              </w:rPr>
            </w:pPr>
          </w:p>
          <w:p w14:paraId="6FE2908D">
            <w:pPr>
              <w:pStyle w:val="22"/>
              <w:keepNext w:val="0"/>
              <w:keepLines w:val="0"/>
              <w:pageBreakBefore w:val="0"/>
              <w:tabs>
                <w:tab w:val="left" w:pos="545"/>
              </w:tabs>
              <w:kinsoku/>
              <w:wordWrap/>
              <w:overflowPunct/>
              <w:topLinePunct w:val="0"/>
              <w:autoSpaceDE/>
              <w:autoSpaceDN/>
              <w:bidi w:val="0"/>
              <w:spacing w:before="141"/>
              <w:ind w:firstLine="0" w:firstLineChars="0"/>
              <w:jc w:val="left"/>
              <w:textAlignment w:val="auto"/>
              <w:outlineLvl w:val="9"/>
              <w:rPr>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3）油</w:t>
            </w:r>
            <w:r>
              <w:rPr>
                <w:color w:val="000000" w:themeColor="text1"/>
                <w:szCs w:val="21"/>
                <w:highlight w:val="none"/>
                <w14:textFill>
                  <w14:solidFill>
                    <w14:schemeClr w14:val="tx1"/>
                  </w14:solidFill>
                </w14:textFill>
              </w:rPr>
              <w:t>类执行标准</w:t>
            </w:r>
          </w:p>
          <w:tbl>
            <w:tblPr>
              <w:tblStyle w:val="16"/>
              <w:tblW w:w="675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83"/>
              <w:gridCol w:w="1900"/>
              <w:gridCol w:w="1300"/>
              <w:gridCol w:w="2276"/>
            </w:tblGrid>
            <w:tr w14:paraId="394C5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jc w:val="center"/>
              </w:trPr>
              <w:tc>
                <w:tcPr>
                  <w:tcW w:w="1283" w:type="dxa"/>
                  <w:noWrap w:val="0"/>
                  <w:vAlign w:val="center"/>
                </w:tcPr>
                <w:p w14:paraId="08565198">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油类</w:t>
                  </w:r>
                </w:p>
              </w:tc>
              <w:tc>
                <w:tcPr>
                  <w:tcW w:w="1900" w:type="dxa"/>
                  <w:noWrap w:val="0"/>
                  <w:vAlign w:val="center"/>
                </w:tcPr>
                <w:p w14:paraId="01C5DA68">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标准</w:t>
                  </w:r>
                </w:p>
              </w:tc>
              <w:tc>
                <w:tcPr>
                  <w:tcW w:w="1300" w:type="dxa"/>
                  <w:noWrap w:val="0"/>
                  <w:vAlign w:val="center"/>
                </w:tcPr>
                <w:p w14:paraId="229B9A74">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油类</w:t>
                  </w:r>
                </w:p>
              </w:tc>
              <w:tc>
                <w:tcPr>
                  <w:tcW w:w="2276" w:type="dxa"/>
                  <w:noWrap w:val="0"/>
                  <w:vAlign w:val="center"/>
                </w:tcPr>
                <w:p w14:paraId="754EA1F9">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标准</w:t>
                  </w:r>
                </w:p>
              </w:tc>
            </w:tr>
            <w:tr w14:paraId="527F18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jc w:val="center"/>
              </w:trPr>
              <w:tc>
                <w:tcPr>
                  <w:tcW w:w="1283" w:type="dxa"/>
                  <w:noWrap w:val="0"/>
                  <w:vAlign w:val="center"/>
                </w:tcPr>
                <w:p w14:paraId="18D16CBD">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食用植物油</w:t>
                  </w:r>
                </w:p>
              </w:tc>
              <w:tc>
                <w:tcPr>
                  <w:tcW w:w="1900" w:type="dxa"/>
                  <w:noWrap w:val="0"/>
                  <w:vAlign w:val="center"/>
                </w:tcPr>
                <w:p w14:paraId="2CBC88D7">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GB 2716-2005</w:t>
                  </w:r>
                </w:p>
              </w:tc>
              <w:tc>
                <w:tcPr>
                  <w:tcW w:w="1300" w:type="dxa"/>
                  <w:noWrap w:val="0"/>
                  <w:vAlign w:val="center"/>
                </w:tcPr>
                <w:p w14:paraId="700A572E">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棉籽油</w:t>
                  </w:r>
                </w:p>
              </w:tc>
              <w:tc>
                <w:tcPr>
                  <w:tcW w:w="2276" w:type="dxa"/>
                  <w:noWrap w:val="0"/>
                  <w:vAlign w:val="center"/>
                </w:tcPr>
                <w:p w14:paraId="1880D978">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GB/T 1537-2019</w:t>
                  </w:r>
                </w:p>
              </w:tc>
            </w:tr>
            <w:tr w14:paraId="071C68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jc w:val="center"/>
              </w:trPr>
              <w:tc>
                <w:tcPr>
                  <w:tcW w:w="1283" w:type="dxa"/>
                  <w:noWrap w:val="0"/>
                  <w:vAlign w:val="center"/>
                </w:tcPr>
                <w:p w14:paraId="02888BA6">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花生油</w:t>
                  </w:r>
                </w:p>
              </w:tc>
              <w:tc>
                <w:tcPr>
                  <w:tcW w:w="1900" w:type="dxa"/>
                  <w:noWrap w:val="0"/>
                  <w:vAlign w:val="center"/>
                </w:tcPr>
                <w:p w14:paraId="55BA5CC2">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GB/T 1534-2017</w:t>
                  </w:r>
                </w:p>
              </w:tc>
              <w:tc>
                <w:tcPr>
                  <w:tcW w:w="1300" w:type="dxa"/>
                  <w:noWrap w:val="0"/>
                  <w:vAlign w:val="center"/>
                </w:tcPr>
                <w:p w14:paraId="149A07C6">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油茶籽油</w:t>
                  </w:r>
                </w:p>
              </w:tc>
              <w:tc>
                <w:tcPr>
                  <w:tcW w:w="2276" w:type="dxa"/>
                  <w:noWrap w:val="0"/>
                  <w:vAlign w:val="center"/>
                </w:tcPr>
                <w:p w14:paraId="547602EB">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GB/T 11765-2018</w:t>
                  </w:r>
                </w:p>
              </w:tc>
            </w:tr>
            <w:tr w14:paraId="3D36E1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jc w:val="center"/>
              </w:trPr>
              <w:tc>
                <w:tcPr>
                  <w:tcW w:w="1283" w:type="dxa"/>
                  <w:noWrap w:val="0"/>
                  <w:vAlign w:val="center"/>
                </w:tcPr>
                <w:p w14:paraId="2E42DBEC">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大豆油</w:t>
                  </w:r>
                </w:p>
              </w:tc>
              <w:tc>
                <w:tcPr>
                  <w:tcW w:w="1900" w:type="dxa"/>
                  <w:noWrap w:val="0"/>
                  <w:vAlign w:val="center"/>
                </w:tcPr>
                <w:p w14:paraId="3435017C">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GB/T 1535-2017</w:t>
                  </w:r>
                </w:p>
              </w:tc>
              <w:tc>
                <w:tcPr>
                  <w:tcW w:w="1300" w:type="dxa"/>
                  <w:noWrap w:val="0"/>
                  <w:vAlign w:val="center"/>
                </w:tcPr>
                <w:p w14:paraId="2CA8E469">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玉米油</w:t>
                  </w:r>
                </w:p>
              </w:tc>
              <w:tc>
                <w:tcPr>
                  <w:tcW w:w="2276" w:type="dxa"/>
                  <w:noWrap w:val="0"/>
                  <w:vAlign w:val="center"/>
                </w:tcPr>
                <w:p w14:paraId="1D737EA8">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GB/T 19111-2017</w:t>
                  </w:r>
                </w:p>
              </w:tc>
            </w:tr>
            <w:tr w14:paraId="4DF1A5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9" w:hRule="atLeast"/>
                <w:jc w:val="center"/>
              </w:trPr>
              <w:tc>
                <w:tcPr>
                  <w:tcW w:w="1283" w:type="dxa"/>
                  <w:noWrap w:val="0"/>
                  <w:vAlign w:val="center"/>
                </w:tcPr>
                <w:p w14:paraId="783E79C1">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葵花籽油</w:t>
                  </w:r>
                </w:p>
              </w:tc>
              <w:tc>
                <w:tcPr>
                  <w:tcW w:w="1900" w:type="dxa"/>
                  <w:noWrap w:val="0"/>
                  <w:vAlign w:val="center"/>
                </w:tcPr>
                <w:p w14:paraId="46F0FAE6">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GB/T 10464-2017</w:t>
                  </w:r>
                </w:p>
              </w:tc>
              <w:tc>
                <w:tcPr>
                  <w:tcW w:w="1300" w:type="dxa"/>
                  <w:noWrap w:val="0"/>
                  <w:vAlign w:val="center"/>
                </w:tcPr>
                <w:p w14:paraId="7D3AE90B">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米糠油</w:t>
                  </w:r>
                </w:p>
              </w:tc>
              <w:tc>
                <w:tcPr>
                  <w:tcW w:w="2276" w:type="dxa"/>
                  <w:noWrap w:val="0"/>
                  <w:vAlign w:val="center"/>
                </w:tcPr>
                <w:p w14:paraId="1F4C8335">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GB/T 19112-2003</w:t>
                  </w:r>
                </w:p>
              </w:tc>
            </w:tr>
          </w:tbl>
          <w:p w14:paraId="03B214C9">
            <w:pPr>
              <w:pStyle w:val="22"/>
              <w:keepNext w:val="0"/>
              <w:keepLines w:val="0"/>
              <w:pageBreakBefore w:val="0"/>
              <w:tabs>
                <w:tab w:val="left" w:pos="545"/>
              </w:tabs>
              <w:kinsoku/>
              <w:wordWrap/>
              <w:overflowPunct/>
              <w:topLinePunct w:val="0"/>
              <w:autoSpaceDE/>
              <w:autoSpaceDN/>
              <w:bidi w:val="0"/>
              <w:spacing w:before="86"/>
              <w:ind w:firstLine="0" w:firstLineChars="0"/>
              <w:jc w:val="left"/>
              <w:textAlignment w:val="auto"/>
              <w:outlineLvl w:val="9"/>
              <w:rPr>
                <w:color w:val="000000" w:themeColor="text1"/>
                <w:szCs w:val="21"/>
                <w:highlight w:val="none"/>
                <w14:textFill>
                  <w14:solidFill>
                    <w14:schemeClr w14:val="tx1"/>
                  </w14:solidFill>
                </w14:textFill>
              </w:rPr>
            </w:pPr>
          </w:p>
          <w:p w14:paraId="4560475B">
            <w:pPr>
              <w:pStyle w:val="22"/>
              <w:keepNext w:val="0"/>
              <w:keepLines w:val="0"/>
              <w:pageBreakBefore w:val="0"/>
              <w:tabs>
                <w:tab w:val="left" w:pos="545"/>
              </w:tabs>
              <w:kinsoku/>
              <w:wordWrap/>
              <w:overflowPunct/>
              <w:topLinePunct w:val="0"/>
              <w:autoSpaceDE/>
              <w:autoSpaceDN/>
              <w:bidi w:val="0"/>
              <w:spacing w:before="86"/>
              <w:ind w:firstLine="0" w:firstLineChars="0"/>
              <w:jc w:val="left"/>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花生原油质量指标</w:t>
            </w:r>
          </w:p>
          <w:tbl>
            <w:tblPr>
              <w:tblStyle w:val="16"/>
              <w:tblW w:w="6405" w:type="dxa"/>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2405"/>
              <w:gridCol w:w="4000"/>
            </w:tblGrid>
            <w:tr w14:paraId="7A3EEF9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79" w:hRule="atLeast"/>
                <w:jc w:val="center"/>
              </w:trPr>
              <w:tc>
                <w:tcPr>
                  <w:tcW w:w="2405" w:type="dxa"/>
                  <w:tcBorders>
                    <w:bottom w:val="single" w:color="000000" w:sz="6" w:space="0"/>
                    <w:right w:val="single" w:color="000000" w:sz="6" w:space="0"/>
                  </w:tcBorders>
                  <w:noWrap w:val="0"/>
                  <w:vAlign w:val="center"/>
                </w:tcPr>
                <w:p w14:paraId="0CC1BD7B">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w:t>
                  </w:r>
                </w:p>
              </w:tc>
              <w:tc>
                <w:tcPr>
                  <w:tcW w:w="4000" w:type="dxa"/>
                  <w:tcBorders>
                    <w:left w:val="single" w:color="000000" w:sz="6" w:space="0"/>
                    <w:bottom w:val="single" w:color="000000" w:sz="6" w:space="0"/>
                  </w:tcBorders>
                  <w:noWrap w:val="0"/>
                  <w:vAlign w:val="center"/>
                </w:tcPr>
                <w:p w14:paraId="19DB0A41">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质量指标</w:t>
                  </w:r>
                </w:p>
              </w:tc>
            </w:tr>
            <w:tr w14:paraId="52A89C6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3" w:hRule="atLeast"/>
                <w:jc w:val="center"/>
              </w:trPr>
              <w:tc>
                <w:tcPr>
                  <w:tcW w:w="2405" w:type="dxa"/>
                  <w:tcBorders>
                    <w:top w:val="single" w:color="000000" w:sz="6" w:space="0"/>
                    <w:bottom w:val="single" w:color="000000" w:sz="6" w:space="0"/>
                    <w:right w:val="single" w:color="000000" w:sz="6" w:space="0"/>
                  </w:tcBorders>
                  <w:noWrap w:val="0"/>
                  <w:vAlign w:val="center"/>
                </w:tcPr>
                <w:p w14:paraId="377DFFA0">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气味、滋味</w:t>
                  </w:r>
                </w:p>
              </w:tc>
              <w:tc>
                <w:tcPr>
                  <w:tcW w:w="4000" w:type="dxa"/>
                  <w:tcBorders>
                    <w:top w:val="single" w:color="000000" w:sz="6" w:space="0"/>
                    <w:left w:val="single" w:color="000000" w:sz="6" w:space="0"/>
                    <w:bottom w:val="single" w:color="000000" w:sz="6" w:space="0"/>
                  </w:tcBorders>
                  <w:noWrap w:val="0"/>
                  <w:vAlign w:val="center"/>
                </w:tcPr>
                <w:p w14:paraId="0D176C9C">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具有花生原油固有的气味和滋味，无异味</w:t>
                  </w:r>
                </w:p>
              </w:tc>
            </w:tr>
            <w:tr w14:paraId="419CA54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2405" w:type="dxa"/>
                  <w:tcBorders>
                    <w:top w:val="single" w:color="000000" w:sz="6" w:space="0"/>
                    <w:bottom w:val="single" w:color="000000" w:sz="6" w:space="0"/>
                    <w:right w:val="single" w:color="000000" w:sz="6" w:space="0"/>
                  </w:tcBorders>
                  <w:noWrap w:val="0"/>
                  <w:vAlign w:val="center"/>
                </w:tcPr>
                <w:p w14:paraId="011275D9">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水分及挥发物</w:t>
                  </w:r>
                </w:p>
              </w:tc>
              <w:tc>
                <w:tcPr>
                  <w:tcW w:w="4000" w:type="dxa"/>
                  <w:tcBorders>
                    <w:top w:val="single" w:color="000000" w:sz="6" w:space="0"/>
                    <w:left w:val="single" w:color="000000" w:sz="6" w:space="0"/>
                    <w:bottom w:val="single" w:color="000000" w:sz="6" w:space="0"/>
                  </w:tcBorders>
                  <w:noWrap w:val="0"/>
                  <w:vAlign w:val="center"/>
                </w:tcPr>
                <w:p w14:paraId="3B61EA37">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≤0.20%</w:t>
                  </w:r>
                </w:p>
              </w:tc>
            </w:tr>
            <w:tr w14:paraId="4A90181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2405" w:type="dxa"/>
                  <w:tcBorders>
                    <w:top w:val="single" w:color="000000" w:sz="6" w:space="0"/>
                    <w:bottom w:val="single" w:color="000000" w:sz="6" w:space="0"/>
                    <w:right w:val="single" w:color="000000" w:sz="6" w:space="0"/>
                  </w:tcBorders>
                  <w:noWrap w:val="0"/>
                  <w:vAlign w:val="center"/>
                </w:tcPr>
                <w:p w14:paraId="364D7E32">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不溶性杂质</w:t>
                  </w:r>
                </w:p>
              </w:tc>
              <w:tc>
                <w:tcPr>
                  <w:tcW w:w="4000" w:type="dxa"/>
                  <w:tcBorders>
                    <w:top w:val="single" w:color="000000" w:sz="6" w:space="0"/>
                    <w:left w:val="single" w:color="000000" w:sz="6" w:space="0"/>
                    <w:bottom w:val="single" w:color="000000" w:sz="6" w:space="0"/>
                  </w:tcBorders>
                  <w:noWrap w:val="0"/>
                  <w:vAlign w:val="center"/>
                </w:tcPr>
                <w:p w14:paraId="104CD32F">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≤0.20%</w:t>
                  </w:r>
                </w:p>
              </w:tc>
            </w:tr>
            <w:tr w14:paraId="5FA45B5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2405" w:type="dxa"/>
                  <w:tcBorders>
                    <w:top w:val="single" w:color="000000" w:sz="6" w:space="0"/>
                    <w:bottom w:val="single" w:color="000000" w:sz="6" w:space="0"/>
                    <w:right w:val="single" w:color="000000" w:sz="6" w:space="0"/>
                  </w:tcBorders>
                  <w:noWrap w:val="0"/>
                  <w:vAlign w:val="center"/>
                </w:tcPr>
                <w:p w14:paraId="048653AA">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酸值(KOH)</w:t>
                  </w:r>
                </w:p>
              </w:tc>
              <w:tc>
                <w:tcPr>
                  <w:tcW w:w="4000" w:type="dxa"/>
                  <w:tcBorders>
                    <w:top w:val="single" w:color="000000" w:sz="6" w:space="0"/>
                    <w:left w:val="single" w:color="000000" w:sz="6" w:space="0"/>
                    <w:bottom w:val="single" w:color="000000" w:sz="6" w:space="0"/>
                  </w:tcBorders>
                  <w:noWrap w:val="0"/>
                  <w:vAlign w:val="center"/>
                </w:tcPr>
                <w:p w14:paraId="6D027F6E">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≤4.0mg/g</w:t>
                  </w:r>
                </w:p>
              </w:tc>
            </w:tr>
            <w:tr w14:paraId="190BCD4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2405" w:type="dxa"/>
                  <w:tcBorders>
                    <w:top w:val="single" w:color="000000" w:sz="6" w:space="0"/>
                    <w:bottom w:val="single" w:color="000000" w:sz="6" w:space="0"/>
                    <w:right w:val="single" w:color="000000" w:sz="6" w:space="0"/>
                  </w:tcBorders>
                  <w:noWrap w:val="0"/>
                  <w:vAlign w:val="center"/>
                </w:tcPr>
                <w:p w14:paraId="516AB931">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过氧化值</w:t>
                  </w:r>
                </w:p>
              </w:tc>
              <w:tc>
                <w:tcPr>
                  <w:tcW w:w="4000" w:type="dxa"/>
                  <w:tcBorders>
                    <w:top w:val="single" w:color="000000" w:sz="6" w:space="0"/>
                    <w:left w:val="single" w:color="000000" w:sz="6" w:space="0"/>
                    <w:bottom w:val="single" w:color="000000" w:sz="6" w:space="0"/>
                  </w:tcBorders>
                  <w:noWrap w:val="0"/>
                  <w:vAlign w:val="center"/>
                </w:tcPr>
                <w:p w14:paraId="0BC7EE05">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≤7.5mmol/kg</w:t>
                  </w:r>
                </w:p>
              </w:tc>
            </w:tr>
            <w:tr w14:paraId="70521E6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79" w:hRule="atLeast"/>
                <w:jc w:val="center"/>
              </w:trPr>
              <w:tc>
                <w:tcPr>
                  <w:tcW w:w="2405" w:type="dxa"/>
                  <w:tcBorders>
                    <w:top w:val="single" w:color="000000" w:sz="6" w:space="0"/>
                    <w:right w:val="single" w:color="000000" w:sz="6" w:space="0"/>
                  </w:tcBorders>
                  <w:noWrap w:val="0"/>
                  <w:vAlign w:val="center"/>
                </w:tcPr>
                <w:p w14:paraId="2AB0AE92">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溶剂残留量</w:t>
                  </w:r>
                </w:p>
              </w:tc>
              <w:tc>
                <w:tcPr>
                  <w:tcW w:w="4000" w:type="dxa"/>
                  <w:tcBorders>
                    <w:top w:val="single" w:color="000000" w:sz="6" w:space="0"/>
                    <w:left w:val="single" w:color="000000" w:sz="6" w:space="0"/>
                  </w:tcBorders>
                  <w:noWrap w:val="0"/>
                  <w:vAlign w:val="center"/>
                </w:tcPr>
                <w:p w14:paraId="54133DF9">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≤100mg/kg</w:t>
                  </w:r>
                </w:p>
              </w:tc>
            </w:tr>
          </w:tbl>
          <w:p w14:paraId="30290C01">
            <w:pPr>
              <w:keepNext w:val="0"/>
              <w:keepLines w:val="0"/>
              <w:pageBreakBefore w:val="0"/>
              <w:kinsoku/>
              <w:wordWrap/>
              <w:overflowPunct/>
              <w:topLinePunct w:val="0"/>
              <w:autoSpaceDE/>
              <w:autoSpaceDN/>
              <w:bidi w:val="0"/>
              <w:textAlignment w:val="auto"/>
              <w:outlineLvl w:val="9"/>
              <w:rPr>
                <w:color w:val="000000" w:themeColor="text1"/>
                <w:highlight w:val="none"/>
                <w14:textFill>
                  <w14:solidFill>
                    <w14:schemeClr w14:val="tx1"/>
                  </w14:solidFill>
                </w14:textFill>
              </w:rPr>
            </w:pPr>
          </w:p>
          <w:p w14:paraId="44E244A3">
            <w:pPr>
              <w:keepNext w:val="0"/>
              <w:keepLines w:val="0"/>
              <w:pageBreakBefore w:val="0"/>
              <w:kinsoku/>
              <w:wordWrap/>
              <w:overflowPunct/>
              <w:topLinePunct w:val="0"/>
              <w:autoSpaceDE/>
              <w:autoSpaceDN/>
              <w:bidi w:val="0"/>
              <w:textAlignment w:val="auto"/>
              <w:outlineLvl w:val="9"/>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压榨成品花生油质量指标</w:t>
            </w:r>
          </w:p>
          <w:tbl>
            <w:tblPr>
              <w:tblStyle w:val="16"/>
              <w:tblW w:w="8534" w:type="dxa"/>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2949"/>
              <w:gridCol w:w="2818"/>
              <w:gridCol w:w="2767"/>
            </w:tblGrid>
            <w:tr w14:paraId="5C625E5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1" w:hRule="atLeast"/>
                <w:jc w:val="center"/>
              </w:trPr>
              <w:tc>
                <w:tcPr>
                  <w:tcW w:w="2949" w:type="dxa"/>
                  <w:vMerge w:val="restart"/>
                  <w:tcBorders>
                    <w:bottom w:val="single" w:color="000000" w:sz="6" w:space="0"/>
                    <w:right w:val="single" w:color="000000" w:sz="6" w:space="0"/>
                  </w:tcBorders>
                  <w:noWrap w:val="0"/>
                  <w:vAlign w:val="center"/>
                </w:tcPr>
                <w:p w14:paraId="0B23C0C5">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p>
                <w:p w14:paraId="68F3339F">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w:t>
                  </w:r>
                </w:p>
              </w:tc>
              <w:tc>
                <w:tcPr>
                  <w:tcW w:w="5585" w:type="dxa"/>
                  <w:gridSpan w:val="2"/>
                  <w:tcBorders>
                    <w:left w:val="single" w:color="000000" w:sz="6" w:space="0"/>
                    <w:bottom w:val="single" w:color="000000" w:sz="6" w:space="0"/>
                  </w:tcBorders>
                  <w:noWrap w:val="0"/>
                  <w:vAlign w:val="center"/>
                </w:tcPr>
                <w:p w14:paraId="785A39BE">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质量指标</w:t>
                  </w:r>
                </w:p>
              </w:tc>
            </w:tr>
            <w:tr w14:paraId="03C2FB0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3" w:hRule="atLeast"/>
                <w:jc w:val="center"/>
              </w:trPr>
              <w:tc>
                <w:tcPr>
                  <w:tcW w:w="2949" w:type="dxa"/>
                  <w:vMerge w:val="continue"/>
                  <w:tcBorders>
                    <w:top w:val="nil"/>
                    <w:bottom w:val="single" w:color="000000" w:sz="6" w:space="0"/>
                    <w:right w:val="single" w:color="000000" w:sz="6" w:space="0"/>
                  </w:tcBorders>
                  <w:noWrap w:val="0"/>
                  <w:vAlign w:val="center"/>
                </w:tcPr>
                <w:p w14:paraId="2F12EA19">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p>
              </w:tc>
              <w:tc>
                <w:tcPr>
                  <w:tcW w:w="2818" w:type="dxa"/>
                  <w:tcBorders>
                    <w:top w:val="single" w:color="000000" w:sz="6" w:space="0"/>
                    <w:left w:val="single" w:color="000000" w:sz="6" w:space="0"/>
                    <w:bottom w:val="single" w:color="000000" w:sz="6" w:space="0"/>
                    <w:right w:val="single" w:color="000000" w:sz="6" w:space="0"/>
                  </w:tcBorders>
                  <w:noWrap w:val="0"/>
                  <w:vAlign w:val="center"/>
                </w:tcPr>
                <w:p w14:paraId="7C8459E1">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一级</w:t>
                  </w:r>
                </w:p>
              </w:tc>
              <w:tc>
                <w:tcPr>
                  <w:tcW w:w="2767" w:type="dxa"/>
                  <w:tcBorders>
                    <w:top w:val="single" w:color="000000" w:sz="6" w:space="0"/>
                    <w:left w:val="single" w:color="000000" w:sz="6" w:space="0"/>
                    <w:bottom w:val="single" w:color="000000" w:sz="6" w:space="0"/>
                  </w:tcBorders>
                  <w:noWrap w:val="0"/>
                  <w:vAlign w:val="center"/>
                </w:tcPr>
                <w:p w14:paraId="370219E1">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二级</w:t>
                  </w:r>
                </w:p>
              </w:tc>
            </w:tr>
            <w:tr w14:paraId="6364429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2949" w:type="dxa"/>
                  <w:tcBorders>
                    <w:top w:val="single" w:color="000000" w:sz="6" w:space="0"/>
                    <w:bottom w:val="single" w:color="000000" w:sz="6" w:space="0"/>
                    <w:right w:val="single" w:color="000000" w:sz="6" w:space="0"/>
                  </w:tcBorders>
                  <w:noWrap w:val="0"/>
                  <w:vAlign w:val="center"/>
                </w:tcPr>
                <w:p w14:paraId="63EACA87">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色泽(罗维朋比色槽 25.4mm)≤</w:t>
                  </w:r>
                </w:p>
              </w:tc>
              <w:tc>
                <w:tcPr>
                  <w:tcW w:w="2818" w:type="dxa"/>
                  <w:tcBorders>
                    <w:top w:val="single" w:color="000000" w:sz="6" w:space="0"/>
                    <w:left w:val="single" w:color="000000" w:sz="6" w:space="0"/>
                    <w:bottom w:val="single" w:color="000000" w:sz="6" w:space="0"/>
                    <w:right w:val="single" w:color="000000" w:sz="6" w:space="0"/>
                  </w:tcBorders>
                  <w:noWrap w:val="0"/>
                  <w:vAlign w:val="center"/>
                </w:tcPr>
                <w:p w14:paraId="2B6A88C0">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黄15  红1.5</w:t>
                  </w:r>
                </w:p>
              </w:tc>
              <w:tc>
                <w:tcPr>
                  <w:tcW w:w="2767" w:type="dxa"/>
                  <w:tcBorders>
                    <w:top w:val="single" w:color="000000" w:sz="6" w:space="0"/>
                    <w:left w:val="single" w:color="000000" w:sz="6" w:space="0"/>
                    <w:bottom w:val="single" w:color="000000" w:sz="6" w:space="0"/>
                  </w:tcBorders>
                  <w:noWrap w:val="0"/>
                  <w:vAlign w:val="center"/>
                </w:tcPr>
                <w:p w14:paraId="6A020457">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黄25  红4.0</w:t>
                  </w:r>
                </w:p>
              </w:tc>
            </w:tr>
            <w:tr w14:paraId="16D7A32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17" w:hRule="atLeast"/>
                <w:jc w:val="center"/>
              </w:trPr>
              <w:tc>
                <w:tcPr>
                  <w:tcW w:w="2949" w:type="dxa"/>
                  <w:tcBorders>
                    <w:top w:val="single" w:color="000000" w:sz="6" w:space="0"/>
                    <w:bottom w:val="single" w:color="000000" w:sz="6" w:space="0"/>
                    <w:right w:val="single" w:color="000000" w:sz="6" w:space="0"/>
                  </w:tcBorders>
                  <w:noWrap w:val="0"/>
                  <w:vAlign w:val="center"/>
                </w:tcPr>
                <w:p w14:paraId="1FC5B0A1">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气味、滋味</w:t>
                  </w:r>
                </w:p>
              </w:tc>
              <w:tc>
                <w:tcPr>
                  <w:tcW w:w="2818" w:type="dxa"/>
                  <w:tcBorders>
                    <w:top w:val="single" w:color="000000" w:sz="6" w:space="0"/>
                    <w:left w:val="single" w:color="000000" w:sz="6" w:space="0"/>
                    <w:bottom w:val="single" w:color="000000" w:sz="6" w:space="0"/>
                    <w:right w:val="single" w:color="000000" w:sz="6" w:space="0"/>
                  </w:tcBorders>
                  <w:noWrap w:val="0"/>
                  <w:vAlign w:val="center"/>
                </w:tcPr>
                <w:p w14:paraId="6ADE7F15">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具有花生油固有的香味和滋味，无异味。</w:t>
                  </w:r>
                </w:p>
              </w:tc>
              <w:tc>
                <w:tcPr>
                  <w:tcW w:w="2767" w:type="dxa"/>
                  <w:tcBorders>
                    <w:top w:val="single" w:color="000000" w:sz="6" w:space="0"/>
                    <w:left w:val="single" w:color="000000" w:sz="6" w:space="0"/>
                    <w:bottom w:val="single" w:color="000000" w:sz="6" w:space="0"/>
                  </w:tcBorders>
                  <w:noWrap w:val="0"/>
                  <w:vAlign w:val="center"/>
                </w:tcPr>
                <w:p w14:paraId="6D781067">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具有花生油固有的香味和滋味，无异味。</w:t>
                  </w:r>
                </w:p>
              </w:tc>
            </w:tr>
            <w:tr w14:paraId="32EEB8C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3" w:hRule="atLeast"/>
                <w:jc w:val="center"/>
              </w:trPr>
              <w:tc>
                <w:tcPr>
                  <w:tcW w:w="2949" w:type="dxa"/>
                  <w:tcBorders>
                    <w:top w:val="single" w:color="000000" w:sz="6" w:space="0"/>
                    <w:bottom w:val="single" w:color="000000" w:sz="6" w:space="0"/>
                    <w:right w:val="single" w:color="000000" w:sz="6" w:space="0"/>
                  </w:tcBorders>
                  <w:noWrap w:val="0"/>
                  <w:vAlign w:val="center"/>
                </w:tcPr>
                <w:p w14:paraId="7198B610">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透明度</w:t>
                  </w:r>
                </w:p>
              </w:tc>
              <w:tc>
                <w:tcPr>
                  <w:tcW w:w="2818" w:type="dxa"/>
                  <w:tcBorders>
                    <w:top w:val="single" w:color="000000" w:sz="6" w:space="0"/>
                    <w:left w:val="single" w:color="000000" w:sz="6" w:space="0"/>
                    <w:bottom w:val="single" w:color="000000" w:sz="6" w:space="0"/>
                    <w:right w:val="single" w:color="000000" w:sz="6" w:space="0"/>
                  </w:tcBorders>
                  <w:noWrap w:val="0"/>
                  <w:vAlign w:val="center"/>
                </w:tcPr>
                <w:p w14:paraId="36145099">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澄清、透明</w:t>
                  </w:r>
                </w:p>
              </w:tc>
              <w:tc>
                <w:tcPr>
                  <w:tcW w:w="2767" w:type="dxa"/>
                  <w:tcBorders>
                    <w:top w:val="single" w:color="000000" w:sz="6" w:space="0"/>
                    <w:left w:val="single" w:color="000000" w:sz="6" w:space="0"/>
                    <w:bottom w:val="single" w:color="000000" w:sz="6" w:space="0"/>
                  </w:tcBorders>
                  <w:noWrap w:val="0"/>
                  <w:vAlign w:val="center"/>
                </w:tcPr>
                <w:p w14:paraId="302E9C79">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澄清、透明</w:t>
                  </w:r>
                </w:p>
              </w:tc>
            </w:tr>
            <w:tr w14:paraId="1FA0F46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16" w:hRule="atLeast"/>
                <w:jc w:val="center"/>
              </w:trPr>
              <w:tc>
                <w:tcPr>
                  <w:tcW w:w="2949" w:type="dxa"/>
                  <w:tcBorders>
                    <w:top w:val="single" w:color="000000" w:sz="6" w:space="0"/>
                    <w:bottom w:val="single" w:color="000000" w:sz="6" w:space="0"/>
                    <w:right w:val="single" w:color="000000" w:sz="6" w:space="0"/>
                  </w:tcBorders>
                  <w:noWrap w:val="0"/>
                  <w:vAlign w:val="center"/>
                </w:tcPr>
                <w:p w14:paraId="41F171C5">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水分及挥发物(%)≤</w:t>
                  </w:r>
                </w:p>
              </w:tc>
              <w:tc>
                <w:tcPr>
                  <w:tcW w:w="2818" w:type="dxa"/>
                  <w:tcBorders>
                    <w:top w:val="single" w:color="000000" w:sz="6" w:space="0"/>
                    <w:left w:val="single" w:color="000000" w:sz="6" w:space="0"/>
                    <w:bottom w:val="single" w:color="000000" w:sz="6" w:space="0"/>
                    <w:right w:val="single" w:color="000000" w:sz="6" w:space="0"/>
                  </w:tcBorders>
                  <w:noWrap w:val="0"/>
                  <w:vAlign w:val="center"/>
                </w:tcPr>
                <w:p w14:paraId="686BDDE6">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0.10</w:t>
                  </w:r>
                </w:p>
              </w:tc>
              <w:tc>
                <w:tcPr>
                  <w:tcW w:w="2767" w:type="dxa"/>
                  <w:tcBorders>
                    <w:top w:val="single" w:color="000000" w:sz="6" w:space="0"/>
                    <w:left w:val="single" w:color="000000" w:sz="6" w:space="0"/>
                    <w:bottom w:val="single" w:color="000000" w:sz="6" w:space="0"/>
                  </w:tcBorders>
                  <w:noWrap w:val="0"/>
                  <w:vAlign w:val="center"/>
                </w:tcPr>
                <w:p w14:paraId="787B0368">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0.15</w:t>
                  </w:r>
                </w:p>
              </w:tc>
            </w:tr>
            <w:tr w14:paraId="5C9C080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3" w:hRule="atLeast"/>
                <w:jc w:val="center"/>
              </w:trPr>
              <w:tc>
                <w:tcPr>
                  <w:tcW w:w="2949" w:type="dxa"/>
                  <w:tcBorders>
                    <w:top w:val="single" w:color="000000" w:sz="6" w:space="0"/>
                    <w:bottom w:val="single" w:color="000000" w:sz="6" w:space="0"/>
                    <w:right w:val="single" w:color="000000" w:sz="6" w:space="0"/>
                  </w:tcBorders>
                  <w:noWrap w:val="0"/>
                  <w:vAlign w:val="center"/>
                </w:tcPr>
                <w:p w14:paraId="2426FA03">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不溶性杂质(%)≤</w:t>
                  </w:r>
                </w:p>
              </w:tc>
              <w:tc>
                <w:tcPr>
                  <w:tcW w:w="2818" w:type="dxa"/>
                  <w:tcBorders>
                    <w:top w:val="single" w:color="000000" w:sz="6" w:space="0"/>
                    <w:left w:val="single" w:color="000000" w:sz="6" w:space="0"/>
                    <w:bottom w:val="single" w:color="000000" w:sz="6" w:space="0"/>
                    <w:right w:val="single" w:color="000000" w:sz="6" w:space="0"/>
                  </w:tcBorders>
                  <w:noWrap w:val="0"/>
                  <w:vAlign w:val="center"/>
                </w:tcPr>
                <w:p w14:paraId="64B5391E">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0.05</w:t>
                  </w:r>
                </w:p>
              </w:tc>
              <w:tc>
                <w:tcPr>
                  <w:tcW w:w="2767" w:type="dxa"/>
                  <w:tcBorders>
                    <w:top w:val="single" w:color="000000" w:sz="6" w:space="0"/>
                    <w:left w:val="single" w:color="000000" w:sz="6" w:space="0"/>
                    <w:bottom w:val="single" w:color="000000" w:sz="6" w:space="0"/>
                  </w:tcBorders>
                  <w:noWrap w:val="0"/>
                  <w:vAlign w:val="center"/>
                </w:tcPr>
                <w:p w14:paraId="7AD73A96">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0.05</w:t>
                  </w:r>
                </w:p>
              </w:tc>
            </w:tr>
            <w:tr w14:paraId="5F3130A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3" w:hRule="atLeast"/>
                <w:jc w:val="center"/>
              </w:trPr>
              <w:tc>
                <w:tcPr>
                  <w:tcW w:w="2949" w:type="dxa"/>
                  <w:tcBorders>
                    <w:top w:val="single" w:color="000000" w:sz="6" w:space="0"/>
                    <w:bottom w:val="single" w:color="000000" w:sz="6" w:space="0"/>
                    <w:right w:val="single" w:color="000000" w:sz="6" w:space="0"/>
                  </w:tcBorders>
                  <w:noWrap w:val="0"/>
                  <w:vAlign w:val="center"/>
                </w:tcPr>
                <w:p w14:paraId="1CCE74A8">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酸值(KOH)/(mg/g)≤</w:t>
                  </w:r>
                </w:p>
              </w:tc>
              <w:tc>
                <w:tcPr>
                  <w:tcW w:w="2818" w:type="dxa"/>
                  <w:tcBorders>
                    <w:top w:val="single" w:color="000000" w:sz="6" w:space="0"/>
                    <w:left w:val="single" w:color="000000" w:sz="6" w:space="0"/>
                    <w:bottom w:val="single" w:color="000000" w:sz="6" w:space="0"/>
                    <w:right w:val="single" w:color="000000" w:sz="6" w:space="0"/>
                  </w:tcBorders>
                  <w:noWrap w:val="0"/>
                  <w:vAlign w:val="center"/>
                </w:tcPr>
                <w:p w14:paraId="3EC326C9">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w:t>
                  </w:r>
                </w:p>
              </w:tc>
              <w:tc>
                <w:tcPr>
                  <w:tcW w:w="2767" w:type="dxa"/>
                  <w:tcBorders>
                    <w:top w:val="single" w:color="000000" w:sz="6" w:space="0"/>
                    <w:left w:val="single" w:color="000000" w:sz="6" w:space="0"/>
                    <w:bottom w:val="single" w:color="000000" w:sz="6" w:space="0"/>
                  </w:tcBorders>
                  <w:noWrap w:val="0"/>
                  <w:vAlign w:val="center"/>
                </w:tcPr>
                <w:p w14:paraId="410EC719">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2.5</w:t>
                  </w:r>
                </w:p>
              </w:tc>
            </w:tr>
            <w:tr w14:paraId="1C55E6A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29" w:hRule="atLeast"/>
                <w:jc w:val="center"/>
              </w:trPr>
              <w:tc>
                <w:tcPr>
                  <w:tcW w:w="2949" w:type="dxa"/>
                  <w:tcBorders>
                    <w:top w:val="single" w:color="000000" w:sz="6" w:space="0"/>
                    <w:bottom w:val="single" w:color="000000" w:sz="6" w:space="0"/>
                    <w:right w:val="single" w:color="000000" w:sz="6" w:space="0"/>
                  </w:tcBorders>
                  <w:noWrap w:val="0"/>
                  <w:vAlign w:val="center"/>
                </w:tcPr>
                <w:p w14:paraId="0773C58D">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过氧化值/(mmol/g)≤</w:t>
                  </w:r>
                </w:p>
              </w:tc>
              <w:tc>
                <w:tcPr>
                  <w:tcW w:w="2818" w:type="dxa"/>
                  <w:tcBorders>
                    <w:top w:val="single" w:color="000000" w:sz="6" w:space="0"/>
                    <w:left w:val="single" w:color="000000" w:sz="6" w:space="0"/>
                    <w:bottom w:val="single" w:color="000000" w:sz="6" w:space="0"/>
                    <w:right w:val="single" w:color="000000" w:sz="6" w:space="0"/>
                  </w:tcBorders>
                  <w:noWrap w:val="0"/>
                  <w:vAlign w:val="center"/>
                </w:tcPr>
                <w:p w14:paraId="67282D29">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6.0</w:t>
                  </w:r>
                </w:p>
              </w:tc>
              <w:tc>
                <w:tcPr>
                  <w:tcW w:w="2767" w:type="dxa"/>
                  <w:tcBorders>
                    <w:top w:val="single" w:color="000000" w:sz="6" w:space="0"/>
                    <w:left w:val="single" w:color="000000" w:sz="6" w:space="0"/>
                    <w:bottom w:val="single" w:color="000000" w:sz="6" w:space="0"/>
                  </w:tcBorders>
                  <w:noWrap w:val="0"/>
                  <w:vAlign w:val="center"/>
                </w:tcPr>
                <w:p w14:paraId="698AE7B8">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7.5</w:t>
                  </w:r>
                </w:p>
              </w:tc>
            </w:tr>
            <w:tr w14:paraId="3DF6B27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3" w:hRule="atLeast"/>
                <w:jc w:val="center"/>
              </w:trPr>
              <w:tc>
                <w:tcPr>
                  <w:tcW w:w="2949" w:type="dxa"/>
                  <w:tcBorders>
                    <w:top w:val="single" w:color="000000" w:sz="6" w:space="0"/>
                    <w:bottom w:val="single" w:color="000000" w:sz="6" w:space="0"/>
                    <w:right w:val="single" w:color="000000" w:sz="6" w:space="0"/>
                  </w:tcBorders>
                  <w:noWrap w:val="0"/>
                  <w:vAlign w:val="center"/>
                </w:tcPr>
                <w:p w14:paraId="2D518ED8">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溶剂残留量/(mg/kg)</w:t>
                  </w:r>
                </w:p>
              </w:tc>
              <w:tc>
                <w:tcPr>
                  <w:tcW w:w="2818" w:type="dxa"/>
                  <w:tcBorders>
                    <w:top w:val="single" w:color="000000" w:sz="6" w:space="0"/>
                    <w:left w:val="single" w:color="000000" w:sz="6" w:space="0"/>
                    <w:bottom w:val="single" w:color="000000" w:sz="6" w:space="0"/>
                    <w:right w:val="single" w:color="000000" w:sz="6" w:space="0"/>
                  </w:tcBorders>
                  <w:noWrap w:val="0"/>
                  <w:vAlign w:val="center"/>
                </w:tcPr>
                <w:p w14:paraId="195DA7F3">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不得检出</w:t>
                  </w:r>
                </w:p>
              </w:tc>
              <w:tc>
                <w:tcPr>
                  <w:tcW w:w="2767" w:type="dxa"/>
                  <w:tcBorders>
                    <w:top w:val="single" w:color="000000" w:sz="6" w:space="0"/>
                    <w:left w:val="single" w:color="000000" w:sz="6" w:space="0"/>
                    <w:bottom w:val="single" w:color="000000" w:sz="6" w:space="0"/>
                  </w:tcBorders>
                  <w:noWrap w:val="0"/>
                  <w:vAlign w:val="center"/>
                </w:tcPr>
                <w:p w14:paraId="47ECCAB4">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不得检出</w:t>
                  </w:r>
                </w:p>
              </w:tc>
            </w:tr>
            <w:tr w14:paraId="16D31FB4">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031" w:hRule="atLeast"/>
                <w:jc w:val="center"/>
              </w:trPr>
              <w:tc>
                <w:tcPr>
                  <w:tcW w:w="2949" w:type="dxa"/>
                  <w:tcBorders>
                    <w:top w:val="single" w:color="000000" w:sz="6" w:space="0"/>
                    <w:right w:val="single" w:color="000000" w:sz="6" w:space="0"/>
                  </w:tcBorders>
                  <w:noWrap w:val="0"/>
                  <w:vAlign w:val="center"/>
                </w:tcPr>
                <w:p w14:paraId="28BB43A6">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p>
                <w:p w14:paraId="42169694">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加热试验(280℃)</w:t>
                  </w:r>
                </w:p>
              </w:tc>
              <w:tc>
                <w:tcPr>
                  <w:tcW w:w="2818" w:type="dxa"/>
                  <w:tcBorders>
                    <w:top w:val="single" w:color="000000" w:sz="6" w:space="0"/>
                    <w:left w:val="single" w:color="000000" w:sz="6" w:space="0"/>
                    <w:right w:val="single" w:color="000000" w:sz="6" w:space="0"/>
                  </w:tcBorders>
                  <w:noWrap w:val="0"/>
                  <w:vAlign w:val="center"/>
                </w:tcPr>
                <w:p w14:paraId="268875E3">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无析出物，罗维朋比色：黄色值不变，红色值增加小于0.4。</w:t>
                  </w:r>
                </w:p>
              </w:tc>
              <w:tc>
                <w:tcPr>
                  <w:tcW w:w="2767" w:type="dxa"/>
                  <w:tcBorders>
                    <w:top w:val="single" w:color="000000" w:sz="6" w:space="0"/>
                    <w:left w:val="single" w:color="000000" w:sz="6" w:space="0"/>
                  </w:tcBorders>
                  <w:noWrap w:val="0"/>
                  <w:vAlign w:val="center"/>
                </w:tcPr>
                <w:p w14:paraId="0E84AFD6">
                  <w:pPr>
                    <w:keepNext w:val="0"/>
                    <w:keepLines w:val="0"/>
                    <w:pageBreakBefore w:val="0"/>
                    <w:kinsoku/>
                    <w:wordWrap/>
                    <w:overflowPunct/>
                    <w:topLinePunct w:val="0"/>
                    <w:autoSpaceDE/>
                    <w:autoSpaceDN/>
                    <w:bidi w:val="0"/>
                    <w:jc w:val="center"/>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微量析出物，罗维朋比色：黄色值不变，红色值增加小于4.0，蓝色值增加小于0.5。</w:t>
                  </w:r>
                </w:p>
              </w:tc>
            </w:tr>
          </w:tbl>
          <w:p w14:paraId="033C288E">
            <w:pPr>
              <w:keepNext w:val="0"/>
              <w:keepLines w:val="0"/>
              <w:pageBreakBefore w:val="0"/>
              <w:kinsoku/>
              <w:wordWrap/>
              <w:overflowPunct/>
              <w:topLinePunct w:val="0"/>
              <w:autoSpaceDE/>
              <w:autoSpaceDN/>
              <w:bidi w:val="0"/>
              <w:textAlignment w:val="auto"/>
              <w:outlineLvl w:val="9"/>
              <w:rPr>
                <w:rFonts w:hint="eastAsia"/>
                <w:color w:val="000000" w:themeColor="text1"/>
                <w:highlight w:val="none"/>
                <w14:textFill>
                  <w14:solidFill>
                    <w14:schemeClr w14:val="tx1"/>
                  </w14:solidFill>
                </w14:textFill>
              </w:rPr>
            </w:pPr>
          </w:p>
          <w:p w14:paraId="28B93EF3">
            <w:pPr>
              <w:keepNext w:val="0"/>
              <w:keepLines w:val="0"/>
              <w:pageBreakBefore w:val="0"/>
              <w:kinsoku/>
              <w:wordWrap/>
              <w:overflowPunct/>
              <w:topLinePunct w:val="0"/>
              <w:autoSpaceDE/>
              <w:autoSpaceDN/>
              <w:bidi w:val="0"/>
              <w:textAlignment w:val="auto"/>
              <w:outlineLvl w:val="9"/>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浸出成品花生油质量指标</w:t>
            </w:r>
          </w:p>
          <w:tbl>
            <w:tblPr>
              <w:tblStyle w:val="16"/>
              <w:tblW w:w="8479" w:type="dxa"/>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2651"/>
              <w:gridCol w:w="1432"/>
              <w:gridCol w:w="1515"/>
              <w:gridCol w:w="1311"/>
              <w:gridCol w:w="1570"/>
            </w:tblGrid>
            <w:tr w14:paraId="06CA5FE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79" w:hRule="atLeast"/>
                <w:jc w:val="center"/>
              </w:trPr>
              <w:tc>
                <w:tcPr>
                  <w:tcW w:w="2651" w:type="dxa"/>
                  <w:vMerge w:val="restart"/>
                  <w:tcBorders>
                    <w:bottom w:val="single" w:color="000000" w:sz="6" w:space="0"/>
                    <w:right w:val="single" w:color="000000" w:sz="6" w:space="0"/>
                  </w:tcBorders>
                  <w:noWrap w:val="0"/>
                  <w:vAlign w:val="top"/>
                </w:tcPr>
                <w:p w14:paraId="3673F3D0">
                  <w:pPr>
                    <w:pStyle w:val="24"/>
                    <w:keepNext w:val="0"/>
                    <w:keepLines w:val="0"/>
                    <w:pageBreakBefore w:val="0"/>
                    <w:kinsoku/>
                    <w:wordWrap/>
                    <w:overflowPunct/>
                    <w:topLinePunct w:val="0"/>
                    <w:autoSpaceDE/>
                    <w:autoSpaceDN/>
                    <w:bidi w:val="0"/>
                    <w:spacing w:before="1"/>
                    <w:textAlignment w:val="auto"/>
                    <w:outlineLvl w:val="9"/>
                    <w:rPr>
                      <w:color w:val="000000" w:themeColor="text1"/>
                      <w:szCs w:val="21"/>
                      <w:highlight w:val="none"/>
                      <w14:textFill>
                        <w14:solidFill>
                          <w14:schemeClr w14:val="tx1"/>
                        </w14:solidFill>
                      </w14:textFill>
                    </w:rPr>
                  </w:pPr>
                </w:p>
                <w:p w14:paraId="0015478C">
                  <w:pPr>
                    <w:pStyle w:val="24"/>
                    <w:keepNext w:val="0"/>
                    <w:keepLines w:val="0"/>
                    <w:pageBreakBefore w:val="0"/>
                    <w:kinsoku/>
                    <w:wordWrap/>
                    <w:overflowPunct/>
                    <w:topLinePunct w:val="0"/>
                    <w:autoSpaceDE/>
                    <w:autoSpaceDN/>
                    <w:bidi w:val="0"/>
                    <w:spacing w:before="0"/>
                    <w:ind w:left="1001" w:right="1002"/>
                    <w:jc w:val="center"/>
                    <w:textAlignment w:val="auto"/>
                    <w:outlineLvl w:val="9"/>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项目</w:t>
                  </w:r>
                </w:p>
              </w:tc>
              <w:tc>
                <w:tcPr>
                  <w:tcW w:w="5828" w:type="dxa"/>
                  <w:gridSpan w:val="4"/>
                  <w:tcBorders>
                    <w:left w:val="single" w:color="000000" w:sz="6" w:space="0"/>
                    <w:bottom w:val="single" w:color="000000" w:sz="6" w:space="0"/>
                  </w:tcBorders>
                  <w:noWrap w:val="0"/>
                  <w:vAlign w:val="top"/>
                </w:tcPr>
                <w:p w14:paraId="28330F12">
                  <w:pPr>
                    <w:pStyle w:val="24"/>
                    <w:keepNext w:val="0"/>
                    <w:keepLines w:val="0"/>
                    <w:pageBreakBefore w:val="0"/>
                    <w:kinsoku/>
                    <w:wordWrap/>
                    <w:overflowPunct/>
                    <w:topLinePunct w:val="0"/>
                    <w:autoSpaceDE/>
                    <w:autoSpaceDN/>
                    <w:bidi w:val="0"/>
                    <w:spacing w:before="79"/>
                    <w:ind w:left="1484" w:right="1473"/>
                    <w:jc w:val="center"/>
                    <w:textAlignment w:val="auto"/>
                    <w:outlineLvl w:val="9"/>
                    <w:rPr>
                      <w:b/>
                      <w:color w:val="000000" w:themeColor="text1"/>
                      <w:szCs w:val="21"/>
                      <w:highlight w:val="none"/>
                      <w14:textFill>
                        <w14:solidFill>
                          <w14:schemeClr w14:val="tx1"/>
                        </w14:solidFill>
                      </w14:textFill>
                    </w:rPr>
                  </w:pPr>
                  <w:r>
                    <w:rPr>
                      <w:b/>
                      <w:color w:val="000000" w:themeColor="text1"/>
                      <w:szCs w:val="21"/>
                      <w:highlight w:val="none"/>
                      <w14:textFill>
                        <w14:solidFill>
                          <w14:schemeClr w14:val="tx1"/>
                        </w14:solidFill>
                      </w14:textFill>
                    </w:rPr>
                    <w:t>质量指标</w:t>
                  </w:r>
                </w:p>
              </w:tc>
            </w:tr>
            <w:tr w14:paraId="307C2B2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3" w:hRule="atLeast"/>
                <w:jc w:val="center"/>
              </w:trPr>
              <w:tc>
                <w:tcPr>
                  <w:tcW w:w="2651" w:type="dxa"/>
                  <w:vMerge w:val="continue"/>
                  <w:tcBorders>
                    <w:top w:val="nil"/>
                    <w:bottom w:val="single" w:color="000000" w:sz="6" w:space="0"/>
                    <w:right w:val="single" w:color="000000" w:sz="6" w:space="0"/>
                  </w:tcBorders>
                  <w:noWrap w:val="0"/>
                  <w:vAlign w:val="top"/>
                </w:tcPr>
                <w:p w14:paraId="3253A6B9">
                  <w:pPr>
                    <w:keepNext w:val="0"/>
                    <w:keepLines w:val="0"/>
                    <w:pageBreakBefore w:val="0"/>
                    <w:kinsoku/>
                    <w:wordWrap/>
                    <w:overflowPunct/>
                    <w:topLinePunct w:val="0"/>
                    <w:autoSpaceDE/>
                    <w:autoSpaceDN/>
                    <w:bidi w:val="0"/>
                    <w:textAlignment w:val="auto"/>
                    <w:outlineLvl w:val="9"/>
                    <w:rPr>
                      <w:color w:val="000000" w:themeColor="text1"/>
                      <w:szCs w:val="21"/>
                      <w:highlight w:val="none"/>
                      <w14:textFill>
                        <w14:solidFill>
                          <w14:schemeClr w14:val="tx1"/>
                        </w14:solidFill>
                      </w14:textFill>
                    </w:rPr>
                  </w:pPr>
                </w:p>
              </w:tc>
              <w:tc>
                <w:tcPr>
                  <w:tcW w:w="1432" w:type="dxa"/>
                  <w:tcBorders>
                    <w:top w:val="single" w:color="000000" w:sz="6" w:space="0"/>
                    <w:left w:val="single" w:color="000000" w:sz="6" w:space="0"/>
                    <w:bottom w:val="single" w:color="000000" w:sz="6" w:space="0"/>
                    <w:right w:val="single" w:color="000000" w:sz="6" w:space="0"/>
                  </w:tcBorders>
                  <w:noWrap w:val="0"/>
                  <w:vAlign w:val="top"/>
                </w:tcPr>
                <w:p w14:paraId="50FC29E5">
                  <w:pPr>
                    <w:pStyle w:val="24"/>
                    <w:keepNext w:val="0"/>
                    <w:keepLines w:val="0"/>
                    <w:pageBreakBefore w:val="0"/>
                    <w:kinsoku/>
                    <w:wordWrap/>
                    <w:overflowPunct/>
                    <w:topLinePunct w:val="0"/>
                    <w:autoSpaceDE/>
                    <w:autoSpaceDN/>
                    <w:bidi w:val="0"/>
                    <w:spacing w:before="92"/>
                    <w:ind w:left="417" w:right="382"/>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一级</w:t>
                  </w:r>
                </w:p>
              </w:tc>
              <w:tc>
                <w:tcPr>
                  <w:tcW w:w="1515" w:type="dxa"/>
                  <w:tcBorders>
                    <w:top w:val="single" w:color="000000" w:sz="6" w:space="0"/>
                    <w:left w:val="single" w:color="000000" w:sz="6" w:space="0"/>
                    <w:bottom w:val="single" w:color="000000" w:sz="6" w:space="0"/>
                    <w:right w:val="single" w:color="000000" w:sz="6" w:space="0"/>
                  </w:tcBorders>
                  <w:noWrap w:val="0"/>
                  <w:vAlign w:val="top"/>
                </w:tcPr>
                <w:p w14:paraId="0859B163">
                  <w:pPr>
                    <w:pStyle w:val="24"/>
                    <w:keepNext w:val="0"/>
                    <w:keepLines w:val="0"/>
                    <w:pageBreakBefore w:val="0"/>
                    <w:kinsoku/>
                    <w:wordWrap/>
                    <w:overflowPunct/>
                    <w:topLinePunct w:val="0"/>
                    <w:autoSpaceDE/>
                    <w:autoSpaceDN/>
                    <w:bidi w:val="0"/>
                    <w:spacing w:before="92"/>
                    <w:ind w:left="417" w:right="383"/>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二级</w:t>
                  </w:r>
                </w:p>
              </w:tc>
              <w:tc>
                <w:tcPr>
                  <w:tcW w:w="1311" w:type="dxa"/>
                  <w:tcBorders>
                    <w:top w:val="single" w:color="000000" w:sz="6" w:space="0"/>
                    <w:left w:val="single" w:color="000000" w:sz="6" w:space="0"/>
                    <w:bottom w:val="single" w:color="000000" w:sz="6" w:space="0"/>
                    <w:right w:val="single" w:color="000000" w:sz="6" w:space="0"/>
                  </w:tcBorders>
                  <w:noWrap w:val="0"/>
                  <w:vAlign w:val="top"/>
                </w:tcPr>
                <w:p w14:paraId="620F5CEA">
                  <w:pPr>
                    <w:pStyle w:val="24"/>
                    <w:keepNext w:val="0"/>
                    <w:keepLines w:val="0"/>
                    <w:pageBreakBefore w:val="0"/>
                    <w:kinsoku/>
                    <w:wordWrap/>
                    <w:overflowPunct/>
                    <w:topLinePunct w:val="0"/>
                    <w:autoSpaceDE/>
                    <w:autoSpaceDN/>
                    <w:bidi w:val="0"/>
                    <w:spacing w:before="92"/>
                    <w:ind w:left="357"/>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三级</w:t>
                  </w:r>
                </w:p>
              </w:tc>
              <w:tc>
                <w:tcPr>
                  <w:tcW w:w="1570" w:type="dxa"/>
                  <w:tcBorders>
                    <w:top w:val="single" w:color="000000" w:sz="6" w:space="0"/>
                    <w:left w:val="single" w:color="000000" w:sz="6" w:space="0"/>
                    <w:bottom w:val="single" w:color="000000" w:sz="6" w:space="0"/>
                  </w:tcBorders>
                  <w:noWrap w:val="0"/>
                  <w:vAlign w:val="top"/>
                </w:tcPr>
                <w:p w14:paraId="7631842F">
                  <w:pPr>
                    <w:pStyle w:val="24"/>
                    <w:keepNext w:val="0"/>
                    <w:keepLines w:val="0"/>
                    <w:pageBreakBefore w:val="0"/>
                    <w:kinsoku/>
                    <w:wordWrap/>
                    <w:overflowPunct/>
                    <w:topLinePunct w:val="0"/>
                    <w:autoSpaceDE/>
                    <w:autoSpaceDN/>
                    <w:bidi w:val="0"/>
                    <w:spacing w:before="92"/>
                    <w:ind w:right="796"/>
                    <w:jc w:val="center"/>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四极</w:t>
                  </w:r>
                </w:p>
              </w:tc>
            </w:tr>
            <w:tr w14:paraId="6BB6250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15" w:hRule="atLeast"/>
                <w:jc w:val="center"/>
              </w:trPr>
              <w:tc>
                <w:tcPr>
                  <w:tcW w:w="2651" w:type="dxa"/>
                  <w:tcBorders>
                    <w:top w:val="single" w:color="000000" w:sz="6" w:space="0"/>
                    <w:bottom w:val="single" w:color="000000" w:sz="6" w:space="0"/>
                    <w:right w:val="single" w:color="000000" w:sz="6" w:space="0"/>
                  </w:tcBorders>
                  <w:noWrap w:val="0"/>
                  <w:vAlign w:val="top"/>
                </w:tcPr>
                <w:p w14:paraId="6EBED58B">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(罗维朋比色槽 25.4mm)≤</w:t>
                  </w:r>
                </w:p>
              </w:tc>
              <w:tc>
                <w:tcPr>
                  <w:tcW w:w="1432" w:type="dxa"/>
                  <w:tcBorders>
                    <w:top w:val="single" w:color="000000" w:sz="6" w:space="0"/>
                    <w:left w:val="single" w:color="000000" w:sz="6" w:space="0"/>
                    <w:bottom w:val="single" w:color="000000" w:sz="6" w:space="0"/>
                    <w:right w:val="single" w:color="000000" w:sz="6" w:space="0"/>
                  </w:tcBorders>
                  <w:noWrap w:val="0"/>
                  <w:vAlign w:val="top"/>
                </w:tcPr>
                <w:p w14:paraId="35939B73">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c>
                <w:tcPr>
                  <w:tcW w:w="1515" w:type="dxa"/>
                  <w:tcBorders>
                    <w:top w:val="single" w:color="000000" w:sz="6" w:space="0"/>
                    <w:left w:val="single" w:color="000000" w:sz="6" w:space="0"/>
                    <w:bottom w:val="single" w:color="000000" w:sz="6" w:space="0"/>
                    <w:right w:val="single" w:color="000000" w:sz="6" w:space="0"/>
                  </w:tcBorders>
                  <w:noWrap w:val="0"/>
                  <w:vAlign w:val="top"/>
                </w:tcPr>
                <w:p w14:paraId="585AF228">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c>
                <w:tcPr>
                  <w:tcW w:w="1311" w:type="dxa"/>
                  <w:tcBorders>
                    <w:top w:val="single" w:color="000000" w:sz="6" w:space="0"/>
                    <w:left w:val="single" w:color="000000" w:sz="6" w:space="0"/>
                    <w:bottom w:val="single" w:color="000000" w:sz="6" w:space="0"/>
                    <w:right w:val="single" w:color="000000" w:sz="6" w:space="0"/>
                  </w:tcBorders>
                  <w:noWrap w:val="0"/>
                  <w:vAlign w:val="top"/>
                </w:tcPr>
                <w:p w14:paraId="47E376CC">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黄25红4.0</w:t>
                  </w:r>
                </w:p>
              </w:tc>
              <w:tc>
                <w:tcPr>
                  <w:tcW w:w="1570" w:type="dxa"/>
                  <w:tcBorders>
                    <w:top w:val="single" w:color="000000" w:sz="6" w:space="0"/>
                    <w:left w:val="single" w:color="000000" w:sz="6" w:space="0"/>
                    <w:bottom w:val="single" w:color="000000" w:sz="6" w:space="0"/>
                  </w:tcBorders>
                  <w:noWrap w:val="0"/>
                  <w:vAlign w:val="top"/>
                </w:tcPr>
                <w:p w14:paraId="64BC1C3D">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黄25红4.0</w:t>
                  </w:r>
                </w:p>
              </w:tc>
            </w:tr>
            <w:tr w14:paraId="31A0BDE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15" w:hRule="atLeast"/>
                <w:jc w:val="center"/>
              </w:trPr>
              <w:tc>
                <w:tcPr>
                  <w:tcW w:w="2651" w:type="dxa"/>
                  <w:tcBorders>
                    <w:top w:val="single" w:color="000000" w:sz="6" w:space="0"/>
                    <w:bottom w:val="single" w:color="000000" w:sz="6" w:space="0"/>
                    <w:right w:val="single" w:color="000000" w:sz="6" w:space="0"/>
                  </w:tcBorders>
                  <w:noWrap w:val="0"/>
                  <w:vAlign w:val="top"/>
                </w:tcPr>
                <w:p w14:paraId="5716B6ED">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(罗维朋比色槽 133.4mm)≤</w:t>
                  </w:r>
                </w:p>
              </w:tc>
              <w:tc>
                <w:tcPr>
                  <w:tcW w:w="1432" w:type="dxa"/>
                  <w:tcBorders>
                    <w:top w:val="single" w:color="000000" w:sz="6" w:space="0"/>
                    <w:left w:val="single" w:color="000000" w:sz="6" w:space="0"/>
                    <w:bottom w:val="single" w:color="000000" w:sz="6" w:space="0"/>
                    <w:right w:val="single" w:color="000000" w:sz="6" w:space="0"/>
                  </w:tcBorders>
                  <w:noWrap w:val="0"/>
                  <w:vAlign w:val="top"/>
                </w:tcPr>
                <w:p w14:paraId="61785DD1">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黄25红1.5</w:t>
                  </w:r>
                </w:p>
              </w:tc>
              <w:tc>
                <w:tcPr>
                  <w:tcW w:w="1515" w:type="dxa"/>
                  <w:tcBorders>
                    <w:top w:val="single" w:color="000000" w:sz="6" w:space="0"/>
                    <w:left w:val="single" w:color="000000" w:sz="6" w:space="0"/>
                    <w:bottom w:val="single" w:color="000000" w:sz="6" w:space="0"/>
                    <w:right w:val="single" w:color="000000" w:sz="6" w:space="0"/>
                  </w:tcBorders>
                  <w:noWrap w:val="0"/>
                  <w:vAlign w:val="top"/>
                </w:tcPr>
                <w:p w14:paraId="6BDFD5C9">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黄25红2.0</w:t>
                  </w:r>
                </w:p>
              </w:tc>
              <w:tc>
                <w:tcPr>
                  <w:tcW w:w="1311" w:type="dxa"/>
                  <w:tcBorders>
                    <w:top w:val="single" w:color="000000" w:sz="6" w:space="0"/>
                    <w:left w:val="single" w:color="000000" w:sz="6" w:space="0"/>
                    <w:bottom w:val="single" w:color="000000" w:sz="6" w:space="0"/>
                    <w:right w:val="single" w:color="000000" w:sz="6" w:space="0"/>
                  </w:tcBorders>
                  <w:noWrap w:val="0"/>
                  <w:vAlign w:val="top"/>
                </w:tcPr>
                <w:p w14:paraId="38760288">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c>
                <w:tcPr>
                  <w:tcW w:w="1570" w:type="dxa"/>
                  <w:tcBorders>
                    <w:top w:val="single" w:color="000000" w:sz="6" w:space="0"/>
                    <w:left w:val="single" w:color="000000" w:sz="6" w:space="0"/>
                    <w:bottom w:val="single" w:color="000000" w:sz="6" w:space="0"/>
                  </w:tcBorders>
                  <w:noWrap w:val="0"/>
                  <w:vAlign w:val="top"/>
                </w:tcPr>
                <w:p w14:paraId="18F54221">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r>
            <w:tr w14:paraId="0EC90BB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2651" w:type="dxa"/>
                  <w:tcBorders>
                    <w:top w:val="single" w:color="000000" w:sz="6" w:space="0"/>
                    <w:bottom w:val="single" w:color="000000" w:sz="6" w:space="0"/>
                    <w:right w:val="single" w:color="000000" w:sz="6" w:space="0"/>
                  </w:tcBorders>
                  <w:noWrap w:val="0"/>
                  <w:vAlign w:val="top"/>
                </w:tcPr>
                <w:p w14:paraId="0EFDB1AF">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气味</w:t>
                  </w:r>
                </w:p>
              </w:tc>
              <w:tc>
                <w:tcPr>
                  <w:tcW w:w="5828" w:type="dxa"/>
                  <w:gridSpan w:val="4"/>
                  <w:tcBorders>
                    <w:top w:val="single" w:color="000000" w:sz="6" w:space="0"/>
                    <w:left w:val="single" w:color="000000" w:sz="6" w:space="0"/>
                    <w:bottom w:val="single" w:color="000000" w:sz="6" w:space="0"/>
                  </w:tcBorders>
                  <w:noWrap w:val="0"/>
                  <w:vAlign w:val="top"/>
                </w:tcPr>
                <w:p w14:paraId="02053296">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无气味、口感好，具有花生油固有的气味和滋味，</w:t>
                  </w:r>
                  <w:r>
                    <w:rPr>
                      <w:rFonts w:hint="eastAsia"/>
                      <w:color w:val="000000" w:themeColor="text1"/>
                      <w:szCs w:val="21"/>
                      <w:highlight w:val="none"/>
                      <w14:textFill>
                        <w14:solidFill>
                          <w14:schemeClr w14:val="tx1"/>
                        </w14:solidFill>
                      </w14:textFill>
                    </w:rPr>
                    <w:t>无</w:t>
                  </w:r>
                  <w:r>
                    <w:rPr>
                      <w:color w:val="000000" w:themeColor="text1"/>
                      <w:szCs w:val="21"/>
                      <w:highlight w:val="none"/>
                      <w14:textFill>
                        <w14:solidFill>
                          <w14:schemeClr w14:val="tx1"/>
                        </w14:solidFill>
                      </w14:textFill>
                    </w:rPr>
                    <w:t>异味</w:t>
                  </w:r>
                </w:p>
              </w:tc>
            </w:tr>
            <w:tr w14:paraId="4BDA8C8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2651" w:type="dxa"/>
                  <w:tcBorders>
                    <w:top w:val="single" w:color="000000" w:sz="6" w:space="0"/>
                    <w:bottom w:val="single" w:color="000000" w:sz="6" w:space="0"/>
                    <w:right w:val="single" w:color="000000" w:sz="6" w:space="0"/>
                  </w:tcBorders>
                  <w:noWrap w:val="0"/>
                  <w:vAlign w:val="top"/>
                </w:tcPr>
                <w:p w14:paraId="39C30EDE">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透明度</w:t>
                  </w:r>
                </w:p>
              </w:tc>
              <w:tc>
                <w:tcPr>
                  <w:tcW w:w="1432" w:type="dxa"/>
                  <w:tcBorders>
                    <w:top w:val="single" w:color="000000" w:sz="6" w:space="0"/>
                    <w:left w:val="single" w:color="000000" w:sz="6" w:space="0"/>
                    <w:bottom w:val="single" w:color="000000" w:sz="6" w:space="0"/>
                    <w:right w:val="single" w:color="000000" w:sz="6" w:space="0"/>
                  </w:tcBorders>
                  <w:noWrap w:val="0"/>
                  <w:vAlign w:val="top"/>
                </w:tcPr>
                <w:p w14:paraId="09A14DA5">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澄清、透明</w:t>
                  </w:r>
                </w:p>
              </w:tc>
              <w:tc>
                <w:tcPr>
                  <w:tcW w:w="1515" w:type="dxa"/>
                  <w:tcBorders>
                    <w:top w:val="single" w:color="000000" w:sz="6" w:space="0"/>
                    <w:left w:val="single" w:color="000000" w:sz="6" w:space="0"/>
                    <w:bottom w:val="single" w:color="000000" w:sz="6" w:space="0"/>
                    <w:right w:val="single" w:color="000000" w:sz="6" w:space="0"/>
                  </w:tcBorders>
                  <w:noWrap w:val="0"/>
                  <w:vAlign w:val="top"/>
                </w:tcPr>
                <w:p w14:paraId="24C1D167">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澄清、透明</w:t>
                  </w:r>
                </w:p>
              </w:tc>
              <w:tc>
                <w:tcPr>
                  <w:tcW w:w="1311" w:type="dxa"/>
                  <w:tcBorders>
                    <w:top w:val="single" w:color="000000" w:sz="6" w:space="0"/>
                    <w:left w:val="single" w:color="000000" w:sz="6" w:space="0"/>
                    <w:bottom w:val="single" w:color="000000" w:sz="6" w:space="0"/>
                    <w:right w:val="single" w:color="000000" w:sz="6" w:space="0"/>
                  </w:tcBorders>
                  <w:noWrap w:val="0"/>
                  <w:vAlign w:val="top"/>
                </w:tcPr>
                <w:p w14:paraId="489C1379">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c>
                <w:tcPr>
                  <w:tcW w:w="1570" w:type="dxa"/>
                  <w:tcBorders>
                    <w:top w:val="single" w:color="000000" w:sz="6" w:space="0"/>
                    <w:left w:val="single" w:color="000000" w:sz="6" w:space="0"/>
                    <w:bottom w:val="single" w:color="000000" w:sz="6" w:space="0"/>
                  </w:tcBorders>
                  <w:noWrap w:val="0"/>
                  <w:vAlign w:val="top"/>
                </w:tcPr>
                <w:p w14:paraId="790C1A93">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r>
            <w:tr w14:paraId="51285A9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2651" w:type="dxa"/>
                  <w:tcBorders>
                    <w:top w:val="single" w:color="000000" w:sz="6" w:space="0"/>
                    <w:bottom w:val="single" w:color="000000" w:sz="6" w:space="0"/>
                    <w:right w:val="single" w:color="000000" w:sz="6" w:space="0"/>
                  </w:tcBorders>
                  <w:noWrap w:val="0"/>
                  <w:vAlign w:val="top"/>
                </w:tcPr>
                <w:p w14:paraId="46839CEB">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水分及挥发物/(%)≤</w:t>
                  </w:r>
                </w:p>
              </w:tc>
              <w:tc>
                <w:tcPr>
                  <w:tcW w:w="1432" w:type="dxa"/>
                  <w:tcBorders>
                    <w:top w:val="single" w:color="000000" w:sz="6" w:space="0"/>
                    <w:left w:val="single" w:color="000000" w:sz="6" w:space="0"/>
                    <w:bottom w:val="single" w:color="000000" w:sz="6" w:space="0"/>
                    <w:right w:val="single" w:color="000000" w:sz="6" w:space="0"/>
                  </w:tcBorders>
                  <w:noWrap w:val="0"/>
                  <w:vAlign w:val="top"/>
                </w:tcPr>
                <w:p w14:paraId="2BB4F362">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0.05</w:t>
                  </w:r>
                </w:p>
              </w:tc>
              <w:tc>
                <w:tcPr>
                  <w:tcW w:w="1515" w:type="dxa"/>
                  <w:tcBorders>
                    <w:top w:val="single" w:color="000000" w:sz="6" w:space="0"/>
                    <w:left w:val="single" w:color="000000" w:sz="6" w:space="0"/>
                    <w:bottom w:val="single" w:color="000000" w:sz="6" w:space="0"/>
                    <w:right w:val="single" w:color="000000" w:sz="6" w:space="0"/>
                  </w:tcBorders>
                  <w:noWrap w:val="0"/>
                  <w:vAlign w:val="top"/>
                </w:tcPr>
                <w:p w14:paraId="5774DAEE">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0.05</w:t>
                  </w:r>
                </w:p>
              </w:tc>
              <w:tc>
                <w:tcPr>
                  <w:tcW w:w="1311" w:type="dxa"/>
                  <w:tcBorders>
                    <w:top w:val="single" w:color="000000" w:sz="6" w:space="0"/>
                    <w:left w:val="single" w:color="000000" w:sz="6" w:space="0"/>
                    <w:bottom w:val="single" w:color="000000" w:sz="6" w:space="0"/>
                    <w:right w:val="single" w:color="000000" w:sz="6" w:space="0"/>
                  </w:tcBorders>
                  <w:noWrap w:val="0"/>
                  <w:vAlign w:val="top"/>
                </w:tcPr>
                <w:p w14:paraId="29C07AE5">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0.10</w:t>
                  </w:r>
                </w:p>
              </w:tc>
              <w:tc>
                <w:tcPr>
                  <w:tcW w:w="1570" w:type="dxa"/>
                  <w:tcBorders>
                    <w:top w:val="single" w:color="000000" w:sz="6" w:space="0"/>
                    <w:left w:val="single" w:color="000000" w:sz="6" w:space="0"/>
                    <w:bottom w:val="single" w:color="000000" w:sz="6" w:space="0"/>
                  </w:tcBorders>
                  <w:noWrap w:val="0"/>
                  <w:vAlign w:val="top"/>
                </w:tcPr>
                <w:p w14:paraId="67E1CE38">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0.20</w:t>
                  </w:r>
                </w:p>
              </w:tc>
            </w:tr>
            <w:tr w14:paraId="78784FB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2651" w:type="dxa"/>
                  <w:tcBorders>
                    <w:top w:val="single" w:color="000000" w:sz="6" w:space="0"/>
                    <w:bottom w:val="single" w:color="000000" w:sz="6" w:space="0"/>
                    <w:right w:val="single" w:color="000000" w:sz="6" w:space="0"/>
                  </w:tcBorders>
                  <w:noWrap w:val="0"/>
                  <w:vAlign w:val="top"/>
                </w:tcPr>
                <w:p w14:paraId="40ACEFCC">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不溶性杂质/(%)≤</w:t>
                  </w:r>
                </w:p>
              </w:tc>
              <w:tc>
                <w:tcPr>
                  <w:tcW w:w="1432" w:type="dxa"/>
                  <w:tcBorders>
                    <w:top w:val="single" w:color="000000" w:sz="6" w:space="0"/>
                    <w:left w:val="single" w:color="000000" w:sz="6" w:space="0"/>
                    <w:bottom w:val="single" w:color="000000" w:sz="6" w:space="0"/>
                    <w:right w:val="single" w:color="000000" w:sz="6" w:space="0"/>
                  </w:tcBorders>
                  <w:noWrap w:val="0"/>
                  <w:vAlign w:val="top"/>
                </w:tcPr>
                <w:p w14:paraId="17D86C22">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0.05</w:t>
                  </w:r>
                </w:p>
              </w:tc>
              <w:tc>
                <w:tcPr>
                  <w:tcW w:w="1515" w:type="dxa"/>
                  <w:tcBorders>
                    <w:top w:val="single" w:color="000000" w:sz="6" w:space="0"/>
                    <w:left w:val="single" w:color="000000" w:sz="6" w:space="0"/>
                    <w:bottom w:val="single" w:color="000000" w:sz="6" w:space="0"/>
                    <w:right w:val="single" w:color="000000" w:sz="6" w:space="0"/>
                  </w:tcBorders>
                  <w:noWrap w:val="0"/>
                  <w:vAlign w:val="top"/>
                </w:tcPr>
                <w:p w14:paraId="2AEBA5D3">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0.05</w:t>
                  </w:r>
                </w:p>
              </w:tc>
              <w:tc>
                <w:tcPr>
                  <w:tcW w:w="1311" w:type="dxa"/>
                  <w:tcBorders>
                    <w:top w:val="single" w:color="000000" w:sz="6" w:space="0"/>
                    <w:left w:val="single" w:color="000000" w:sz="6" w:space="0"/>
                    <w:bottom w:val="single" w:color="000000" w:sz="6" w:space="0"/>
                    <w:right w:val="single" w:color="000000" w:sz="6" w:space="0"/>
                  </w:tcBorders>
                  <w:noWrap w:val="0"/>
                  <w:vAlign w:val="top"/>
                </w:tcPr>
                <w:p w14:paraId="4703253E">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0.05</w:t>
                  </w:r>
                </w:p>
              </w:tc>
              <w:tc>
                <w:tcPr>
                  <w:tcW w:w="1570" w:type="dxa"/>
                  <w:tcBorders>
                    <w:top w:val="single" w:color="000000" w:sz="6" w:space="0"/>
                    <w:left w:val="single" w:color="000000" w:sz="6" w:space="0"/>
                    <w:bottom w:val="single" w:color="000000" w:sz="6" w:space="0"/>
                  </w:tcBorders>
                  <w:noWrap w:val="0"/>
                  <w:vAlign w:val="top"/>
                </w:tcPr>
                <w:p w14:paraId="0B6B8F2C">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0.05</w:t>
                  </w:r>
                </w:p>
              </w:tc>
            </w:tr>
            <w:tr w14:paraId="64A71D0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2651" w:type="dxa"/>
                  <w:tcBorders>
                    <w:top w:val="single" w:color="000000" w:sz="6" w:space="0"/>
                    <w:bottom w:val="single" w:color="000000" w:sz="6" w:space="0"/>
                    <w:right w:val="single" w:color="000000" w:sz="6" w:space="0"/>
                  </w:tcBorders>
                  <w:noWrap w:val="0"/>
                  <w:vAlign w:val="top"/>
                </w:tcPr>
                <w:p w14:paraId="7D5A883A">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酸值(KOH)/(mg/g)≤</w:t>
                  </w:r>
                </w:p>
              </w:tc>
              <w:tc>
                <w:tcPr>
                  <w:tcW w:w="1432" w:type="dxa"/>
                  <w:tcBorders>
                    <w:top w:val="single" w:color="000000" w:sz="6" w:space="0"/>
                    <w:left w:val="single" w:color="000000" w:sz="6" w:space="0"/>
                    <w:bottom w:val="single" w:color="000000" w:sz="6" w:space="0"/>
                    <w:right w:val="single" w:color="000000" w:sz="6" w:space="0"/>
                  </w:tcBorders>
                  <w:noWrap w:val="0"/>
                  <w:vAlign w:val="top"/>
                </w:tcPr>
                <w:p w14:paraId="62822ED8">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0.20</w:t>
                  </w:r>
                </w:p>
              </w:tc>
              <w:tc>
                <w:tcPr>
                  <w:tcW w:w="1515" w:type="dxa"/>
                  <w:tcBorders>
                    <w:top w:val="single" w:color="000000" w:sz="6" w:space="0"/>
                    <w:left w:val="single" w:color="000000" w:sz="6" w:space="0"/>
                    <w:bottom w:val="single" w:color="000000" w:sz="6" w:space="0"/>
                    <w:right w:val="single" w:color="000000" w:sz="6" w:space="0"/>
                  </w:tcBorders>
                  <w:noWrap w:val="0"/>
                  <w:vAlign w:val="top"/>
                </w:tcPr>
                <w:p w14:paraId="3714273B">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0.30</w:t>
                  </w:r>
                </w:p>
              </w:tc>
              <w:tc>
                <w:tcPr>
                  <w:tcW w:w="1311" w:type="dxa"/>
                  <w:tcBorders>
                    <w:top w:val="single" w:color="000000" w:sz="6" w:space="0"/>
                    <w:left w:val="single" w:color="000000" w:sz="6" w:space="0"/>
                    <w:bottom w:val="single" w:color="000000" w:sz="6" w:space="0"/>
                    <w:right w:val="single" w:color="000000" w:sz="6" w:space="0"/>
                  </w:tcBorders>
                  <w:noWrap w:val="0"/>
                  <w:vAlign w:val="top"/>
                </w:tcPr>
                <w:p w14:paraId="4A2B707A">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1.0</w:t>
                  </w:r>
                </w:p>
              </w:tc>
              <w:tc>
                <w:tcPr>
                  <w:tcW w:w="1570" w:type="dxa"/>
                  <w:tcBorders>
                    <w:top w:val="single" w:color="000000" w:sz="6" w:space="0"/>
                    <w:left w:val="single" w:color="000000" w:sz="6" w:space="0"/>
                    <w:bottom w:val="single" w:color="000000" w:sz="6" w:space="0"/>
                  </w:tcBorders>
                  <w:noWrap w:val="0"/>
                  <w:vAlign w:val="top"/>
                </w:tcPr>
                <w:p w14:paraId="6726C9FE">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3.0</w:t>
                  </w:r>
                </w:p>
              </w:tc>
            </w:tr>
            <w:tr w14:paraId="0ED0D52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2651" w:type="dxa"/>
                  <w:tcBorders>
                    <w:top w:val="single" w:color="000000" w:sz="6" w:space="0"/>
                    <w:bottom w:val="single" w:color="000000" w:sz="6" w:space="0"/>
                    <w:right w:val="single" w:color="000000" w:sz="6" w:space="0"/>
                  </w:tcBorders>
                  <w:noWrap w:val="0"/>
                  <w:vAlign w:val="top"/>
                </w:tcPr>
                <w:p w14:paraId="4F6116F0">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过氧化值/(mmol/g)≤</w:t>
                  </w:r>
                </w:p>
              </w:tc>
              <w:tc>
                <w:tcPr>
                  <w:tcW w:w="1432" w:type="dxa"/>
                  <w:tcBorders>
                    <w:top w:val="single" w:color="000000" w:sz="6" w:space="0"/>
                    <w:left w:val="single" w:color="000000" w:sz="6" w:space="0"/>
                    <w:bottom w:val="single" w:color="000000" w:sz="6" w:space="0"/>
                    <w:right w:val="single" w:color="000000" w:sz="6" w:space="0"/>
                  </w:tcBorders>
                  <w:noWrap w:val="0"/>
                  <w:vAlign w:val="top"/>
                </w:tcPr>
                <w:p w14:paraId="6C0BE62C">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5.0</w:t>
                  </w:r>
                </w:p>
              </w:tc>
              <w:tc>
                <w:tcPr>
                  <w:tcW w:w="1515" w:type="dxa"/>
                  <w:tcBorders>
                    <w:top w:val="single" w:color="000000" w:sz="6" w:space="0"/>
                    <w:left w:val="single" w:color="000000" w:sz="6" w:space="0"/>
                    <w:bottom w:val="single" w:color="000000" w:sz="6" w:space="0"/>
                    <w:right w:val="single" w:color="000000" w:sz="6" w:space="0"/>
                  </w:tcBorders>
                  <w:noWrap w:val="0"/>
                  <w:vAlign w:val="top"/>
                </w:tcPr>
                <w:p w14:paraId="5A156F50">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5.0</w:t>
                  </w:r>
                </w:p>
              </w:tc>
              <w:tc>
                <w:tcPr>
                  <w:tcW w:w="1311" w:type="dxa"/>
                  <w:tcBorders>
                    <w:top w:val="single" w:color="000000" w:sz="6" w:space="0"/>
                    <w:left w:val="single" w:color="000000" w:sz="6" w:space="0"/>
                    <w:bottom w:val="single" w:color="000000" w:sz="6" w:space="0"/>
                    <w:right w:val="single" w:color="000000" w:sz="6" w:space="0"/>
                  </w:tcBorders>
                  <w:noWrap w:val="0"/>
                  <w:vAlign w:val="top"/>
                </w:tcPr>
                <w:p w14:paraId="45B46AEC">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7.5</w:t>
                  </w:r>
                </w:p>
              </w:tc>
              <w:tc>
                <w:tcPr>
                  <w:tcW w:w="1570" w:type="dxa"/>
                  <w:tcBorders>
                    <w:top w:val="single" w:color="000000" w:sz="6" w:space="0"/>
                    <w:left w:val="single" w:color="000000" w:sz="6" w:space="0"/>
                    <w:bottom w:val="single" w:color="000000" w:sz="6" w:space="0"/>
                  </w:tcBorders>
                  <w:noWrap w:val="0"/>
                  <w:vAlign w:val="top"/>
                </w:tcPr>
                <w:p w14:paraId="6F75BDDF">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7.5</w:t>
                  </w:r>
                </w:p>
              </w:tc>
            </w:tr>
            <w:tr w14:paraId="1D1812A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345" w:hRule="atLeast"/>
                <w:jc w:val="center"/>
              </w:trPr>
              <w:tc>
                <w:tcPr>
                  <w:tcW w:w="2651" w:type="dxa"/>
                  <w:tcBorders>
                    <w:top w:val="single" w:color="000000" w:sz="6" w:space="0"/>
                    <w:bottom w:val="single" w:color="000000" w:sz="6" w:space="0"/>
                    <w:right w:val="single" w:color="000000" w:sz="6" w:space="0"/>
                  </w:tcBorders>
                  <w:noWrap w:val="0"/>
                  <w:vAlign w:val="top"/>
                </w:tcPr>
                <w:p w14:paraId="6798405A">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p>
                <w:p w14:paraId="02CD6491">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p>
                <w:p w14:paraId="77A525D7">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加热试验(280℃)</w:t>
                  </w:r>
                </w:p>
              </w:tc>
              <w:tc>
                <w:tcPr>
                  <w:tcW w:w="1432" w:type="dxa"/>
                  <w:tcBorders>
                    <w:top w:val="single" w:color="000000" w:sz="6" w:space="0"/>
                    <w:left w:val="single" w:color="000000" w:sz="6" w:space="0"/>
                    <w:bottom w:val="single" w:color="000000" w:sz="6" w:space="0"/>
                    <w:right w:val="single" w:color="000000" w:sz="6" w:space="0"/>
                  </w:tcBorders>
                  <w:noWrap w:val="0"/>
                  <w:vAlign w:val="top"/>
                </w:tcPr>
                <w:p w14:paraId="3F6A9A81">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p>
                <w:p w14:paraId="3A7AE521">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p>
                <w:p w14:paraId="55EE32D3">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c>
                <w:tcPr>
                  <w:tcW w:w="1515" w:type="dxa"/>
                  <w:tcBorders>
                    <w:top w:val="single" w:color="000000" w:sz="6" w:space="0"/>
                    <w:left w:val="single" w:color="000000" w:sz="6" w:space="0"/>
                    <w:bottom w:val="single" w:color="000000" w:sz="6" w:space="0"/>
                    <w:right w:val="single" w:color="000000" w:sz="6" w:space="0"/>
                  </w:tcBorders>
                  <w:noWrap w:val="0"/>
                  <w:vAlign w:val="top"/>
                </w:tcPr>
                <w:p w14:paraId="25132706">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p>
                <w:p w14:paraId="4AFAC00A">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p>
                <w:p w14:paraId="692A9B26">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c>
                <w:tcPr>
                  <w:tcW w:w="1311" w:type="dxa"/>
                  <w:tcBorders>
                    <w:top w:val="single" w:color="000000" w:sz="6" w:space="0"/>
                    <w:left w:val="single" w:color="000000" w:sz="6" w:space="0"/>
                    <w:bottom w:val="single" w:color="000000" w:sz="6" w:space="0"/>
                    <w:right w:val="single" w:color="000000" w:sz="6" w:space="0"/>
                  </w:tcBorders>
                  <w:noWrap w:val="0"/>
                  <w:vAlign w:val="top"/>
                </w:tcPr>
                <w:p w14:paraId="4723D39F">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无析出物，罗维朋比色：黄色值不变，红色值增加小于0.4。</w:t>
                  </w:r>
                </w:p>
              </w:tc>
              <w:tc>
                <w:tcPr>
                  <w:tcW w:w="1570" w:type="dxa"/>
                  <w:tcBorders>
                    <w:top w:val="single" w:color="000000" w:sz="6" w:space="0"/>
                    <w:left w:val="single" w:color="000000" w:sz="6" w:space="0"/>
                    <w:bottom w:val="single" w:color="000000" w:sz="6" w:space="0"/>
                  </w:tcBorders>
                  <w:noWrap w:val="0"/>
                  <w:vAlign w:val="top"/>
                </w:tcPr>
                <w:p w14:paraId="16E48610">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微量析出物，罗维朋比色：黄色值不变，红色值增加小于4.0，蓝色值增加小于0.5</w:t>
                  </w:r>
                </w:p>
              </w:tc>
            </w:tr>
            <w:tr w14:paraId="496DF9D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2651" w:type="dxa"/>
                  <w:tcBorders>
                    <w:top w:val="single" w:color="000000" w:sz="6" w:space="0"/>
                    <w:bottom w:val="single" w:color="000000" w:sz="6" w:space="0"/>
                    <w:right w:val="single" w:color="000000" w:sz="6" w:space="0"/>
                  </w:tcBorders>
                  <w:noWrap w:val="0"/>
                  <w:vAlign w:val="top"/>
                </w:tcPr>
                <w:p w14:paraId="0308DEDB">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含皂量/(%)≤</w:t>
                  </w:r>
                </w:p>
              </w:tc>
              <w:tc>
                <w:tcPr>
                  <w:tcW w:w="1432" w:type="dxa"/>
                  <w:tcBorders>
                    <w:top w:val="single" w:color="000000" w:sz="6" w:space="0"/>
                    <w:left w:val="single" w:color="000000" w:sz="6" w:space="0"/>
                    <w:bottom w:val="single" w:color="000000" w:sz="6" w:space="0"/>
                    <w:right w:val="single" w:color="000000" w:sz="6" w:space="0"/>
                  </w:tcBorders>
                  <w:noWrap w:val="0"/>
                  <w:vAlign w:val="top"/>
                </w:tcPr>
                <w:p w14:paraId="4914EE18">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c>
                <w:tcPr>
                  <w:tcW w:w="1515" w:type="dxa"/>
                  <w:tcBorders>
                    <w:top w:val="single" w:color="000000" w:sz="6" w:space="0"/>
                    <w:left w:val="single" w:color="000000" w:sz="6" w:space="0"/>
                    <w:bottom w:val="single" w:color="000000" w:sz="6" w:space="0"/>
                    <w:right w:val="single" w:color="000000" w:sz="6" w:space="0"/>
                  </w:tcBorders>
                  <w:noWrap w:val="0"/>
                  <w:vAlign w:val="top"/>
                </w:tcPr>
                <w:p w14:paraId="114F53AA">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c>
                <w:tcPr>
                  <w:tcW w:w="1311" w:type="dxa"/>
                  <w:tcBorders>
                    <w:top w:val="single" w:color="000000" w:sz="6" w:space="0"/>
                    <w:left w:val="single" w:color="000000" w:sz="6" w:space="0"/>
                    <w:bottom w:val="single" w:color="000000" w:sz="6" w:space="0"/>
                    <w:right w:val="single" w:color="000000" w:sz="6" w:space="0"/>
                  </w:tcBorders>
                  <w:noWrap w:val="0"/>
                  <w:vAlign w:val="top"/>
                </w:tcPr>
                <w:p w14:paraId="1F6BA47B">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0.03</w:t>
                  </w:r>
                </w:p>
              </w:tc>
              <w:tc>
                <w:tcPr>
                  <w:tcW w:w="1570" w:type="dxa"/>
                  <w:tcBorders>
                    <w:top w:val="single" w:color="000000" w:sz="6" w:space="0"/>
                    <w:left w:val="single" w:color="000000" w:sz="6" w:space="0"/>
                    <w:bottom w:val="single" w:color="000000" w:sz="6" w:space="0"/>
                  </w:tcBorders>
                  <w:noWrap w:val="0"/>
                  <w:vAlign w:val="top"/>
                </w:tcPr>
                <w:p w14:paraId="1ECB03C6">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r>
            <w:tr w14:paraId="1DC4A78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81" w:hRule="atLeast"/>
                <w:jc w:val="center"/>
              </w:trPr>
              <w:tc>
                <w:tcPr>
                  <w:tcW w:w="2651" w:type="dxa"/>
                  <w:tcBorders>
                    <w:top w:val="single" w:color="000000" w:sz="6" w:space="0"/>
                    <w:bottom w:val="single" w:color="000000" w:sz="6" w:space="0"/>
                    <w:right w:val="single" w:color="000000" w:sz="6" w:space="0"/>
                  </w:tcBorders>
                  <w:noWrap w:val="0"/>
                  <w:vAlign w:val="top"/>
                </w:tcPr>
                <w:p w14:paraId="3C789EE1">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烟点/℃≥</w:t>
                  </w:r>
                </w:p>
              </w:tc>
              <w:tc>
                <w:tcPr>
                  <w:tcW w:w="1432" w:type="dxa"/>
                  <w:tcBorders>
                    <w:top w:val="single" w:color="000000" w:sz="6" w:space="0"/>
                    <w:left w:val="single" w:color="000000" w:sz="6" w:space="0"/>
                    <w:bottom w:val="single" w:color="000000" w:sz="6" w:space="0"/>
                    <w:right w:val="single" w:color="000000" w:sz="6" w:space="0"/>
                  </w:tcBorders>
                  <w:noWrap w:val="0"/>
                  <w:vAlign w:val="top"/>
                </w:tcPr>
                <w:p w14:paraId="71FF417E">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215</w:t>
                  </w:r>
                </w:p>
              </w:tc>
              <w:tc>
                <w:tcPr>
                  <w:tcW w:w="1515" w:type="dxa"/>
                  <w:tcBorders>
                    <w:top w:val="single" w:color="000000" w:sz="6" w:space="0"/>
                    <w:left w:val="single" w:color="000000" w:sz="6" w:space="0"/>
                    <w:bottom w:val="single" w:color="000000" w:sz="6" w:space="0"/>
                    <w:right w:val="single" w:color="000000" w:sz="6" w:space="0"/>
                  </w:tcBorders>
                  <w:noWrap w:val="0"/>
                  <w:vAlign w:val="top"/>
                </w:tcPr>
                <w:p w14:paraId="3C44938A">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205</w:t>
                  </w:r>
                </w:p>
              </w:tc>
              <w:tc>
                <w:tcPr>
                  <w:tcW w:w="1311" w:type="dxa"/>
                  <w:tcBorders>
                    <w:top w:val="single" w:color="000000" w:sz="6" w:space="0"/>
                    <w:left w:val="single" w:color="000000" w:sz="6" w:space="0"/>
                    <w:bottom w:val="single" w:color="000000" w:sz="6" w:space="0"/>
                    <w:right w:val="single" w:color="000000" w:sz="6" w:space="0"/>
                  </w:tcBorders>
                  <w:noWrap w:val="0"/>
                  <w:vAlign w:val="top"/>
                </w:tcPr>
                <w:p w14:paraId="6E44C298">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c>
                <w:tcPr>
                  <w:tcW w:w="1570" w:type="dxa"/>
                  <w:tcBorders>
                    <w:top w:val="single" w:color="000000" w:sz="6" w:space="0"/>
                    <w:left w:val="single" w:color="000000" w:sz="6" w:space="0"/>
                    <w:bottom w:val="single" w:color="000000" w:sz="6" w:space="0"/>
                  </w:tcBorders>
                  <w:noWrap w:val="0"/>
                  <w:vAlign w:val="top"/>
                </w:tcPr>
                <w:p w14:paraId="34ACB1A4">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w:t>
                  </w:r>
                </w:p>
              </w:tc>
            </w:tr>
            <w:tr w14:paraId="589AAF9B">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79" w:hRule="atLeast"/>
                <w:jc w:val="center"/>
              </w:trPr>
              <w:tc>
                <w:tcPr>
                  <w:tcW w:w="2651" w:type="dxa"/>
                  <w:tcBorders>
                    <w:top w:val="single" w:color="000000" w:sz="6" w:space="0"/>
                    <w:right w:val="single" w:color="000000" w:sz="6" w:space="0"/>
                  </w:tcBorders>
                  <w:noWrap w:val="0"/>
                  <w:vAlign w:val="top"/>
                </w:tcPr>
                <w:p w14:paraId="4169B923">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溶剂残留量/(mg／kg)</w:t>
                  </w:r>
                </w:p>
              </w:tc>
              <w:tc>
                <w:tcPr>
                  <w:tcW w:w="1432" w:type="dxa"/>
                  <w:tcBorders>
                    <w:top w:val="single" w:color="000000" w:sz="6" w:space="0"/>
                    <w:left w:val="single" w:color="000000" w:sz="6" w:space="0"/>
                    <w:right w:val="single" w:color="000000" w:sz="6" w:space="0"/>
                  </w:tcBorders>
                  <w:noWrap w:val="0"/>
                  <w:vAlign w:val="top"/>
                </w:tcPr>
                <w:p w14:paraId="7BD52532">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不得检出</w:t>
                  </w:r>
                </w:p>
              </w:tc>
              <w:tc>
                <w:tcPr>
                  <w:tcW w:w="1515" w:type="dxa"/>
                  <w:tcBorders>
                    <w:top w:val="single" w:color="000000" w:sz="6" w:space="0"/>
                    <w:left w:val="single" w:color="000000" w:sz="6" w:space="0"/>
                    <w:right w:val="single" w:color="000000" w:sz="6" w:space="0"/>
                  </w:tcBorders>
                  <w:noWrap w:val="0"/>
                  <w:vAlign w:val="top"/>
                </w:tcPr>
                <w:p w14:paraId="18FAF12F">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不得检出</w:t>
                  </w:r>
                </w:p>
              </w:tc>
              <w:tc>
                <w:tcPr>
                  <w:tcW w:w="1311" w:type="dxa"/>
                  <w:tcBorders>
                    <w:top w:val="single" w:color="000000" w:sz="6" w:space="0"/>
                    <w:left w:val="single" w:color="000000" w:sz="6" w:space="0"/>
                    <w:right w:val="single" w:color="000000" w:sz="6" w:space="0"/>
                  </w:tcBorders>
                  <w:noWrap w:val="0"/>
                  <w:vAlign w:val="top"/>
                </w:tcPr>
                <w:p w14:paraId="2B75B377">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≤50</w:t>
                  </w:r>
                </w:p>
              </w:tc>
              <w:tc>
                <w:tcPr>
                  <w:tcW w:w="1570" w:type="dxa"/>
                  <w:tcBorders>
                    <w:top w:val="single" w:color="000000" w:sz="6" w:space="0"/>
                    <w:left w:val="single" w:color="000000" w:sz="6" w:space="0"/>
                  </w:tcBorders>
                  <w:noWrap w:val="0"/>
                  <w:vAlign w:val="top"/>
                </w:tcPr>
                <w:p w14:paraId="038C2357">
                  <w:pPr>
                    <w:pStyle w:val="24"/>
                    <w:keepNext w:val="0"/>
                    <w:keepLines w:val="0"/>
                    <w:pageBreakBefore w:val="0"/>
                    <w:kinsoku/>
                    <w:wordWrap/>
                    <w:overflowPunct/>
                    <w:topLinePunct w:val="0"/>
                    <w:autoSpaceDE/>
                    <w:autoSpaceDN/>
                    <w:bidi w:val="0"/>
                    <w:spacing w:before="3"/>
                    <w:textAlignment w:val="auto"/>
                    <w:outlineLvl w:val="9"/>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≤50</w:t>
                  </w:r>
                </w:p>
              </w:tc>
            </w:tr>
          </w:tbl>
          <w:p w14:paraId="17E1D9D2">
            <w:pPr>
              <w:pStyle w:val="22"/>
              <w:keepNext w:val="0"/>
              <w:keepLines w:val="0"/>
              <w:pageBreakBefore w:val="0"/>
              <w:numPr>
                <w:ilvl w:val="0"/>
                <w:numId w:val="0"/>
              </w:numPr>
              <w:tabs>
                <w:tab w:val="left" w:pos="545"/>
              </w:tabs>
              <w:kinsoku/>
              <w:wordWrap/>
              <w:overflowPunct/>
              <w:topLinePunct w:val="0"/>
              <w:autoSpaceDE/>
              <w:autoSpaceDN/>
              <w:bidi w:val="0"/>
              <w:spacing w:before="86"/>
              <w:jc w:val="left"/>
              <w:textAlignment w:val="auto"/>
              <w:outlineLvl w:val="9"/>
              <w:rPr>
                <w:rFonts w:hint="eastAsia" w:ascii="宋体" w:hAnsi="宋体" w:cs="宋体"/>
                <w:color w:val="000000" w:themeColor="text1"/>
                <w:szCs w:val="21"/>
                <w:highlight w:val="none"/>
                <w14:textFill>
                  <w14:solidFill>
                    <w14:schemeClr w14:val="tx1"/>
                  </w14:solidFill>
                </w14:textFill>
              </w:rPr>
            </w:pPr>
            <w:r>
              <w:rPr>
                <w:rFonts w:hint="eastAsia" w:ascii="宋体" w:hAnsi="宋体"/>
                <w:b/>
                <w:bCs/>
                <w:color w:val="000000" w:themeColor="text1"/>
                <w:highlight w:val="none"/>
                <w:lang w:val="en-US" w:eastAsia="zh-CN"/>
                <w14:textFill>
                  <w14:solidFill>
                    <w14:schemeClr w14:val="tx1"/>
                  </w14:solidFill>
                </w14:textFill>
              </w:rPr>
              <w:t>5、</w:t>
            </w:r>
            <w:r>
              <w:rPr>
                <w:rFonts w:hint="eastAsia" w:ascii="宋体" w:hAnsi="宋体"/>
                <w:b/>
                <w:bCs/>
                <w:color w:val="000000" w:themeColor="text1"/>
                <w:highlight w:val="none"/>
                <w14:textFill>
                  <w14:solidFill>
                    <w14:schemeClr w14:val="tx1"/>
                  </w14:solidFill>
                </w14:textFill>
              </w:rPr>
              <w:t>日用品：</w:t>
            </w:r>
            <w:r>
              <w:rPr>
                <w:rFonts w:hint="eastAsia" w:ascii="宋体" w:hAnsi="宋体" w:cs="宋体"/>
                <w:color w:val="000000" w:themeColor="text1"/>
                <w:szCs w:val="21"/>
                <w:highlight w:val="none"/>
                <w14:textFill>
                  <w14:solidFill>
                    <w14:schemeClr w14:val="tx1"/>
                  </w14:solidFill>
                </w14:textFill>
              </w:rPr>
              <w:t>日用品类符合国家标准。</w:t>
            </w:r>
          </w:p>
          <w:p w14:paraId="28DEBF7D">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5BCA61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34" w:type="dxa"/>
            <w:vAlign w:val="top"/>
          </w:tcPr>
          <w:p w14:paraId="59C3C5D9">
            <w:pPr>
              <w:pStyle w:val="19"/>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说明</w:t>
            </w:r>
          </w:p>
        </w:tc>
        <w:tc>
          <w:tcPr>
            <w:tcW w:w="9366" w:type="dxa"/>
            <w:gridSpan w:val="2"/>
            <w:vAlign w:val="top"/>
          </w:tcPr>
          <w:p w14:paraId="2DA60AB2">
            <w:pPr>
              <w:pStyle w:val="19"/>
              <w:keepNext w:val="0"/>
              <w:keepLines w:val="0"/>
              <w:pageBreakBefore w:val="0"/>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打“★”号条款为实质性条款，若有任何一条负偏离或不满足则导致投标无效。 </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打“▲”号条款为重要技术参数，若有部分“▲”条款未响应或不满足，不作为无效投标条款。</w:t>
            </w:r>
          </w:p>
        </w:tc>
      </w:tr>
    </w:tbl>
    <w:p w14:paraId="164D0B5C">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6B021ACB">
      <w:pPr>
        <w:rPr>
          <w:rFonts w:hint="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0126C163">
      <w:pPr>
        <w:rPr>
          <w:rFonts w:hint="eastAsia"/>
          <w:color w:val="000000" w:themeColor="text1"/>
          <w:highlight w:val="none"/>
          <w14:textFill>
            <w14:solidFill>
              <w14:schemeClr w14:val="tx1"/>
            </w14:solidFill>
          </w14:textFill>
        </w:rPr>
      </w:pPr>
    </w:p>
    <w:p w14:paraId="327D3BE4">
      <w:pPr>
        <w:rPr>
          <w:rFonts w:hint="eastAsia"/>
          <w:color w:val="000000" w:themeColor="text1"/>
          <w:highlight w:val="none"/>
          <w14:textFill>
            <w14:solidFill>
              <w14:schemeClr w14:val="tx1"/>
            </w14:solidFill>
          </w14:textFill>
        </w:rPr>
      </w:pPr>
    </w:p>
    <w:p w14:paraId="507E0F25">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2A367F16">
      <w:pPr>
        <w:pStyle w:val="19"/>
        <w:keepNext w:val="0"/>
        <w:keepLines w:val="0"/>
        <w:pageBreakBefore w:val="0"/>
        <w:widowControl/>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bookmarkStart w:id="2" w:name="_Toc23155"/>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第三章 投标人须知</w:t>
      </w:r>
      <w:bookmarkEnd w:id="2"/>
    </w:p>
    <w:p w14:paraId="1A1716A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投标人必须认真阅读招标文件中所有的事项、格式、条款和采购需求等。投标人没有按照招标文件要求提交全部资料，或者投标文件没有对招标文件在各方面都做出实质性响应的可能导致其投标无效或被拒绝。</w:t>
      </w:r>
    </w:p>
    <w:p w14:paraId="2781B8C5">
      <w:pPr>
        <w:pStyle w:val="19"/>
        <w:keepNext w:val="0"/>
        <w:keepLines w:val="0"/>
        <w:pageBreakBefore w:val="0"/>
        <w:widowControl/>
        <w:kinsoku/>
        <w:wordWrap/>
        <w:overflowPunct/>
        <w:topLinePunct w:val="0"/>
        <w:autoSpaceDE/>
        <w:autoSpaceDN/>
        <w:bidi w:val="0"/>
        <w:adjustRightInd/>
        <w:snapToGrid/>
        <w:spacing w:line="360" w:lineRule="auto"/>
        <w:textAlignment w:val="auto"/>
        <w:outlineLvl w:val="1"/>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3" w:name="_Toc20614"/>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一、名词解释</w:t>
      </w:r>
      <w:bookmarkEnd w:id="3"/>
    </w:p>
    <w:p w14:paraId="32277ED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1.采购代理机构：本项目是指</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，负责整个采购活动的组织，依法负责编制和发布招标文件，对招标文件拥有最终的解释权，不以任何身份出任评标委员会成员。</w:t>
      </w:r>
    </w:p>
    <w:p w14:paraId="0AA3F1E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2.采购人：本项目是指</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阳江市阳东区合山镇第二小学</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，是采购活动当事人之一，负责项目的整体规划、技术方案可行性设计论证与实施，作为合同采购方（用户）的主体承担质疑回复、履行合同、验收与评价等义务。</w:t>
      </w:r>
    </w:p>
    <w:p w14:paraId="7FB6F8C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3.投标人：是指在</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完</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成本项目投标登记并提交投标文件的供应商。</w:t>
      </w:r>
    </w:p>
    <w:p w14:paraId="315863E3">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4.“评标委员会”是指</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参考</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《中华人民共和国政府采购法》等法律法规规定</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有关专家组成以确定中标供应商或者推荐中标候选人的临时组织。</w:t>
      </w:r>
    </w:p>
    <w:p w14:paraId="5D872EA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5.“中标供应商”是指经评标委员会评审确定的对招标文件做出实质性响应，经采购人按照规定在评标委员会推荐的中标候选人中确定的或评标委员会受采购人委托直接确认的投标人。</w:t>
      </w:r>
    </w:p>
    <w:p w14:paraId="2ECF858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6.招标文件：是指包括招标公告和招标文件及其补充、变更和澄清等一系列文件。</w:t>
      </w:r>
    </w:p>
    <w:p w14:paraId="0EAEECF3">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7.投标文件：是投标人按照招标文件中提供的投标文件格式编制投标文件</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w:t>
      </w:r>
    </w:p>
    <w:p w14:paraId="6AEE3B4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8</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.日期、天数、时间：未有特别说明时，均为公历日（天）及北京时间。</w:t>
      </w:r>
    </w:p>
    <w:p w14:paraId="37B388CD">
      <w:pPr>
        <w:rPr>
          <w:rFonts w:hint="eastAsia"/>
          <w:color w:val="000000" w:themeColor="text1"/>
          <w:highlight w:val="none"/>
          <w14:textFill>
            <w14:solidFill>
              <w14:schemeClr w14:val="tx1"/>
            </w14:solidFill>
          </w14:textFill>
        </w:rPr>
      </w:pPr>
    </w:p>
    <w:p w14:paraId="0298AE41">
      <w:pPr>
        <w:pStyle w:val="19"/>
        <w:keepNext w:val="0"/>
        <w:keepLines w:val="0"/>
        <w:pageBreakBefore w:val="0"/>
        <w:widowControl/>
        <w:kinsoku/>
        <w:wordWrap/>
        <w:overflowPunct/>
        <w:topLinePunct w:val="0"/>
        <w:autoSpaceDE/>
        <w:autoSpaceDN/>
        <w:bidi w:val="0"/>
        <w:adjustRightInd/>
        <w:snapToGrid/>
        <w:spacing w:line="360" w:lineRule="auto"/>
        <w:textAlignment w:val="auto"/>
        <w:outlineLvl w:val="1"/>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4" w:name="_Toc24153"/>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二、须知前附表</w:t>
      </w:r>
      <w:bookmarkEnd w:id="4"/>
    </w:p>
    <w:tbl>
      <w:tblPr>
        <w:tblStyle w:val="16"/>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49"/>
        <w:gridCol w:w="1750"/>
        <w:gridCol w:w="3007"/>
        <w:gridCol w:w="3665"/>
      </w:tblGrid>
      <w:tr w14:paraId="6FF7F8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9071" w:type="dxa"/>
            <w:gridSpan w:val="4"/>
            <w:vAlign w:val="center"/>
          </w:tcPr>
          <w:p w14:paraId="15B920AA">
            <w:pPr>
              <w:pStyle w:val="1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本表与招标文件对应章节的内容若不一致，以本表为准。</w:t>
            </w:r>
          </w:p>
        </w:tc>
      </w:tr>
      <w:tr w14:paraId="7F3173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4C4967C0">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1750" w:type="dxa"/>
            <w:vAlign w:val="center"/>
          </w:tcPr>
          <w:p w14:paraId="003D0818">
            <w:pPr>
              <w:pStyle w:val="19"/>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条款名称</w:t>
            </w:r>
          </w:p>
        </w:tc>
        <w:tc>
          <w:tcPr>
            <w:tcW w:w="6672" w:type="dxa"/>
            <w:gridSpan w:val="2"/>
            <w:vAlign w:val="center"/>
          </w:tcPr>
          <w:p w14:paraId="4A25C703">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内容及要求</w:t>
            </w:r>
          </w:p>
        </w:tc>
      </w:tr>
      <w:tr w14:paraId="64BC7F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595A91D5">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1750" w:type="dxa"/>
            <w:vAlign w:val="center"/>
          </w:tcPr>
          <w:p w14:paraId="7498AAAB">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采购包情况</w:t>
            </w:r>
          </w:p>
        </w:tc>
        <w:tc>
          <w:tcPr>
            <w:tcW w:w="6672" w:type="dxa"/>
            <w:gridSpan w:val="2"/>
            <w:vAlign w:val="center"/>
          </w:tcPr>
          <w:p w14:paraId="56B2386E">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本项目共</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个采购包</w:t>
            </w:r>
          </w:p>
        </w:tc>
      </w:tr>
      <w:tr w14:paraId="48EDDE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00E00465">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tc>
        <w:tc>
          <w:tcPr>
            <w:tcW w:w="1750" w:type="dxa"/>
            <w:vAlign w:val="center"/>
          </w:tcPr>
          <w:p w14:paraId="0A6624DB">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开标方式</w:t>
            </w:r>
          </w:p>
        </w:tc>
        <w:tc>
          <w:tcPr>
            <w:tcW w:w="6672" w:type="dxa"/>
            <w:gridSpan w:val="2"/>
            <w:vAlign w:val="center"/>
          </w:tcPr>
          <w:p w14:paraId="296CBE08">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线下现场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开标</w:t>
            </w:r>
          </w:p>
        </w:tc>
      </w:tr>
      <w:tr w14:paraId="4E6AFA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16032C79">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tc>
        <w:tc>
          <w:tcPr>
            <w:tcW w:w="1750" w:type="dxa"/>
            <w:vAlign w:val="center"/>
          </w:tcPr>
          <w:p w14:paraId="18B23CDC">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评标方式</w:t>
            </w:r>
          </w:p>
        </w:tc>
        <w:tc>
          <w:tcPr>
            <w:tcW w:w="6672" w:type="dxa"/>
            <w:gridSpan w:val="2"/>
            <w:vAlign w:val="center"/>
          </w:tcPr>
          <w:p w14:paraId="2BADFC6B">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现场</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纸质</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评标 （供应商应当审慎标记各评审项的应答部分，标记内容清晰且完整，否则将自行承担不利后果）</w:t>
            </w:r>
          </w:p>
        </w:tc>
      </w:tr>
      <w:tr w14:paraId="35ECFB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387AB6E7">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w:t>
            </w:r>
          </w:p>
        </w:tc>
        <w:tc>
          <w:tcPr>
            <w:tcW w:w="1750" w:type="dxa"/>
            <w:vAlign w:val="center"/>
          </w:tcPr>
          <w:p w14:paraId="112B1307">
            <w:pPr>
              <w:pStyle w:val="19"/>
              <w:keepNext w:val="0"/>
              <w:keepLines w:val="0"/>
              <w:pageBreakBefore w:val="0"/>
              <w:kinsoku/>
              <w:wordWrap/>
              <w:overflowPunct/>
              <w:topLinePunct w:val="0"/>
              <w:autoSpaceDE/>
              <w:autoSpaceDN/>
              <w:bidi w:val="0"/>
              <w:adjustRightInd/>
              <w:snapToGrid/>
              <w:spacing w:line="360" w:lineRule="auto"/>
              <w:ind w:firstLine="210" w:firstLineChars="10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评标办法</w:t>
            </w:r>
          </w:p>
        </w:tc>
        <w:tc>
          <w:tcPr>
            <w:tcW w:w="6672" w:type="dxa"/>
            <w:gridSpan w:val="2"/>
            <w:vAlign w:val="center"/>
          </w:tcPr>
          <w:p w14:paraId="1C6660B1">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采购包1：综合评分法</w:t>
            </w:r>
          </w:p>
        </w:tc>
      </w:tr>
      <w:tr w14:paraId="74F294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4D20D9A7">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w:t>
            </w:r>
          </w:p>
        </w:tc>
        <w:tc>
          <w:tcPr>
            <w:tcW w:w="1750" w:type="dxa"/>
            <w:vAlign w:val="center"/>
          </w:tcPr>
          <w:p w14:paraId="72F6F03B">
            <w:pPr>
              <w:pStyle w:val="19"/>
              <w:keepNext w:val="0"/>
              <w:keepLines w:val="0"/>
              <w:pageBreakBefore w:val="0"/>
              <w:kinsoku/>
              <w:wordWrap/>
              <w:overflowPunct/>
              <w:topLinePunct w:val="0"/>
              <w:autoSpaceDE/>
              <w:autoSpaceDN/>
              <w:bidi w:val="0"/>
              <w:adjustRightInd/>
              <w:snapToGrid/>
              <w:spacing w:line="360" w:lineRule="auto"/>
              <w:ind w:firstLine="210" w:firstLineChars="10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报价形式</w:t>
            </w:r>
          </w:p>
        </w:tc>
        <w:tc>
          <w:tcPr>
            <w:tcW w:w="6672" w:type="dxa"/>
            <w:gridSpan w:val="2"/>
            <w:vAlign w:val="center"/>
          </w:tcPr>
          <w:p w14:paraId="557E23FD">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折扣率</w:t>
            </w:r>
          </w:p>
        </w:tc>
      </w:tr>
      <w:tr w14:paraId="75547A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2D5D1E4E">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w:t>
            </w:r>
          </w:p>
        </w:tc>
        <w:tc>
          <w:tcPr>
            <w:tcW w:w="1750" w:type="dxa"/>
            <w:vAlign w:val="center"/>
          </w:tcPr>
          <w:p w14:paraId="27D0D673">
            <w:pPr>
              <w:pStyle w:val="19"/>
              <w:keepNext w:val="0"/>
              <w:keepLines w:val="0"/>
              <w:pageBreakBefore w:val="0"/>
              <w:kinsoku/>
              <w:wordWrap/>
              <w:overflowPunct/>
              <w:topLinePunct w:val="0"/>
              <w:autoSpaceDE/>
              <w:autoSpaceDN/>
              <w:bidi w:val="0"/>
              <w:adjustRightInd/>
              <w:snapToGrid/>
              <w:spacing w:line="360" w:lineRule="auto"/>
              <w:ind w:firstLine="210" w:firstLineChars="10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报价要求</w:t>
            </w:r>
          </w:p>
        </w:tc>
        <w:tc>
          <w:tcPr>
            <w:tcW w:w="6672" w:type="dxa"/>
            <w:gridSpan w:val="2"/>
            <w:vAlign w:val="center"/>
          </w:tcPr>
          <w:p w14:paraId="145BF523">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采购包1：0% - </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100</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tc>
      </w:tr>
      <w:tr w14:paraId="1960C9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07A8CBDB">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7</w:t>
            </w:r>
          </w:p>
        </w:tc>
        <w:tc>
          <w:tcPr>
            <w:tcW w:w="1750" w:type="dxa"/>
            <w:vAlign w:val="center"/>
          </w:tcPr>
          <w:p w14:paraId="3BFFC813">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现场踏勘</w:t>
            </w:r>
          </w:p>
        </w:tc>
        <w:tc>
          <w:tcPr>
            <w:tcW w:w="6672" w:type="dxa"/>
            <w:gridSpan w:val="2"/>
            <w:vAlign w:val="center"/>
          </w:tcPr>
          <w:p w14:paraId="724780C0">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否</w:t>
            </w:r>
          </w:p>
        </w:tc>
      </w:tr>
      <w:tr w14:paraId="011B2E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08EA38B3">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w:t>
            </w:r>
          </w:p>
        </w:tc>
        <w:tc>
          <w:tcPr>
            <w:tcW w:w="1750" w:type="dxa"/>
            <w:vAlign w:val="center"/>
          </w:tcPr>
          <w:p w14:paraId="08A4DE1E">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投标有效期</w:t>
            </w:r>
          </w:p>
        </w:tc>
        <w:tc>
          <w:tcPr>
            <w:tcW w:w="6672" w:type="dxa"/>
            <w:gridSpan w:val="2"/>
            <w:vAlign w:val="center"/>
          </w:tcPr>
          <w:p w14:paraId="7A692F2C">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从提交投标（响应）文件的截止之日起90日历天</w:t>
            </w:r>
          </w:p>
        </w:tc>
      </w:tr>
      <w:tr w14:paraId="165429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5590DF7A">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w:t>
            </w:r>
          </w:p>
        </w:tc>
        <w:tc>
          <w:tcPr>
            <w:tcW w:w="1750" w:type="dxa"/>
            <w:vAlign w:val="center"/>
          </w:tcPr>
          <w:p w14:paraId="0F4F6BFA">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投标保证金</w:t>
            </w:r>
          </w:p>
        </w:tc>
        <w:tc>
          <w:tcPr>
            <w:tcW w:w="6672" w:type="dxa"/>
            <w:gridSpan w:val="2"/>
            <w:vAlign w:val="center"/>
          </w:tcPr>
          <w:p w14:paraId="02137018">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不收取投标（响应）保证金</w:t>
            </w:r>
          </w:p>
        </w:tc>
      </w:tr>
      <w:tr w14:paraId="7AF036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153D713A">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10</w:t>
            </w:r>
          </w:p>
        </w:tc>
        <w:tc>
          <w:tcPr>
            <w:tcW w:w="1750" w:type="dxa"/>
            <w:vAlign w:val="center"/>
          </w:tcPr>
          <w:p w14:paraId="60A91E17">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投标文件要求</w:t>
            </w:r>
          </w:p>
        </w:tc>
        <w:tc>
          <w:tcPr>
            <w:tcW w:w="6672" w:type="dxa"/>
            <w:gridSpan w:val="2"/>
            <w:vAlign w:val="center"/>
          </w:tcPr>
          <w:p w14:paraId="275C9C02">
            <w:pPr>
              <w:pStyle w:val="19"/>
              <w:keepNext w:val="0"/>
              <w:keepLines w:val="0"/>
              <w:pageBreakBefore w:val="0"/>
              <w:kinsoku/>
              <w:wordWrap/>
              <w:overflowPunct/>
              <w:topLinePunct w:val="0"/>
              <w:autoSpaceDE/>
              <w:autoSpaceDN/>
              <w:bidi w:val="0"/>
              <w:adjustRightInd/>
              <w:snapToGrid/>
              <w:spacing w:line="320" w:lineRule="exact"/>
              <w:ind w:firstLine="0" w:firstLineChars="0"/>
              <w:jc w:val="left"/>
              <w:textAlignment w:val="auto"/>
              <w:rPr>
                <w:rFonts w:hint="eastAsia" w:ascii="宋体" w:hAnsi="宋体" w:cs="宋体"/>
                <w:b/>
                <w:bCs/>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14:textFill>
                  <w14:solidFill>
                    <w14:schemeClr w14:val="tx1"/>
                  </w14:solidFill>
                </w14:textFill>
              </w:rPr>
              <w:t>共提供</w:t>
            </w:r>
            <w:r>
              <w:rPr>
                <w:rFonts w:hint="eastAsia" w:ascii="宋体" w:hAnsi="宋体" w:cs="宋体"/>
                <w:b/>
                <w:bCs/>
                <w:color w:val="000000" w:themeColor="text1"/>
                <w:sz w:val="21"/>
                <w:szCs w:val="21"/>
                <w:highlight w:val="none"/>
                <w:lang w:val="en-US" w:eastAsia="zh-CN"/>
                <w14:textFill>
                  <w14:solidFill>
                    <w14:schemeClr w14:val="tx1"/>
                  </w14:solidFill>
                </w14:textFill>
              </w:rPr>
              <w:t>3</w:t>
            </w:r>
            <w:r>
              <w:rPr>
                <w:rFonts w:hint="eastAsia" w:ascii="宋体" w:hAnsi="宋体" w:cs="宋体"/>
                <w:b/>
                <w:bCs/>
                <w:color w:val="000000" w:themeColor="text1"/>
                <w:sz w:val="21"/>
                <w:szCs w:val="21"/>
                <w:highlight w:val="none"/>
                <w14:textFill>
                  <w14:solidFill>
                    <w14:schemeClr w14:val="tx1"/>
                  </w14:solidFill>
                </w14:textFill>
              </w:rPr>
              <w:t>份投标资料，分别封装：</w:t>
            </w:r>
          </w:p>
          <w:p w14:paraId="3F0844C6">
            <w:pPr>
              <w:pStyle w:val="19"/>
              <w:keepNext w:val="0"/>
              <w:keepLines w:val="0"/>
              <w:pageBreakBefore w:val="0"/>
              <w:numPr>
                <w:ilvl w:val="0"/>
                <w:numId w:val="0"/>
              </w:numPr>
              <w:kinsoku/>
              <w:wordWrap/>
              <w:overflowPunct/>
              <w:topLinePunct w:val="0"/>
              <w:autoSpaceDE/>
              <w:autoSpaceDN/>
              <w:bidi w:val="0"/>
              <w:adjustRightInd/>
              <w:snapToGrid/>
              <w:spacing w:line="320" w:lineRule="exact"/>
              <w:jc w:val="left"/>
              <w:textAlignment w:val="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t>1.投标</w:t>
            </w:r>
            <w:r>
              <w:rPr>
                <w:rFonts w:hint="eastAsia" w:ascii="宋体" w:hAnsi="宋体" w:cs="宋体"/>
                <w:b/>
                <w:bCs/>
                <w:color w:val="000000" w:themeColor="text1"/>
                <w:sz w:val="21"/>
                <w:szCs w:val="21"/>
                <w:highlight w:val="none"/>
                <w14:textFill>
                  <w14:solidFill>
                    <w14:schemeClr w14:val="tx1"/>
                  </w14:solidFill>
                </w14:textFill>
              </w:rPr>
              <w:t>文件</w:t>
            </w:r>
            <w:r>
              <w:rPr>
                <w:rFonts w:hint="eastAsia" w:ascii="宋体" w:hAnsi="宋体" w:cs="宋体"/>
                <w:color w:val="000000" w:themeColor="text1"/>
                <w:sz w:val="21"/>
                <w:szCs w:val="21"/>
                <w:highlight w:val="none"/>
                <w14:textFill>
                  <w14:solidFill>
                    <w14:schemeClr w14:val="tx1"/>
                  </w14:solidFill>
                </w14:textFill>
              </w:rPr>
              <w:t>（内含</w:t>
            </w:r>
            <w:r>
              <w:rPr>
                <w:rFonts w:hint="eastAsia" w:ascii="宋体" w:hAnsi="宋体" w:cs="宋体"/>
                <w:color w:val="000000" w:themeColor="text1"/>
                <w:sz w:val="21"/>
                <w:szCs w:val="21"/>
                <w:highlight w:val="none"/>
                <w:u w:val="single"/>
                <w14:textFill>
                  <w14:solidFill>
                    <w14:schemeClr w14:val="tx1"/>
                  </w14:solidFill>
                </w14:textFill>
              </w:rPr>
              <w:t xml:space="preserve"> 1 </w:t>
            </w:r>
            <w:r>
              <w:rPr>
                <w:rFonts w:hint="eastAsia" w:ascii="宋体" w:hAnsi="宋体" w:cs="宋体"/>
                <w:color w:val="000000" w:themeColor="text1"/>
                <w:sz w:val="21"/>
                <w:szCs w:val="21"/>
                <w:highlight w:val="none"/>
                <w14:textFill>
                  <w14:solidFill>
                    <w14:schemeClr w14:val="tx1"/>
                  </w14:solidFill>
                </w14:textFill>
              </w:rPr>
              <w:t>正</w:t>
            </w:r>
            <w:r>
              <w:rPr>
                <w:rFonts w:hint="eastAsia" w:ascii="宋体" w:hAnsi="宋体" w:cs="宋体"/>
                <w:color w:val="000000" w:themeColor="text1"/>
                <w:sz w:val="21"/>
                <w:szCs w:val="21"/>
                <w:highlight w:val="none"/>
                <w:u w:val="single"/>
                <w14:textFill>
                  <w14:solidFill>
                    <w14:schemeClr w14:val="tx1"/>
                  </w14:solidFill>
                </w14:textFill>
              </w:rPr>
              <w:t xml:space="preserve"> 4 </w:t>
            </w:r>
            <w:r>
              <w:rPr>
                <w:rFonts w:hint="eastAsia" w:ascii="宋体" w:hAnsi="宋体" w:cs="宋体"/>
                <w:color w:val="000000" w:themeColor="text1"/>
                <w:sz w:val="21"/>
                <w:szCs w:val="21"/>
                <w:highlight w:val="none"/>
                <w14:textFill>
                  <w14:solidFill>
                    <w14:schemeClr w14:val="tx1"/>
                  </w14:solidFill>
                </w14:textFill>
              </w:rPr>
              <w:t>副，</w:t>
            </w:r>
            <w:r>
              <w:rPr>
                <w:rFonts w:hint="eastAsia" w:ascii="宋体" w:hAnsi="宋体" w:cs="宋体"/>
                <w:bCs/>
                <w:color w:val="000000" w:themeColor="text1"/>
                <w:sz w:val="21"/>
                <w:szCs w:val="21"/>
                <w:highlight w:val="none"/>
                <w14:textFill>
                  <w14:solidFill>
                    <w14:schemeClr w14:val="tx1"/>
                  </w14:solidFill>
                </w14:textFill>
              </w:rPr>
              <w:t>独立装订成册</w:t>
            </w:r>
            <w:r>
              <w:rPr>
                <w:rFonts w:hint="eastAsia" w:ascii="宋体" w:hAnsi="宋体" w:cs="宋体"/>
                <w:color w:val="000000" w:themeColor="text1"/>
                <w:sz w:val="21"/>
                <w:szCs w:val="21"/>
                <w:highlight w:val="none"/>
                <w14:textFill>
                  <w14:solidFill>
                    <w14:schemeClr w14:val="tx1"/>
                  </w14:solidFill>
                </w14:textFill>
              </w:rPr>
              <w:t>）</w:t>
            </w:r>
          </w:p>
          <w:p w14:paraId="37076870">
            <w:pPr>
              <w:pStyle w:val="19"/>
              <w:keepNext w:val="0"/>
              <w:keepLines w:val="0"/>
              <w:pageBreakBefore w:val="0"/>
              <w:numPr>
                <w:ilvl w:val="0"/>
                <w:numId w:val="0"/>
              </w:numPr>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t>2.开标信封</w:t>
            </w:r>
            <w:r>
              <w:rPr>
                <w:rFonts w:hint="eastAsia" w:ascii="宋体" w:hAnsi="宋体" w:cs="宋体"/>
                <w:color w:val="000000" w:themeColor="text1"/>
                <w:sz w:val="21"/>
                <w:szCs w:val="21"/>
                <w:highlight w:val="none"/>
                <w14:textFill>
                  <w14:solidFill>
                    <w14:schemeClr w14:val="tx1"/>
                  </w14:solidFill>
                </w14:textFill>
              </w:rPr>
              <w:t>（内含“开标一览表”、“法定代表人（负责人）证明书”和“法定代表人（负责人）授权书”）</w:t>
            </w:r>
          </w:p>
          <w:p w14:paraId="21A55959">
            <w:pPr>
              <w:pStyle w:val="19"/>
              <w:keepNext w:val="0"/>
              <w:keepLines w:val="0"/>
              <w:pageBreakBefore w:val="0"/>
              <w:numPr>
                <w:ilvl w:val="0"/>
                <w:numId w:val="0"/>
              </w:numPr>
              <w:kinsoku/>
              <w:wordWrap/>
              <w:overflowPunct/>
              <w:topLinePunct w:val="0"/>
              <w:autoSpaceDE/>
              <w:autoSpaceDN/>
              <w:bidi w:val="0"/>
              <w:adjustRightInd/>
              <w:snapToGrid/>
              <w:spacing w:line="320" w:lineRule="exact"/>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cs="宋体"/>
                <w:b/>
                <w:bCs/>
                <w:color w:val="000000" w:themeColor="text1"/>
                <w:sz w:val="21"/>
                <w:szCs w:val="21"/>
                <w:highlight w:val="none"/>
                <w:lang w:val="en-US" w:eastAsia="zh-CN"/>
                <w14:textFill>
                  <w14:solidFill>
                    <w14:schemeClr w14:val="tx1"/>
                  </w14:solidFill>
                </w14:textFill>
              </w:rPr>
              <w:t>3.</w:t>
            </w:r>
            <w:r>
              <w:rPr>
                <w:rFonts w:hint="eastAsia" w:ascii="宋体" w:hAnsi="宋体" w:cs="宋体"/>
                <w:b/>
                <w:bCs/>
                <w:color w:val="000000" w:themeColor="text1"/>
                <w:sz w:val="21"/>
                <w:szCs w:val="21"/>
                <w:highlight w:val="none"/>
                <w14:textFill>
                  <w14:solidFill>
                    <w14:schemeClr w14:val="tx1"/>
                  </w14:solidFill>
                </w14:textFill>
              </w:rPr>
              <w:t>投标文件电子版</w:t>
            </w:r>
            <w:r>
              <w:rPr>
                <w:rFonts w:hint="eastAsia" w:ascii="宋体" w:hAnsi="宋体" w:cs="宋体"/>
                <w:color w:val="000000" w:themeColor="text1"/>
                <w:sz w:val="21"/>
                <w:szCs w:val="21"/>
                <w:highlight w:val="none"/>
                <w14:textFill>
                  <w14:solidFill>
                    <w14:schemeClr w14:val="tx1"/>
                  </w14:solidFill>
                </w14:textFill>
              </w:rPr>
              <w:t>（以光盘或U盘提供，内含PDF及可编辑的投标文件电子版1份，在封面上注明“公司名称-投标文件电子版”）</w:t>
            </w:r>
          </w:p>
          <w:p w14:paraId="6B65ABE6">
            <w:pPr>
              <w:pStyle w:val="19"/>
              <w:keepNext w:val="0"/>
              <w:keepLines w:val="0"/>
              <w:pageBreakBefore w:val="0"/>
              <w:numPr>
                <w:ilvl w:val="0"/>
                <w:numId w:val="0"/>
              </w:numPr>
              <w:kinsoku/>
              <w:wordWrap/>
              <w:overflowPunct/>
              <w:topLinePunct w:val="0"/>
              <w:autoSpaceDE/>
              <w:autoSpaceDN/>
              <w:bidi w:val="0"/>
              <w:adjustRightInd/>
              <w:snapToGrid/>
              <w:spacing w:line="320" w:lineRule="exact"/>
              <w:ind w:firstLine="0" w:firstLineChars="0"/>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E4F746E">
            <w:pPr>
              <w:pStyle w:val="19"/>
              <w:keepNext w:val="0"/>
              <w:keepLines w:val="0"/>
              <w:pageBreakBefore w:val="0"/>
              <w:numPr>
                <w:ilvl w:val="0"/>
                <w:numId w:val="0"/>
              </w:numPr>
              <w:kinsoku/>
              <w:wordWrap/>
              <w:overflowPunct/>
              <w:topLinePunct w:val="0"/>
              <w:autoSpaceDE/>
              <w:autoSpaceDN/>
              <w:bidi w:val="0"/>
              <w:adjustRightInd/>
              <w:snapToGrid/>
              <w:spacing w:line="320" w:lineRule="exact"/>
              <w:ind w:firstLine="0" w:firstLineChars="0"/>
              <w:jc w:val="left"/>
              <w:textAlignment w:val="auto"/>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注：</w:t>
            </w:r>
          </w:p>
          <w:p w14:paraId="1E9BA131">
            <w:pPr>
              <w:pStyle w:val="19"/>
              <w:keepNext w:val="0"/>
              <w:keepLines w:val="0"/>
              <w:pageBreakBefore w:val="0"/>
              <w:numPr>
                <w:ilvl w:val="0"/>
                <w:numId w:val="0"/>
              </w:numPr>
              <w:kinsoku/>
              <w:wordWrap/>
              <w:overflowPunct/>
              <w:topLinePunct w:val="0"/>
              <w:autoSpaceDE/>
              <w:autoSpaceDN/>
              <w:bidi w:val="0"/>
              <w:adjustRightInd/>
              <w:snapToGrid/>
              <w:spacing w:line="320" w:lineRule="exact"/>
              <w:ind w:firstLine="0" w:firstLineChars="0"/>
              <w:jc w:val="left"/>
              <w:textAlignment w:val="auto"/>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b/>
                <w:color w:val="000000" w:themeColor="text1"/>
                <w:sz w:val="21"/>
                <w:szCs w:val="21"/>
                <w:highlight w:val="none"/>
                <w:lang w:val="en-US" w:eastAsia="zh-CN"/>
                <w14:textFill>
                  <w14:solidFill>
                    <w14:schemeClr w14:val="tx1"/>
                  </w14:solidFill>
                </w14:textFill>
              </w:rPr>
              <w:t>1.</w:t>
            </w:r>
            <w:r>
              <w:rPr>
                <w:rFonts w:hint="eastAsia" w:ascii="宋体" w:hAnsi="宋体" w:cs="宋体"/>
                <w:b/>
                <w:color w:val="000000" w:themeColor="text1"/>
                <w:sz w:val="21"/>
                <w:szCs w:val="21"/>
                <w:highlight w:val="none"/>
                <w14:textFill>
                  <w14:solidFill>
                    <w14:schemeClr w14:val="tx1"/>
                  </w14:solidFill>
                </w14:textFill>
              </w:rPr>
              <w:t>所有投标资料</w:t>
            </w:r>
            <w:r>
              <w:rPr>
                <w:rFonts w:hint="eastAsia" w:ascii="宋体" w:hAnsi="宋体" w:cs="宋体"/>
                <w:bCs/>
                <w:color w:val="000000" w:themeColor="text1"/>
                <w:sz w:val="21"/>
                <w:szCs w:val="21"/>
                <w:highlight w:val="none"/>
                <w14:textFill>
                  <w14:solidFill>
                    <w14:schemeClr w14:val="tx1"/>
                  </w14:solidFill>
                </w14:textFill>
              </w:rPr>
              <w:t>分别密封在不透明的外层封装中，</w:t>
            </w:r>
            <w:r>
              <w:rPr>
                <w:rFonts w:hint="eastAsia" w:ascii="宋体" w:hAnsi="宋体" w:cs="宋体"/>
                <w:color w:val="000000" w:themeColor="text1"/>
                <w:sz w:val="21"/>
                <w:szCs w:val="21"/>
                <w:highlight w:val="none"/>
                <w14:textFill>
                  <w14:solidFill>
                    <w14:schemeClr w14:val="tx1"/>
                  </w14:solidFill>
                </w14:textFill>
              </w:rPr>
              <w:t>封面需按招标文件封面格式要求标注并加盖公章。</w:t>
            </w:r>
          </w:p>
          <w:p w14:paraId="17CB509C">
            <w:pPr>
              <w:pStyle w:val="19"/>
              <w:keepNext w:val="0"/>
              <w:keepLines w:val="0"/>
              <w:pageBreakBefore w:val="0"/>
              <w:numPr>
                <w:ilvl w:val="0"/>
                <w:numId w:val="0"/>
              </w:numPr>
              <w:kinsoku/>
              <w:wordWrap/>
              <w:overflowPunct/>
              <w:topLinePunct w:val="0"/>
              <w:autoSpaceDE/>
              <w:autoSpaceDN/>
              <w:bidi w:val="0"/>
              <w:adjustRightInd/>
              <w:snapToGrid/>
              <w:spacing w:line="320" w:lineRule="exact"/>
              <w:ind w:firstLine="0" w:firstLineChars="0"/>
              <w:jc w:val="left"/>
              <w:textAlignment w:val="auto"/>
              <w:rPr>
                <w:rFonts w:hint="eastAsia" w:ascii="宋体" w:hAnsi="宋体" w:cs="宋体"/>
                <w:bCs/>
                <w:color w:val="000000" w:themeColor="text1"/>
                <w:sz w:val="21"/>
                <w:szCs w:val="21"/>
                <w:highlight w:val="none"/>
                <w:lang w:eastAsia="zh-CN"/>
                <w14:textFill>
                  <w14:solidFill>
                    <w14:schemeClr w14:val="tx1"/>
                  </w14:solidFill>
                </w14:textFill>
              </w:rPr>
            </w:pPr>
            <w:r>
              <w:rPr>
                <w:rFonts w:hint="eastAsia" w:ascii="宋体" w:hAnsi="宋体" w:cs="宋体"/>
                <w:bCs/>
                <w:color w:val="000000" w:themeColor="text1"/>
                <w:sz w:val="21"/>
                <w:szCs w:val="21"/>
                <w:highlight w:val="none"/>
                <w:lang w:val="en-US" w:eastAsia="zh-CN"/>
                <w14:textFill>
                  <w14:solidFill>
                    <w14:schemeClr w14:val="tx1"/>
                  </w14:solidFill>
                </w14:textFill>
              </w:rPr>
              <w:t>2.</w:t>
            </w:r>
            <w:r>
              <w:rPr>
                <w:rFonts w:hint="eastAsia" w:ascii="宋体" w:hAnsi="宋体" w:cs="宋体"/>
                <w:bCs/>
                <w:color w:val="000000" w:themeColor="text1"/>
                <w:sz w:val="21"/>
                <w:szCs w:val="21"/>
                <w:highlight w:val="none"/>
                <w14:textFill>
                  <w14:solidFill>
                    <w14:schemeClr w14:val="tx1"/>
                  </w14:solidFill>
                </w14:textFill>
              </w:rPr>
              <w:t>每一密封封装上均注明“于</w:t>
            </w:r>
            <w:r>
              <w:rPr>
                <w:rFonts w:hint="eastAsia" w:ascii="宋体" w:hAnsi="宋体" w:cs="宋体"/>
                <w:bCs/>
                <w:color w:val="000000" w:themeColor="text1"/>
                <w:sz w:val="21"/>
                <w:szCs w:val="21"/>
                <w:highlight w:val="none"/>
                <w:u w:val="single"/>
                <w14:textFill>
                  <w14:solidFill>
                    <w14:schemeClr w14:val="tx1"/>
                  </w14:solidFill>
                </w14:textFill>
              </w:rPr>
              <w:t xml:space="preserve">     （投标截止时间）   </w:t>
            </w:r>
            <w:r>
              <w:rPr>
                <w:rFonts w:hint="eastAsia" w:ascii="宋体" w:hAnsi="宋体" w:cs="宋体"/>
                <w:bCs/>
                <w:color w:val="000000" w:themeColor="text1"/>
                <w:sz w:val="21"/>
                <w:szCs w:val="21"/>
                <w:highlight w:val="none"/>
                <w14:textFill>
                  <w14:solidFill>
                    <w14:schemeClr w14:val="tx1"/>
                  </w14:solidFill>
                </w14:textFill>
              </w:rPr>
              <w:t>之前不准启封”的字样</w:t>
            </w:r>
            <w:r>
              <w:rPr>
                <w:rFonts w:hint="eastAsia" w:ascii="宋体" w:hAnsi="宋体" w:cs="宋体"/>
                <w:bCs/>
                <w:color w:val="000000" w:themeColor="text1"/>
                <w:sz w:val="21"/>
                <w:szCs w:val="21"/>
                <w:highlight w:val="none"/>
                <w:lang w:eastAsia="zh-CN"/>
                <w14:textFill>
                  <w14:solidFill>
                    <w14:schemeClr w14:val="tx1"/>
                  </w14:solidFill>
                </w14:textFill>
              </w:rPr>
              <w:t>。</w:t>
            </w:r>
          </w:p>
          <w:p w14:paraId="34091F7F">
            <w:pPr>
              <w:pStyle w:val="19"/>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cs="宋体"/>
                <w:bCs/>
                <w:color w:val="000000" w:themeColor="text1"/>
                <w:highlight w:val="none"/>
                <w:lang w:val="en-US" w:eastAsia="zh-CN"/>
                <w14:textFill>
                  <w14:solidFill>
                    <w14:schemeClr w14:val="tx1"/>
                  </w14:solidFill>
                </w14:textFill>
              </w:rPr>
            </w:pPr>
            <w:r>
              <w:rPr>
                <w:rFonts w:hint="eastAsia" w:ascii="宋体"/>
                <w:bCs/>
                <w:color w:val="000000" w:themeColor="text1"/>
                <w:sz w:val="21"/>
                <w:szCs w:val="21"/>
                <w:highlight w:val="none"/>
                <w:lang w:val="en-US" w:eastAsia="zh-CN"/>
                <w14:textFill>
                  <w14:solidFill>
                    <w14:schemeClr w14:val="tx1"/>
                  </w14:solidFill>
                </w14:textFill>
              </w:rPr>
              <w:t>3.</w:t>
            </w:r>
            <w:r>
              <w:rPr>
                <w:rFonts w:hint="eastAsia" w:ascii="宋体"/>
                <w:bCs/>
                <w:color w:val="000000" w:themeColor="text1"/>
                <w:sz w:val="21"/>
                <w:szCs w:val="21"/>
                <w:highlight w:val="none"/>
                <w14:textFill>
                  <w14:solidFill>
                    <w14:schemeClr w14:val="tx1"/>
                  </w14:solidFill>
                </w14:textFill>
              </w:rPr>
              <w:t>投标人未按上述规定对投标文件进行</w:t>
            </w:r>
            <w:r>
              <w:rPr>
                <w:rFonts w:hint="eastAsia" w:ascii="宋体" w:hAnsi="宋体" w:cs="宋体"/>
                <w:bCs/>
                <w:color w:val="000000" w:themeColor="text1"/>
                <w:sz w:val="21"/>
                <w:szCs w:val="21"/>
                <w:highlight w:val="none"/>
                <w:lang w:val="en-US" w:eastAsia="zh-CN"/>
                <w14:textFill>
                  <w14:solidFill>
                    <w14:schemeClr w14:val="tx1"/>
                  </w14:solidFill>
                </w14:textFill>
              </w:rPr>
              <w:t>装订、</w:t>
            </w:r>
            <w:r>
              <w:rPr>
                <w:rFonts w:hint="eastAsia" w:ascii="宋体"/>
                <w:bCs/>
                <w:color w:val="000000" w:themeColor="text1"/>
                <w:sz w:val="21"/>
                <w:szCs w:val="21"/>
                <w:highlight w:val="none"/>
                <w14:textFill>
                  <w14:solidFill>
                    <w14:schemeClr w14:val="tx1"/>
                  </w14:solidFill>
                </w14:textFill>
              </w:rPr>
              <w:t>密封和加写标记，</w:t>
            </w:r>
            <w:r>
              <w:rPr>
                <w:rFonts w:hint="eastAsia" w:ascii="宋体" w:hAnsi="宋体"/>
                <w:color w:val="000000" w:themeColor="text1"/>
                <w:sz w:val="21"/>
                <w:szCs w:val="21"/>
                <w:highlight w:val="none"/>
                <w14:textFill>
                  <w14:solidFill>
                    <w14:schemeClr w14:val="tx1"/>
                  </w14:solidFill>
                </w14:textFill>
              </w:rPr>
              <w:t>代理采购机构有权予以拒收，并退回给投标人。电报、电话、传真</w:t>
            </w:r>
            <w:r>
              <w:rPr>
                <w:rFonts w:hint="eastAsia" w:ascii="宋体"/>
                <w:bCs/>
                <w:color w:val="000000" w:themeColor="text1"/>
                <w:sz w:val="21"/>
                <w:szCs w:val="21"/>
                <w:highlight w:val="none"/>
                <w14:textFill>
                  <w14:solidFill>
                    <w14:schemeClr w14:val="tx1"/>
                  </w14:solidFill>
                </w14:textFill>
              </w:rPr>
              <w:t>等非纸质形式</w:t>
            </w:r>
            <w:r>
              <w:rPr>
                <w:rFonts w:hint="eastAsia" w:ascii="宋体" w:hAnsi="宋体"/>
                <w:color w:val="000000" w:themeColor="text1"/>
                <w:sz w:val="21"/>
                <w:szCs w:val="21"/>
                <w:highlight w:val="none"/>
                <w14:textFill>
                  <w14:solidFill>
                    <w14:schemeClr w14:val="tx1"/>
                  </w14:solidFill>
                </w14:textFill>
              </w:rPr>
              <w:t>的投标概不接受</w:t>
            </w:r>
            <w:r>
              <w:rPr>
                <w:rFonts w:hint="eastAsia" w:ascii="宋体"/>
                <w:bCs/>
                <w:color w:val="000000" w:themeColor="text1"/>
                <w:sz w:val="21"/>
                <w:szCs w:val="21"/>
                <w:highlight w:val="none"/>
                <w14:textFill>
                  <w14:solidFill>
                    <w14:schemeClr w14:val="tx1"/>
                  </w14:solidFill>
                </w14:textFill>
              </w:rPr>
              <w:t>。</w:t>
            </w:r>
            <w:r>
              <w:rPr>
                <w:b/>
                <w:bCs/>
                <w:color w:val="000000" w:themeColor="text1"/>
                <w:sz w:val="21"/>
                <w:szCs w:val="21"/>
                <w:highlight w:val="none"/>
                <w14:textFill>
                  <w14:solidFill>
                    <w14:schemeClr w14:val="tx1"/>
                  </w14:solidFill>
                </w14:textFill>
              </w:rPr>
              <w:t>所有投标文件密封袋的封口处应加盖投标人</w:t>
            </w:r>
            <w:r>
              <w:rPr>
                <w:rFonts w:hint="eastAsia"/>
                <w:b/>
                <w:bCs/>
                <w:color w:val="000000" w:themeColor="text1"/>
                <w:sz w:val="21"/>
                <w:szCs w:val="21"/>
                <w:highlight w:val="none"/>
                <w14:textFill>
                  <w14:solidFill>
                    <w14:schemeClr w14:val="tx1"/>
                  </w14:solidFill>
                </w14:textFill>
              </w:rPr>
              <w:t>公章或密封章。</w:t>
            </w:r>
          </w:p>
        </w:tc>
      </w:tr>
      <w:tr w14:paraId="633D8E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5E704617">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11</w:t>
            </w:r>
          </w:p>
        </w:tc>
        <w:tc>
          <w:tcPr>
            <w:tcW w:w="1750" w:type="dxa"/>
            <w:vAlign w:val="center"/>
          </w:tcPr>
          <w:p w14:paraId="774CA95C">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中标候选供应商推荐家数</w:t>
            </w:r>
          </w:p>
        </w:tc>
        <w:tc>
          <w:tcPr>
            <w:tcW w:w="6672" w:type="dxa"/>
            <w:gridSpan w:val="2"/>
            <w:vAlign w:val="center"/>
          </w:tcPr>
          <w:p w14:paraId="438D6233">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采购包1：3家</w:t>
            </w:r>
          </w:p>
        </w:tc>
      </w:tr>
      <w:tr w14:paraId="419045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1D3BAF37">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12</w:t>
            </w:r>
          </w:p>
        </w:tc>
        <w:tc>
          <w:tcPr>
            <w:tcW w:w="1750" w:type="dxa"/>
            <w:vAlign w:val="center"/>
          </w:tcPr>
          <w:p w14:paraId="608621D6">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中标供应商数量</w:t>
            </w:r>
          </w:p>
        </w:tc>
        <w:tc>
          <w:tcPr>
            <w:tcW w:w="6672" w:type="dxa"/>
            <w:gridSpan w:val="2"/>
            <w:vAlign w:val="center"/>
          </w:tcPr>
          <w:p w14:paraId="5350B4DF">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采购包1：1家</w:t>
            </w:r>
          </w:p>
        </w:tc>
      </w:tr>
      <w:tr w14:paraId="6685B2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62DFF66E">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13</w:t>
            </w:r>
          </w:p>
        </w:tc>
        <w:tc>
          <w:tcPr>
            <w:tcW w:w="1750" w:type="dxa"/>
            <w:vAlign w:val="center"/>
          </w:tcPr>
          <w:p w14:paraId="10A83C2F">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有效供应商家数</w:t>
            </w:r>
          </w:p>
        </w:tc>
        <w:tc>
          <w:tcPr>
            <w:tcW w:w="6672" w:type="dxa"/>
            <w:gridSpan w:val="2"/>
            <w:vAlign w:val="center"/>
          </w:tcPr>
          <w:p w14:paraId="60C4C5C0">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采购包1：3家</w:t>
            </w:r>
          </w:p>
          <w:p w14:paraId="23A4B970">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此人数约定了开标与评标过程中的最低有效供应商家数，当家数不足时项目将不得开标、不得评标或直接废标。</w:t>
            </w:r>
          </w:p>
        </w:tc>
      </w:tr>
      <w:tr w14:paraId="13C5F8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71208D4C">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14</w:t>
            </w:r>
          </w:p>
        </w:tc>
        <w:tc>
          <w:tcPr>
            <w:tcW w:w="1750" w:type="dxa"/>
            <w:vAlign w:val="center"/>
          </w:tcPr>
          <w:p w14:paraId="431780EF">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项目兼投兼中（兼投不兼中）规则</w:t>
            </w:r>
          </w:p>
        </w:tc>
        <w:tc>
          <w:tcPr>
            <w:tcW w:w="6672" w:type="dxa"/>
            <w:gridSpan w:val="2"/>
            <w:vAlign w:val="center"/>
          </w:tcPr>
          <w:p w14:paraId="63240E2A">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无</w:t>
            </w:r>
          </w:p>
        </w:tc>
      </w:tr>
      <w:tr w14:paraId="201A67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65A5F4DF">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15</w:t>
            </w:r>
          </w:p>
        </w:tc>
        <w:tc>
          <w:tcPr>
            <w:tcW w:w="1750" w:type="dxa"/>
            <w:vAlign w:val="center"/>
          </w:tcPr>
          <w:p w14:paraId="5C3C3DFE">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中标供应商确定方式</w:t>
            </w:r>
          </w:p>
        </w:tc>
        <w:tc>
          <w:tcPr>
            <w:tcW w:w="6672" w:type="dxa"/>
            <w:gridSpan w:val="2"/>
            <w:vAlign w:val="center"/>
          </w:tcPr>
          <w:p w14:paraId="357E563C">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采购人按照评审报告中推荐的成交候选人确定中标（成交）人。</w:t>
            </w:r>
          </w:p>
        </w:tc>
      </w:tr>
      <w:tr w14:paraId="61372C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6AD69717">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16</w:t>
            </w:r>
          </w:p>
        </w:tc>
        <w:tc>
          <w:tcPr>
            <w:tcW w:w="1750" w:type="dxa"/>
            <w:vAlign w:val="center"/>
          </w:tcPr>
          <w:p w14:paraId="17A7FCB7">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代理服务费</w:t>
            </w:r>
          </w:p>
        </w:tc>
        <w:tc>
          <w:tcPr>
            <w:tcW w:w="6672" w:type="dxa"/>
            <w:gridSpan w:val="2"/>
            <w:vAlign w:val="center"/>
          </w:tcPr>
          <w:p w14:paraId="24BB4648">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收取。</w:t>
            </w:r>
          </w:p>
          <w:p w14:paraId="59CC8D1A">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机构代理服务收费标准：招标代理服务费按差额定率累进法计算。收费标准参照原国家发展计划委员会颁发的计价格[2002]1980号文《招标代理服务收费管理暂行办法》及国家发改委[2003]857号文及发改价格[2011]534号文规定，当招标代理服务费计算不足</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70</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00元按定额</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70</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00元收取。</w:t>
            </w:r>
            <w:r>
              <w:rPr>
                <w:rFonts w:hint="eastAsia" w:asciiTheme="minorEastAsia" w:hAnsiTheme="minorEastAsia" w:eastAsiaTheme="minorEastAsia" w:cstheme="minorEastAsia"/>
                <w:b/>
                <w:bCs/>
                <w:color w:val="000000" w:themeColor="text1"/>
                <w:sz w:val="21"/>
                <w:szCs w:val="21"/>
                <w:highlight w:val="none"/>
                <w14:textFill>
                  <w14:solidFill>
                    <w14:schemeClr w14:val="tx1"/>
                  </w14:solidFill>
                </w14:textFill>
              </w:rPr>
              <w:t>中标服务费由中标人在领取中标通知书前以银行转账方式一次性支付。</w:t>
            </w:r>
          </w:p>
        </w:tc>
      </w:tr>
      <w:tr w14:paraId="103519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1BCCF9C4">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17</w:t>
            </w:r>
          </w:p>
        </w:tc>
        <w:tc>
          <w:tcPr>
            <w:tcW w:w="1750" w:type="dxa"/>
            <w:vAlign w:val="center"/>
          </w:tcPr>
          <w:p w14:paraId="560D427E">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代理服务费收取方式</w:t>
            </w:r>
          </w:p>
        </w:tc>
        <w:tc>
          <w:tcPr>
            <w:tcW w:w="6672" w:type="dxa"/>
            <w:gridSpan w:val="2"/>
            <w:vAlign w:val="center"/>
          </w:tcPr>
          <w:p w14:paraId="390E0C2E">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向中标/成交供应商收取</w:t>
            </w:r>
          </w:p>
        </w:tc>
      </w:tr>
      <w:tr w14:paraId="604CAF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176F2388">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18</w:t>
            </w:r>
          </w:p>
        </w:tc>
        <w:tc>
          <w:tcPr>
            <w:tcW w:w="1750" w:type="dxa"/>
            <w:vAlign w:val="center"/>
          </w:tcPr>
          <w:p w14:paraId="666C3ABA">
            <w:pPr>
              <w:spacing w:line="300" w:lineRule="exact"/>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中标服务费</w:t>
            </w:r>
          </w:p>
          <w:p w14:paraId="1FC6D0EE">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（以银行转账、电汇方式提交）</w:t>
            </w:r>
          </w:p>
        </w:tc>
        <w:tc>
          <w:tcPr>
            <w:tcW w:w="6672" w:type="dxa"/>
            <w:gridSpan w:val="2"/>
            <w:vAlign w:val="center"/>
          </w:tcPr>
          <w:p w14:paraId="36B85003">
            <w:pPr>
              <w:spacing w:line="300" w:lineRule="exact"/>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开户名称</w:t>
            </w:r>
            <w:r>
              <w:rPr>
                <w:rFonts w:hint="eastAsia" w:ascii="宋体" w:hAnsi="宋体" w:cs="宋体"/>
                <w:b/>
                <w:bCs/>
                <w:color w:val="000000" w:themeColor="text1"/>
                <w:szCs w:val="21"/>
                <w:highlight w:val="none"/>
                <w:lang w:eastAsia="zh-CN"/>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广东业信采购招标有限公司</w:t>
            </w:r>
          </w:p>
          <w:p w14:paraId="6649E2F5">
            <w:pPr>
              <w:spacing w:line="300" w:lineRule="exact"/>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账    号</w:t>
            </w:r>
            <w:r>
              <w:rPr>
                <w:rFonts w:hint="eastAsia" w:ascii="宋体" w:hAnsi="宋体" w:cs="宋体"/>
                <w:b/>
                <w:bCs/>
                <w:color w:val="000000" w:themeColor="text1"/>
                <w:szCs w:val="21"/>
                <w:highlight w:val="none"/>
                <w:lang w:eastAsia="zh-CN"/>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44547801040002249</w:t>
            </w:r>
          </w:p>
          <w:p w14:paraId="6BA88892">
            <w:pPr>
              <w:spacing w:line="300" w:lineRule="exact"/>
              <w:jc w:val="left"/>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开户银行</w:t>
            </w:r>
            <w:r>
              <w:rPr>
                <w:rFonts w:hint="eastAsia" w:ascii="宋体" w:hAnsi="宋体" w:cs="宋体"/>
                <w:b/>
                <w:bCs/>
                <w:color w:val="000000" w:themeColor="text1"/>
                <w:szCs w:val="21"/>
                <w:highlight w:val="none"/>
                <w:lang w:eastAsia="zh-CN"/>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中国农业银行股份有限公司阳江江城支行</w:t>
            </w:r>
          </w:p>
        </w:tc>
      </w:tr>
      <w:tr w14:paraId="5FC772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Align w:val="center"/>
          </w:tcPr>
          <w:p w14:paraId="661D196D">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19</w:t>
            </w:r>
          </w:p>
        </w:tc>
        <w:tc>
          <w:tcPr>
            <w:tcW w:w="1750" w:type="dxa"/>
            <w:vAlign w:val="center"/>
          </w:tcPr>
          <w:p w14:paraId="71F0E914">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专门面向中小企业采购</w:t>
            </w:r>
          </w:p>
        </w:tc>
        <w:tc>
          <w:tcPr>
            <w:tcW w:w="6672" w:type="dxa"/>
            <w:gridSpan w:val="2"/>
            <w:vAlign w:val="center"/>
          </w:tcPr>
          <w:p w14:paraId="49ABE3E4">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w:t>
            </w:r>
            <w:r>
              <w:rPr>
                <w:color w:val="000000" w:themeColor="text1"/>
                <w:highlight w:val="none"/>
                <w14:textFill>
                  <w14:solidFill>
                    <w14:schemeClr w14:val="tx1"/>
                  </w14:solidFill>
                </w14:textFill>
              </w:rPr>
              <w:t>面向</w:t>
            </w:r>
            <w:r>
              <w:rPr>
                <w:rFonts w:hint="eastAsia"/>
                <w:color w:val="000000" w:themeColor="text1"/>
                <w:highlight w:val="none"/>
                <w:lang w:val="en-US" w:eastAsia="zh-CN"/>
                <w14:textFill>
                  <w14:solidFill>
                    <w14:schemeClr w14:val="tx1"/>
                  </w14:solidFill>
                </w14:textFill>
              </w:rPr>
              <w:t>中小</w:t>
            </w:r>
            <w:r>
              <w:rPr>
                <w:color w:val="000000" w:themeColor="text1"/>
                <w:highlight w:val="none"/>
                <w14:textFill>
                  <w14:solidFill>
                    <w14:schemeClr w14:val="tx1"/>
                  </w14:solidFill>
                </w14:textFill>
              </w:rPr>
              <w:t>企业，采购包专门预留</w:t>
            </w:r>
          </w:p>
        </w:tc>
      </w:tr>
      <w:tr w14:paraId="693CC6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Merge w:val="restart"/>
            <w:vAlign w:val="center"/>
          </w:tcPr>
          <w:p w14:paraId="7B0754AF">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20</w:t>
            </w:r>
          </w:p>
        </w:tc>
        <w:tc>
          <w:tcPr>
            <w:tcW w:w="1750" w:type="dxa"/>
            <w:vMerge w:val="restart"/>
            <w:vAlign w:val="center"/>
          </w:tcPr>
          <w:p w14:paraId="6352F5FC">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信息公告媒体</w:t>
            </w:r>
          </w:p>
        </w:tc>
        <w:tc>
          <w:tcPr>
            <w:tcW w:w="3007" w:type="dxa"/>
            <w:tcBorders>
              <w:right w:val="single" w:color="auto" w:sz="4" w:space="0"/>
            </w:tcBorders>
            <w:vAlign w:val="center"/>
          </w:tcPr>
          <w:p w14:paraId="271A37C1">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default" w:ascii="宋体" w:hAnsi="宋体"/>
                <w:color w:val="000000" w:themeColor="text1"/>
                <w:szCs w:val="21"/>
                <w:highlight w:val="none"/>
                <w:lang w:val="en-US" w:eastAsia="zh-CN"/>
                <w14:textFill>
                  <w14:solidFill>
                    <w14:schemeClr w14:val="tx1"/>
                  </w14:solidFill>
                </w14:textFill>
              </w:rPr>
              <w:t>全国招标采购公共服务平台</w:t>
            </w:r>
          </w:p>
        </w:tc>
        <w:tc>
          <w:tcPr>
            <w:tcW w:w="3665" w:type="dxa"/>
            <w:tcBorders>
              <w:left w:val="single" w:color="auto" w:sz="4" w:space="0"/>
            </w:tcBorders>
            <w:vAlign w:val="center"/>
          </w:tcPr>
          <w:p w14:paraId="10DE389C">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color w:val="000000" w:themeColor="text1"/>
                <w:szCs w:val="21"/>
                <w:highlight w:val="none"/>
                <w:lang w:val="en-US" w:eastAsia="zh-CN"/>
                <w14:textFill>
                  <w14:solidFill>
                    <w14:schemeClr w14:val="tx1"/>
                  </w14:solidFill>
                </w14:textFill>
              </w:rPr>
              <w:t>https://www.hnzbcgxxw.com/</w:t>
            </w:r>
          </w:p>
        </w:tc>
      </w:tr>
      <w:tr w14:paraId="26F52C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Merge w:val="continue"/>
            <w:vAlign w:val="center"/>
          </w:tcPr>
          <w:p w14:paraId="5D098B65">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pPr>
          </w:p>
        </w:tc>
        <w:tc>
          <w:tcPr>
            <w:tcW w:w="1750" w:type="dxa"/>
            <w:vMerge w:val="continue"/>
            <w:vAlign w:val="center"/>
          </w:tcPr>
          <w:p w14:paraId="5A522390">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3007" w:type="dxa"/>
            <w:vMerge w:val="restart"/>
            <w:tcBorders>
              <w:right w:val="single" w:color="auto" w:sz="4" w:space="0"/>
            </w:tcBorders>
            <w:vAlign w:val="center"/>
          </w:tcPr>
          <w:p w14:paraId="00D3BA47">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广东业信采购招标有限公司网</w:t>
            </w:r>
          </w:p>
        </w:tc>
        <w:tc>
          <w:tcPr>
            <w:tcW w:w="3665" w:type="dxa"/>
            <w:tcBorders>
              <w:left w:val="single" w:color="auto" w:sz="4" w:space="0"/>
            </w:tcBorders>
            <w:shd w:val="clear" w:color="auto" w:fill="auto"/>
            <w:vAlign w:val="center"/>
          </w:tcPr>
          <w:p w14:paraId="6EB908E9">
            <w:pPr>
              <w:spacing w:line="400" w:lineRule="exact"/>
              <w:rPr>
                <w:rFonts w:hint="eastAsia" w:ascii="宋体" w:hAnsi="宋体" w:eastAsia="宋体" w:cs="Times New Roman"/>
                <w:color w:val="000000" w:themeColor="text1"/>
                <w:kern w:val="2"/>
                <w:sz w:val="21"/>
                <w:szCs w:val="21"/>
                <w:highlight w:val="none"/>
                <w:lang w:val="en-US" w:eastAsia="zh-CN" w:bidi="ar-SA"/>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"http://www.gdgpo.gov.cn" </w:instrText>
            </w:r>
            <w:r>
              <w:rPr>
                <w:color w:val="000000" w:themeColor="text1"/>
                <w:highlight w:val="none"/>
                <w14:textFill>
                  <w14:solidFill>
                    <w14:schemeClr w14:val="tx1"/>
                  </w14:solidFill>
                </w14:textFill>
              </w:rPr>
              <w:fldChar w:fldCharType="separate"/>
            </w:r>
            <w:r>
              <w:rPr>
                <w:rFonts w:ascii="宋体" w:hAnsi="宋体"/>
                <w:color w:val="000000" w:themeColor="text1"/>
                <w:szCs w:val="21"/>
                <w:highlight w:val="none"/>
                <w14:textFill>
                  <w14:solidFill>
                    <w14:schemeClr w14:val="tx1"/>
                  </w14:solidFill>
                </w14:textFill>
              </w:rPr>
              <w:t>http://www.gdgpo.</w:t>
            </w:r>
            <w:r>
              <w:rPr>
                <w:rFonts w:hint="eastAsia" w:ascii="宋体" w:hAnsi="宋体"/>
                <w:color w:val="000000" w:themeColor="text1"/>
                <w:szCs w:val="21"/>
                <w:highlight w:val="none"/>
                <w14:textFill>
                  <w14:solidFill>
                    <w14:schemeClr w14:val="tx1"/>
                  </w14:solidFill>
                </w14:textFill>
              </w:rPr>
              <w:t>com.</w:t>
            </w:r>
            <w:r>
              <w:rPr>
                <w:rFonts w:ascii="宋体" w:hAnsi="宋体"/>
                <w:color w:val="000000" w:themeColor="text1"/>
                <w:szCs w:val="21"/>
                <w:highlight w:val="none"/>
                <w14:textFill>
                  <w14:solidFill>
                    <w14:schemeClr w14:val="tx1"/>
                  </w14:solidFill>
                </w14:textFill>
              </w:rPr>
              <w:t>cn</w:t>
            </w:r>
            <w:r>
              <w:rPr>
                <w:rFonts w:ascii="宋体" w:hAnsi="宋体"/>
                <w:color w:val="000000" w:themeColor="text1"/>
                <w:szCs w:val="21"/>
                <w:highlight w:val="none"/>
                <w14:textFill>
                  <w14:solidFill>
                    <w14:schemeClr w14:val="tx1"/>
                  </w14:solidFill>
                </w14:textFill>
              </w:rPr>
              <w:fldChar w:fldCharType="end"/>
            </w:r>
          </w:p>
        </w:tc>
      </w:tr>
      <w:tr w14:paraId="643802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4" w:hRule="atLeast"/>
          <w:jc w:val="center"/>
        </w:trPr>
        <w:tc>
          <w:tcPr>
            <w:tcW w:w="649" w:type="dxa"/>
            <w:vMerge w:val="continue"/>
            <w:vAlign w:val="center"/>
          </w:tcPr>
          <w:p w14:paraId="6317163F">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pPr>
          </w:p>
        </w:tc>
        <w:tc>
          <w:tcPr>
            <w:tcW w:w="1750" w:type="dxa"/>
            <w:vMerge w:val="continue"/>
            <w:vAlign w:val="center"/>
          </w:tcPr>
          <w:p w14:paraId="068391B1">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3007" w:type="dxa"/>
            <w:vMerge w:val="continue"/>
            <w:tcBorders>
              <w:right w:val="single" w:color="auto" w:sz="4" w:space="0"/>
            </w:tcBorders>
            <w:vAlign w:val="center"/>
          </w:tcPr>
          <w:p w14:paraId="7016DC9C">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3665" w:type="dxa"/>
            <w:tcBorders>
              <w:left w:val="single" w:color="auto" w:sz="4" w:space="0"/>
            </w:tcBorders>
            <w:vAlign w:val="center"/>
          </w:tcPr>
          <w:p w14:paraId="4530A8BD">
            <w:pPr>
              <w:pStyle w:val="19"/>
              <w:keepNext w:val="0"/>
              <w:keepLines w:val="0"/>
              <w:pageBreakBefore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http://www.yjcg.cc</w:t>
            </w:r>
          </w:p>
        </w:tc>
      </w:tr>
    </w:tbl>
    <w:p w14:paraId="379CD7AA">
      <w:pPr>
        <w:rPr>
          <w:rFonts w:hint="eastAsia"/>
          <w:color w:val="000000" w:themeColor="text1"/>
          <w:highlight w:val="none"/>
          <w14:textFill>
            <w14:solidFill>
              <w14:schemeClr w14:val="tx1"/>
            </w14:solidFill>
          </w14:textFill>
        </w:rPr>
      </w:pPr>
    </w:p>
    <w:p w14:paraId="327CE6C0">
      <w:pPr>
        <w:rPr>
          <w:rFonts w:hint="eastAsia"/>
          <w:color w:val="000000" w:themeColor="text1"/>
          <w:highlight w:val="none"/>
          <w14:textFill>
            <w14:solidFill>
              <w14:schemeClr w14:val="tx1"/>
            </w14:solidFill>
          </w14:textFill>
        </w:rPr>
      </w:pPr>
    </w:p>
    <w:p w14:paraId="5C028B5A">
      <w:pPr>
        <w:pStyle w:val="19"/>
        <w:keepNext w:val="0"/>
        <w:keepLines w:val="0"/>
        <w:pageBreakBefore w:val="0"/>
        <w:widowControl/>
        <w:kinsoku/>
        <w:wordWrap/>
        <w:overflowPunct/>
        <w:topLinePunct w:val="0"/>
        <w:autoSpaceDE/>
        <w:autoSpaceDN/>
        <w:bidi w:val="0"/>
        <w:adjustRightInd/>
        <w:snapToGrid/>
        <w:spacing w:line="360" w:lineRule="auto"/>
        <w:textAlignment w:val="auto"/>
        <w:outlineLvl w:val="1"/>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5" w:name="_Toc3307"/>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三、说明</w:t>
      </w:r>
      <w:bookmarkEnd w:id="5"/>
    </w:p>
    <w:p w14:paraId="7CD36959">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1.总则</w:t>
      </w:r>
    </w:p>
    <w:p w14:paraId="76447BD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采购人、采购代理机构及投标人进行的本次采购活动适用《中华人民共和国政府采购法》及其配套的法规、规章、政策。</w:t>
      </w:r>
    </w:p>
    <w:p w14:paraId="4D5D8127">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投标人应仔细阅读本项目招标公告及招标文件的所有内容（包括变更、补充、澄清以及修改等，且均为招标文件的组成部分），按照招标文件要求以及格式编制投标文件，并保证其真实性，否则一切后果自负。</w:t>
      </w:r>
    </w:p>
    <w:p w14:paraId="4011422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本次公开招标项目，是以招标公告的方式邀请非特定的投标人参加投标。</w:t>
      </w:r>
    </w:p>
    <w:p w14:paraId="5E57798D">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2.适用范围</w:t>
      </w:r>
    </w:p>
    <w:p w14:paraId="7ACC7B4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本招标文件仅适用于本次招标公告中所涉及的项目和内容。</w:t>
      </w:r>
    </w:p>
    <w:p w14:paraId="481D2AC0">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3.进口产品</w:t>
      </w:r>
    </w:p>
    <w:p w14:paraId="6F48B10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若本项目允许采购进口产品，供应商应保证所投产品可履行合法报通关手续进入中国关境内。</w:t>
      </w:r>
    </w:p>
    <w:p w14:paraId="2EA4E03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若本项目不允许采购进口产品，如供应商所投产品为进口产品，其响应将被认定为响应无效。</w:t>
      </w:r>
    </w:p>
    <w:p w14:paraId="394375A6">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4.投标的费用</w:t>
      </w:r>
    </w:p>
    <w:p w14:paraId="4040BC8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不论投标结果如何，投标人应承担所有与准备和参加投标有关的费用。采购代理机构和采购人均无义务和责任承担相关费用。</w:t>
      </w:r>
    </w:p>
    <w:p w14:paraId="1D9A9438">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5.以联合体形式投标的，应符合以下规定：</w:t>
      </w:r>
    </w:p>
    <w:p w14:paraId="38DB834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5.1联合体各方均应当满足《中华人民共和国政府采购法》第二十二条规定的条件，并在投标文件中提供联合体各方的相关证明材料。</w:t>
      </w:r>
    </w:p>
    <w:p w14:paraId="7FFA9C0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5.2 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14:paraId="33BDC65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5.3 联合体名称需与共同投标协议书签署方一致。对于需交投标保证金的，以牵头方名义缴纳。</w:t>
      </w:r>
    </w:p>
    <w:p w14:paraId="28DBC92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5.4联合体成员存在不良信用记录的，视同联合体存在不良信用记录。</w:t>
      </w:r>
    </w:p>
    <w:p w14:paraId="11B48257">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14:paraId="3108D767">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5.6联合体各方应当共同与采购人签订采购合同，就合同约定的事项对采购人承担连带责任。</w:t>
      </w:r>
    </w:p>
    <w:p w14:paraId="14B36684">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6.关联企业投标说明</w:t>
      </w:r>
    </w:p>
    <w:p w14:paraId="0209A83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6.1 对于不接受联合体投标的采购项目（采购包）：法定代表人或单位负责人为同一个人或者存在直接控股、管理关系的不同供应商，不得同时参加同一项目或同一采购包的投标。如同时参加，则其投标将被拒绝。</w:t>
      </w:r>
    </w:p>
    <w:p w14:paraId="2D2E770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6.2 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p w14:paraId="59291980">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7.关于中小微企业投标</w:t>
      </w:r>
    </w:p>
    <w:p w14:paraId="1FC389B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14:paraId="1CAD07D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13113BC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14:paraId="4C2FDB2D">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8.纪律与保密事项</w:t>
      </w:r>
    </w:p>
    <w:p w14:paraId="6A4AF10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8.1投标人不得相互串通投标报价，不得妨碍其他投标人的公平竞争，不得损害采购人或其他投标人的合法权益，投标人不得以向采购人、评标委员会成员行贿或者采取其他不正当手段谋取中标。</w:t>
      </w:r>
    </w:p>
    <w:p w14:paraId="720B021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8.2在确定中标供应商之前，投标人不得与采购人就投标价格、投标方案等实质性内容进行谈判，也不得私下接触评标委员会成员。</w:t>
      </w:r>
    </w:p>
    <w:p w14:paraId="79643BE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8.3在确定中标供应商之前，投标人试图在投标文件审查、澄清、比较和评价时对评标委员会、采购人和采购代理机构施加任何影响都可能导致其投标无效。</w:t>
      </w:r>
    </w:p>
    <w:p w14:paraId="484ACC5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8.4获得本招标文件者，须履行本项目下保密义务，不得将因本次项目获得的信息向第三人外传，不得将招标文件用作本次投标以外的任何用途。</w:t>
      </w:r>
    </w:p>
    <w:p w14:paraId="7D1A37C3">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8.5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14:paraId="7A99F59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8.6采购人或采购代理机构有权将供应商提供的所有资料向有关政府部门或评审小组披露。</w:t>
      </w:r>
    </w:p>
    <w:p w14:paraId="0BFC01A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14:paraId="2580D64D">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9.语言文字以及度量衡单位</w:t>
      </w:r>
    </w:p>
    <w:p w14:paraId="1E7C3A6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639E27D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9.2除非招标文件的技术规格中另有规定，投标人在投标文件中及其与采购人和采购代理机构的所有往来文件中的计量单位均应采用中华人民共和国法定计量单位。</w:t>
      </w:r>
    </w:p>
    <w:p w14:paraId="5849317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9.3投标人所提供的货物和服务均应以人民币报价，货币单位：元。</w:t>
      </w:r>
    </w:p>
    <w:p w14:paraId="77E9C962">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10. 现场踏勘（如有）</w:t>
      </w:r>
    </w:p>
    <w:p w14:paraId="463A8BA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10.1招标文件规定组织踏勘现场的，采购人按招标文件规定的时间、地点组织投标人踏勘项目现场。</w:t>
      </w:r>
    </w:p>
    <w:p w14:paraId="4D22F07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10.2投标人自行承担踏勘现场发生的责任、风险和自身费用。</w:t>
      </w:r>
    </w:p>
    <w:p w14:paraId="60CEBEA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10.3采购人在踏勘现场中介绍的资料和数据等，只是为了使投标人能够利用招标人现有的资料。招标人对投标人由此而作出的推论、解释和结论概不负责。</w:t>
      </w:r>
    </w:p>
    <w:p w14:paraId="430FC3E3">
      <w:pPr>
        <w:pStyle w:val="19"/>
        <w:keepNext w:val="0"/>
        <w:keepLines w:val="0"/>
        <w:pageBreakBefore w:val="0"/>
        <w:widowControl/>
        <w:kinsoku/>
        <w:wordWrap/>
        <w:overflowPunct/>
        <w:topLinePunct w:val="0"/>
        <w:autoSpaceDE/>
        <w:autoSpaceDN/>
        <w:bidi w:val="0"/>
        <w:adjustRightInd/>
        <w:snapToGrid/>
        <w:spacing w:line="360" w:lineRule="auto"/>
        <w:textAlignment w:val="auto"/>
        <w:outlineLvl w:val="1"/>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6" w:name="_Toc16515"/>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四、招标文件的澄清和修改</w:t>
      </w:r>
      <w:bookmarkEnd w:id="6"/>
    </w:p>
    <w:p w14:paraId="180ADBD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14:paraId="1613AD7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14:paraId="7FF7F039">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3.如更正公告有重新发布招标文件的，供应商应下载最新发布的招标文件制作投标文件。</w:t>
      </w:r>
    </w:p>
    <w:p w14:paraId="5007A26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4.投标人在规定的时间内未对招标文件提出疑问、质疑或要求澄清的，将视其为无异议。对招标文件中描述有歧义或前后不一致的地方，评标委员会有权进行评判，但对同一条款的评判应适用于每个投标人。</w:t>
      </w:r>
    </w:p>
    <w:p w14:paraId="05276A8E">
      <w:pPr>
        <w:pStyle w:val="19"/>
        <w:keepNext w:val="0"/>
        <w:keepLines w:val="0"/>
        <w:pageBreakBefore w:val="0"/>
        <w:widowControl/>
        <w:kinsoku/>
        <w:wordWrap/>
        <w:overflowPunct/>
        <w:topLinePunct w:val="0"/>
        <w:autoSpaceDE/>
        <w:autoSpaceDN/>
        <w:bidi w:val="0"/>
        <w:adjustRightInd/>
        <w:snapToGrid/>
        <w:spacing w:line="360" w:lineRule="auto"/>
        <w:textAlignment w:val="auto"/>
        <w:outlineLvl w:val="1"/>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7" w:name="_Toc20864"/>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五、投标要求</w:t>
      </w:r>
      <w:bookmarkEnd w:id="7"/>
    </w:p>
    <w:p w14:paraId="3B575A99">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1.投标登记</w:t>
      </w:r>
    </w:p>
    <w:p w14:paraId="5948DFA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投标人应</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在代理机构完</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成项目投标登记并</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购买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招标文件（未按上述方式获取招标文件的供应商，其投标资格将被视为无效）。</w:t>
      </w:r>
    </w:p>
    <w:p w14:paraId="6B5ED82A">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2.投标文件的制作</w:t>
      </w:r>
    </w:p>
    <w:p w14:paraId="5DC7B997">
      <w:pPr>
        <w:pStyle w:val="19"/>
        <w:keepNext w:val="0"/>
        <w:keepLines w:val="0"/>
        <w:pageBreakBefore w:val="0"/>
        <w:kinsoku/>
        <w:wordWrap/>
        <w:overflowPunct/>
        <w:topLinePunct w:val="0"/>
        <w:autoSpaceDE/>
        <w:autoSpaceDN/>
        <w:bidi w:val="0"/>
        <w:adjustRightInd/>
        <w:snapToGrid/>
        <w:spacing w:line="360" w:lineRule="auto"/>
        <w:ind w:firstLine="630" w:firstLineChars="3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2.1投标文件中，其格式要求详见第六章说明。如因不按要求编制，其后果由投标人承担。</w:t>
      </w:r>
    </w:p>
    <w:p w14:paraId="4611890A">
      <w:pPr>
        <w:pStyle w:val="19"/>
        <w:keepNext w:val="0"/>
        <w:keepLines w:val="0"/>
        <w:pageBreakBefore w:val="0"/>
        <w:kinsoku/>
        <w:wordWrap/>
        <w:overflowPunct/>
        <w:topLinePunct w:val="0"/>
        <w:autoSpaceDE/>
        <w:autoSpaceDN/>
        <w:bidi w:val="0"/>
        <w:adjustRightInd/>
        <w:snapToGrid/>
        <w:spacing w:line="360" w:lineRule="auto"/>
        <w:ind w:firstLine="630" w:firstLineChars="3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2.2投标人应</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正确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编制、标记投标文件。关于投标报价（如有报价）说明如下：</w:t>
      </w:r>
    </w:p>
    <w:p w14:paraId="5D15734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投标人应按照“第二章采购需求”的需求内容、责任范围以及合同条款进行报价。并按“开标一览表”和“分项报价表”规定的格式报出总价和分项价格。投标总价中不得包含招标文件要求以外的内容，否则，在评审时不予核减。</w:t>
      </w:r>
    </w:p>
    <w:p w14:paraId="73C4DBF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(2)投标报价包括本项目采购需求和投入使用的所有费用，包括但不限于主件、标准附件、备品备件、施工、服务、专用工具、安装、调试、检验、培训、运输、保险、税款等。</w:t>
      </w:r>
    </w:p>
    <w:p w14:paraId="69E8A34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2.3 如有对多个采购包投标的，要对每个采购包独立制作投标文件。</w:t>
      </w:r>
    </w:p>
    <w:p w14:paraId="2ED2B7B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2.4投标人不得将同一个项目或同一个采购包的内容拆开投标，否则其报价将被视为非实质性响应。</w:t>
      </w:r>
    </w:p>
    <w:p w14:paraId="1620F0C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2.5投标人须对招标文件的对应要求给予唯一的实质性响应，否则将视为不响应。</w:t>
      </w:r>
    </w:p>
    <w:p w14:paraId="30898B9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2.6招标文件中，凡标有“★”的地方均为实质性响应条款，投标人若有一项带“★”的条款未响应或不满足，将按无效投标处理。</w:t>
      </w:r>
    </w:p>
    <w:p w14:paraId="532AA463">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2.7投标人必须按招标文件指定的格式填写各种报价，各报价应计算正确。除在招标文件另有规定外（如：报折扣、报优惠率等），计量单位应使用中华人民共和国法定计量单位，以人民币填报所有报价。</w:t>
      </w:r>
    </w:p>
    <w:p w14:paraId="4A8112B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2.8投标文件以及投标人与采购人、代理机构就有关投标的往来函电均应使用中文。投标人提交的支持性文件和印制的文件可以用另一种语言，但相应内容应翻译成中文，在解释投标文件时以中文文本为准。</w:t>
      </w:r>
    </w:p>
    <w:p w14:paraId="79C999E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2.9投标人应按招标文件的规定及附件要求的内容和格式完整地填写和提供资料。投标人必须对投标文件所提供的全部资料的真实性承担法律责任，并无条件接受采购人对其中任何资料进行核实（核对原件）的要求。</w:t>
      </w:r>
    </w:p>
    <w:p w14:paraId="53739DF6">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3.投标文件的提交</w:t>
      </w:r>
    </w:p>
    <w:p w14:paraId="019643D8">
      <w:pPr>
        <w:widowControl/>
        <w:tabs>
          <w:tab w:val="left" w:pos="753"/>
        </w:tabs>
        <w:adjustRightInd w:val="0"/>
        <w:snapToGrid w:val="0"/>
        <w:spacing w:line="360" w:lineRule="auto"/>
        <w:ind w:left="741" w:leftChars="200" w:hanging="321" w:hangingChars="153"/>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 xml:space="preserve"> 3.1</w:t>
      </w: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递交投标文件的地点与开标的地点为同一地点；投标截止时间与开标时间为同一时间。</w:t>
      </w:r>
    </w:p>
    <w:p w14:paraId="0C2061FB">
      <w:pPr>
        <w:widowControl/>
        <w:tabs>
          <w:tab w:val="left" w:pos="753"/>
        </w:tabs>
        <w:adjustRightInd w:val="0"/>
        <w:snapToGrid w:val="0"/>
        <w:spacing w:line="360" w:lineRule="auto"/>
        <w:ind w:left="0" w:leftChars="0" w:firstLine="420" w:firstLineChars="200"/>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.2投标文件需由专人送交。投标人须将密封和标记后的投标文件，按照招标文件中注明的开标地址于投标截止时间之前送交代理采购机构。</w:t>
      </w:r>
    </w:p>
    <w:p w14:paraId="30148371">
      <w:pPr>
        <w:widowControl/>
        <w:tabs>
          <w:tab w:val="left" w:pos="753"/>
        </w:tabs>
        <w:adjustRightInd w:val="0"/>
        <w:snapToGrid w:val="0"/>
        <w:spacing w:line="360" w:lineRule="auto"/>
        <w:ind w:left="741" w:leftChars="200" w:hanging="321" w:hangingChars="153"/>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bookmarkStart w:id="8" w:name="_Toc366072519"/>
      <w:bookmarkStart w:id="9" w:name="_Toc503785420"/>
      <w:bookmarkStart w:id="10" w:name="_Toc345513858"/>
      <w:bookmarkStart w:id="11" w:name="_Toc333935678"/>
      <w:bookmarkStart w:id="12" w:name="_Toc332206699"/>
      <w:bookmarkStart w:id="13" w:name="_Toc342296751"/>
      <w:bookmarkStart w:id="14" w:name="_Toc339441078"/>
      <w:bookmarkStart w:id="15" w:name="_Toc349143580"/>
      <w:bookmarkStart w:id="16" w:name="_Toc365967064"/>
      <w:bookmarkStart w:id="17" w:name="_Toc341348329"/>
      <w:bookmarkStart w:id="18" w:name="_Toc339020224"/>
      <w:bookmarkStart w:id="19" w:name="_Toc374454591"/>
      <w:bookmarkStart w:id="20" w:name="_Toc350438740"/>
      <w:bookmarkStart w:id="21" w:name="_Toc497224218"/>
      <w:bookmarkStart w:id="22" w:name="_Toc336681571"/>
      <w:bookmarkStart w:id="23" w:name="_Toc340677061"/>
      <w:bookmarkStart w:id="24" w:name="_Toc333238624"/>
      <w:bookmarkStart w:id="25" w:name="_Toc349127617"/>
      <w:bookmarkStart w:id="26" w:name="_Toc339019880"/>
      <w:bookmarkStart w:id="27" w:name="_Toc339020086"/>
      <w:bookmarkStart w:id="28" w:name="_Toc333935337"/>
      <w:bookmarkStart w:id="29" w:name="_Toc333237779"/>
      <w:bookmarkStart w:id="30" w:name="_Toc330459976"/>
      <w:bookmarkStart w:id="31" w:name="_Toc339362291"/>
      <w:bookmarkStart w:id="32" w:name="_Toc340507433"/>
      <w:bookmarkStart w:id="33" w:name="_Toc342060365"/>
      <w:bookmarkStart w:id="34" w:name="_Toc339020006"/>
      <w:bookmarkStart w:id="35" w:name="_Toc332270337"/>
      <w:bookmarkStart w:id="36" w:name="_Toc331684029"/>
      <w:bookmarkStart w:id="37" w:name="_Toc340672860"/>
      <w:bookmarkStart w:id="38" w:name="_Toc336681926"/>
      <w:bookmarkStart w:id="39" w:name="_Toc365985170"/>
      <w:bookmarkStart w:id="40" w:name="_Toc337632349"/>
      <w:bookmarkStart w:id="41" w:name="_Toc333237668"/>
      <w:bookmarkStart w:id="42" w:name="_Toc331512889"/>
      <w:bookmarkStart w:id="43" w:name="_Toc350756441"/>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.3代理采购机构于投标截止时间前30分钟开始接收投标文件，并于招标文件规定的开标时间、</w:t>
      </w:r>
    </w:p>
    <w:p w14:paraId="17C55406">
      <w:pPr>
        <w:widowControl/>
        <w:tabs>
          <w:tab w:val="left" w:pos="753"/>
        </w:tabs>
        <w:adjustRightInd w:val="0"/>
        <w:snapToGrid w:val="0"/>
        <w:spacing w:line="360" w:lineRule="auto"/>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开标地点公开开标。</w:t>
      </w:r>
    </w:p>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14:paraId="024B0397">
      <w:pPr>
        <w:widowControl/>
        <w:tabs>
          <w:tab w:val="left" w:pos="753"/>
        </w:tabs>
        <w:adjustRightInd w:val="0"/>
        <w:snapToGrid w:val="0"/>
        <w:spacing w:line="360" w:lineRule="auto"/>
        <w:ind w:left="745" w:leftChars="200" w:hanging="325" w:hangingChars="155"/>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w:t>
      </w: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代理采购机构将拒绝在投标截止时间后递交的任何投标文件。</w:t>
      </w:r>
    </w:p>
    <w:p w14:paraId="61F25C02">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4.投标文件的修改、撤回与撤销</w:t>
      </w:r>
    </w:p>
    <w:p w14:paraId="071434E3">
      <w:pPr>
        <w:widowControl/>
        <w:tabs>
          <w:tab w:val="left" w:pos="753"/>
        </w:tabs>
        <w:adjustRightInd w:val="0"/>
        <w:snapToGrid w:val="0"/>
        <w:spacing w:line="360" w:lineRule="auto"/>
        <w:ind w:left="745" w:leftChars="200" w:hanging="325" w:hangingChars="155"/>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 xml:space="preserve"> 4.1</w:t>
      </w: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投标人在投标截止时间前，可以修改或撤回其投标文件。但必须在规定的投标截止时间之</w:t>
      </w:r>
    </w:p>
    <w:p w14:paraId="2670982A">
      <w:pPr>
        <w:widowControl/>
        <w:tabs>
          <w:tab w:val="left" w:pos="753"/>
        </w:tabs>
        <w:adjustRightInd w:val="0"/>
        <w:snapToGrid w:val="0"/>
        <w:spacing w:line="360" w:lineRule="auto"/>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前以书面通知到代理采购机构，该通知须有投标人法定代表人（负责人）或其授权代表签字。</w:t>
      </w:r>
    </w:p>
    <w:p w14:paraId="0EBBB927">
      <w:pPr>
        <w:widowControl/>
        <w:tabs>
          <w:tab w:val="left" w:pos="753"/>
        </w:tabs>
        <w:adjustRightInd w:val="0"/>
        <w:snapToGrid w:val="0"/>
        <w:spacing w:line="360" w:lineRule="auto"/>
        <w:ind w:left="745" w:leftChars="200" w:hanging="325" w:hangingChars="155"/>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.2</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ab/>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投标人对投标文件修改的书面材料或撤销的通知应注明“修改投标文件”或“撤销</w:t>
      </w:r>
    </w:p>
    <w:p w14:paraId="342F31F5">
      <w:pPr>
        <w:widowControl/>
        <w:tabs>
          <w:tab w:val="left" w:pos="753"/>
        </w:tabs>
        <w:adjustRightInd w:val="0"/>
        <w:snapToGrid w:val="0"/>
        <w:spacing w:line="360" w:lineRule="auto"/>
        <w:ind w:left="751" w:leftChars="1" w:hanging="749" w:hangingChars="357"/>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投标”字样。</w:t>
      </w:r>
    </w:p>
    <w:p w14:paraId="7A3B9FBB">
      <w:pPr>
        <w:widowControl/>
        <w:tabs>
          <w:tab w:val="left" w:pos="753"/>
        </w:tabs>
        <w:adjustRightInd w:val="0"/>
        <w:snapToGrid w:val="0"/>
        <w:spacing w:line="360" w:lineRule="auto"/>
        <w:ind w:left="745" w:leftChars="200" w:hanging="325" w:hangingChars="155"/>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.3</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ab/>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在投标截止时间之后，投标人不得对其投标文件做任何修改。</w:t>
      </w:r>
    </w:p>
    <w:p w14:paraId="20291D03">
      <w:pPr>
        <w:widowControl/>
        <w:tabs>
          <w:tab w:val="left" w:pos="753"/>
        </w:tabs>
        <w:adjustRightInd w:val="0"/>
        <w:snapToGrid w:val="0"/>
        <w:spacing w:line="360" w:lineRule="auto"/>
        <w:ind w:left="745" w:leftChars="200" w:hanging="325" w:hangingChars="155"/>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.4</w:t>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ab/>
      </w: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从投标截止时间至投标文件有效期期满之前，投标人不得撤回其投标文件，否则代理采购机</w:t>
      </w:r>
    </w:p>
    <w:p w14:paraId="48837277">
      <w:pPr>
        <w:widowControl/>
        <w:tabs>
          <w:tab w:val="left" w:pos="753"/>
        </w:tabs>
        <w:adjustRightInd w:val="0"/>
        <w:snapToGrid w:val="0"/>
        <w:spacing w:line="360" w:lineRule="auto"/>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kern w:val="0"/>
          <w:sz w:val="21"/>
          <w:szCs w:val="21"/>
          <w:highlight w:val="none"/>
          <w:lang w:val="en-US" w:eastAsia="zh-Hans"/>
          <w14:textFill>
            <w14:solidFill>
              <w14:schemeClr w14:val="tx1"/>
            </w14:solidFill>
          </w14:textFill>
        </w:rPr>
        <w:t>构将按规定不予退还投标保证金。</w:t>
      </w:r>
    </w:p>
    <w:p w14:paraId="0C6AEA43">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b/>
          <w:bCs w:val="0"/>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5.</w:t>
      </w:r>
      <w:bookmarkStart w:id="44" w:name="_Toc340677064"/>
      <w:bookmarkStart w:id="45" w:name="_Toc341348332"/>
      <w:bookmarkStart w:id="46" w:name="_Toc336681929"/>
      <w:bookmarkStart w:id="47" w:name="_Toc339019883"/>
      <w:bookmarkStart w:id="48" w:name="_Toc336681574"/>
      <w:bookmarkStart w:id="49" w:name="_Toc365967067"/>
      <w:bookmarkStart w:id="50" w:name="_Toc340672863"/>
      <w:bookmarkStart w:id="51" w:name="_Toc349127620"/>
      <w:bookmarkStart w:id="52" w:name="_Toc333237671"/>
      <w:bookmarkStart w:id="53" w:name="_Toc332270340"/>
      <w:bookmarkStart w:id="54" w:name="_Toc339020009"/>
      <w:bookmarkStart w:id="55" w:name="_Toc350756444"/>
      <w:bookmarkStart w:id="56" w:name="_Toc332206702"/>
      <w:bookmarkStart w:id="57" w:name="_Toc333935340"/>
      <w:bookmarkStart w:id="58" w:name="_Toc339362294"/>
      <w:bookmarkStart w:id="59" w:name="_Toc333238627"/>
      <w:bookmarkStart w:id="60" w:name="_Toc342060368"/>
      <w:bookmarkStart w:id="61" w:name="_Toc497224221"/>
      <w:bookmarkStart w:id="62" w:name="_Toc374454594"/>
      <w:bookmarkStart w:id="63" w:name="_Toc339441081"/>
      <w:bookmarkStart w:id="64" w:name="_Toc345513861"/>
      <w:bookmarkStart w:id="65" w:name="_Toc333237782"/>
      <w:bookmarkStart w:id="66" w:name="_Toc331512892"/>
      <w:bookmarkStart w:id="67" w:name="_Toc331684032"/>
      <w:bookmarkStart w:id="68" w:name="_Toc337632352"/>
      <w:bookmarkStart w:id="69" w:name="_Toc17227"/>
      <w:bookmarkStart w:id="70" w:name="_Toc339020089"/>
      <w:bookmarkStart w:id="71" w:name="_Toc366072522"/>
      <w:bookmarkStart w:id="72" w:name="_Toc340507436"/>
      <w:bookmarkStart w:id="73" w:name="_Toc339020227"/>
      <w:bookmarkStart w:id="74" w:name="_Toc342296754"/>
      <w:bookmarkStart w:id="75" w:name="_Toc365985173"/>
      <w:bookmarkStart w:id="76" w:name="_Toc503785423"/>
      <w:bookmarkStart w:id="77" w:name="_Toc333935681"/>
      <w:bookmarkStart w:id="78" w:name="_Toc330459979"/>
      <w:bookmarkStart w:id="79" w:name="_Toc350438743"/>
      <w:bookmarkStart w:id="80" w:name="_Toc349143583"/>
      <w:r>
        <w:rPr>
          <w:rFonts w:hint="eastAsia" w:asciiTheme="minorEastAsia" w:hAnsiTheme="minorEastAsia" w:eastAsiaTheme="minorEastAsia" w:cstheme="minorEastAsia"/>
          <w:b/>
          <w:bCs w:val="0"/>
          <w:color w:val="000000" w:themeColor="text1"/>
          <w:sz w:val="21"/>
          <w:szCs w:val="21"/>
          <w:highlight w:val="none"/>
          <w:lang w:val="en-US" w:eastAsia="zh-Hans"/>
          <w14:textFill>
            <w14:solidFill>
              <w14:schemeClr w14:val="tx1"/>
            </w14:solidFill>
          </w14:textFill>
        </w:rPr>
        <w:t>开</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Pr>
          <w:rFonts w:hint="eastAsia" w:asciiTheme="minorEastAsia" w:hAnsiTheme="minorEastAsia" w:cstheme="minorEastAsia"/>
          <w:b/>
          <w:bCs w:val="0"/>
          <w:color w:val="000000" w:themeColor="text1"/>
          <w:sz w:val="21"/>
          <w:szCs w:val="21"/>
          <w:highlight w:val="none"/>
          <w:lang w:val="en-US" w:eastAsia="zh-CN"/>
          <w14:textFill>
            <w14:solidFill>
              <w14:schemeClr w14:val="tx1"/>
            </w14:solidFill>
          </w14:textFill>
        </w:rPr>
        <w:t>启</w:t>
      </w:r>
    </w:p>
    <w:p w14:paraId="03046E34">
      <w:pPr>
        <w:widowControl/>
        <w:tabs>
          <w:tab w:val="left" w:pos="753"/>
        </w:tabs>
        <w:adjustRightInd w:val="0"/>
        <w:snapToGrid w:val="0"/>
        <w:spacing w:line="360" w:lineRule="auto"/>
        <w:ind w:left="745" w:leftChars="199" w:hanging="327" w:hangingChars="156"/>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bCs/>
          <w:color w:val="000000" w:themeColor="text1"/>
          <w:highlight w:val="none"/>
          <w:lang w:val="en-US" w:eastAsia="zh-CN"/>
          <w14:textFill>
            <w14:solidFill>
              <w14:schemeClr w14:val="tx1"/>
            </w14:solidFill>
          </w14:textFill>
        </w:rPr>
        <w:t>现场开启</w:t>
      </w:r>
      <w:r>
        <w:rPr>
          <w:rFonts w:hint="eastAsia" w:ascii="宋体" w:hAnsi="宋体"/>
          <w:bCs/>
          <w:color w:val="000000" w:themeColor="text1"/>
          <w:highlight w:val="none"/>
          <w14:textFill>
            <w14:solidFill>
              <w14:schemeClr w14:val="tx1"/>
            </w14:solidFill>
          </w14:textFill>
        </w:rPr>
        <w:t>。</w:t>
      </w:r>
    </w:p>
    <w:p w14:paraId="5E559A18">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6.投标保证金</w:t>
      </w:r>
    </w:p>
    <w:p w14:paraId="58BCD76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6.1投标保证金的缴纳</w:t>
      </w:r>
    </w:p>
    <w:p w14:paraId="209C074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投标人在提交投标文件时，应按投标人须知前附表规定的金额和缴纳要求缴纳投标保证金，并作为其投标文件的组成部分。</w:t>
      </w:r>
    </w:p>
    <w:p w14:paraId="2B6E318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如采用转账、支票、本票、汇票形式提交的，投标保证金从投标人基本账户递交，由</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代收。具体操作要求详见</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有关指引，递交事宜请自行咨询</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；请各投标人在投标文件递交截止时间前按须知前附表规定的金额递交至</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，到账情况以开标时</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查询的信息为准。</w:t>
      </w:r>
    </w:p>
    <w:p w14:paraId="7A32FF2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如采用金融机构、专业担保机构开具的投标担保函、投标保证保险函等形式提交投标保证金的，投标担保函或投标保证保险函须开具给采购人（保险受益人须为采购人），并与投标文件一同递交。</w:t>
      </w:r>
    </w:p>
    <w:p w14:paraId="5BF2702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电子保函与纸质保函具有同样效力。</w:t>
      </w:r>
    </w:p>
    <w:p w14:paraId="6CDAF4C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6.2投标保证金的退还：</w:t>
      </w:r>
    </w:p>
    <w:p w14:paraId="21688BB9">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（1）投标人在投标截止时间前放弃投标的，自所投采购包结果公告发出后5个工作日内退还。</w:t>
      </w:r>
    </w:p>
    <w:p w14:paraId="4146E7E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（2）未中标的投标人投标保证金，自中标通知书发出之日起5个工作日内退还。</w:t>
      </w:r>
    </w:p>
    <w:p w14:paraId="2FA68E3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（3）中标供应商的投标保证金，自政府采购合同签订之日起5个工作日内退还。</w:t>
      </w:r>
    </w:p>
    <w:p w14:paraId="7B30F2A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备注：但因投标人自身原因导致无法及时退还的除外。</w:t>
      </w:r>
    </w:p>
    <w:p w14:paraId="77A959B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6.3有下列情形之一的，投标保证金将不予退还：</w:t>
      </w:r>
    </w:p>
    <w:p w14:paraId="3A24125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（1）提供虚假材料谋取中标、成交的；</w:t>
      </w:r>
    </w:p>
    <w:p w14:paraId="328566C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（2）投标人在招标文件规定的投标有效期内撤销其投标；</w:t>
      </w:r>
    </w:p>
    <w:p w14:paraId="3F2DF08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（3）中标后，无正当理由放弃中标资格；</w:t>
      </w:r>
    </w:p>
    <w:p w14:paraId="7E2CDF4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（4）中标后，无正当理由不与采购人签订合同；</w:t>
      </w:r>
    </w:p>
    <w:p w14:paraId="0C08BF7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（5）法律法规和招标文件规定的其他情形。</w:t>
      </w:r>
    </w:p>
    <w:p w14:paraId="333463BD">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7.投标有效期</w:t>
      </w:r>
    </w:p>
    <w:p w14:paraId="062B61C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7.1投标有效期内投标人撤销投标文件的，采购人或者采购代理机构可以不退还投标保证金（如有）。采用投标保函方式替代保证金的，采购人或者采购代理机构可以向担保机构索赔保证金。</w:t>
      </w:r>
    </w:p>
    <w:p w14:paraId="19423A5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7.2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14:paraId="4237C63C">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8.样品（演示）</w:t>
      </w:r>
    </w:p>
    <w:p w14:paraId="33A8352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8.1招标文件规定投标人提交样品的，样品属于投标文件的组成部分。样品的生产、运输、安装、保全等一切费用由投标人自理。</w:t>
      </w:r>
    </w:p>
    <w:p w14:paraId="56C17A7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8.2投标截止时间前，投标人应将样品送达至指定地点。若需要现场演示的，投标人应提前做好演示准备（包括演示设备）。</w:t>
      </w:r>
    </w:p>
    <w:p w14:paraId="6F4701D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8.3采购结果公告发布后，中标供应商的样品由采购人封存，作为履约验收的依据之一。未中标供应商在接到采购代理机构通知后，应按规定时间尽快自行取回样品，否则视同供应商不再认领，代理机构有权进行处理。</w:t>
      </w:r>
    </w:p>
    <w:p w14:paraId="46A90EF3">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9.除招标文件另有规定外，有下列情形之一的，投标无效：</w:t>
      </w:r>
    </w:p>
    <w:p w14:paraId="4EFB9EE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9.1投标文件未按照招标文件要求签署、盖章；</w:t>
      </w:r>
    </w:p>
    <w:p w14:paraId="0CC0843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9.2不符合招标文件中规定的资格要求；</w:t>
      </w:r>
    </w:p>
    <w:p w14:paraId="4A6694A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9.3投标报价超过招标文件中规定的预算金额或最高限价；</w:t>
      </w:r>
    </w:p>
    <w:p w14:paraId="2EE474B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9.4投标文件含有采购人不能接受的附加条件；</w:t>
      </w:r>
    </w:p>
    <w:p w14:paraId="4BC4B4C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9.5有关法律、法规和规章及招标文件规定的其他无效情形。</w:t>
      </w:r>
    </w:p>
    <w:p w14:paraId="5A524C32">
      <w:pPr>
        <w:pStyle w:val="19"/>
        <w:keepNext w:val="0"/>
        <w:keepLines w:val="0"/>
        <w:pageBreakBefore w:val="0"/>
        <w:widowControl/>
        <w:kinsoku/>
        <w:wordWrap/>
        <w:overflowPunct/>
        <w:topLinePunct w:val="0"/>
        <w:autoSpaceDE/>
        <w:autoSpaceDN/>
        <w:bidi w:val="0"/>
        <w:adjustRightInd/>
        <w:snapToGrid/>
        <w:spacing w:line="360" w:lineRule="auto"/>
        <w:textAlignment w:val="auto"/>
        <w:outlineLvl w:val="1"/>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81" w:name="_Toc7726"/>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六、开标、评标和定标</w:t>
      </w:r>
      <w:bookmarkEnd w:id="81"/>
    </w:p>
    <w:p w14:paraId="161C8DFB">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1.开标</w:t>
      </w:r>
    </w:p>
    <w:p w14:paraId="45B23A5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b/>
          <w:bCs w:val="0"/>
          <w:color w:val="000000" w:themeColor="text1"/>
          <w:sz w:val="21"/>
          <w:szCs w:val="21"/>
          <w:highlight w:val="none"/>
          <w:lang w:val="en-US" w:eastAsia="zh-Hans"/>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1.1 开标程序</w:t>
      </w:r>
    </w:p>
    <w:p w14:paraId="4FA75EB4">
      <w:pPr>
        <w:widowControl/>
        <w:tabs>
          <w:tab w:val="left" w:pos="753"/>
        </w:tabs>
        <w:adjustRightInd w:val="0"/>
        <w:snapToGrid w:val="0"/>
        <w:spacing w:line="360" w:lineRule="auto"/>
        <w:ind w:left="745" w:leftChars="199" w:hanging="327" w:hangingChars="156"/>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代理采购机构在招标文件中规定的时间和地点公开开标。开标会由代理采购机构主持。投标人</w:t>
      </w:r>
    </w:p>
    <w:p w14:paraId="5FEDFD5D">
      <w:pPr>
        <w:widowControl/>
        <w:tabs>
          <w:tab w:val="left" w:pos="753"/>
        </w:tabs>
        <w:adjustRightInd w:val="0"/>
        <w:snapToGrid w:val="0"/>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代表均需按时参加开标会。参加开标的投标人代表应签名报到以证明其出席。</w:t>
      </w:r>
    </w:p>
    <w:p w14:paraId="22B988DD">
      <w:pPr>
        <w:widowControl/>
        <w:tabs>
          <w:tab w:val="left" w:pos="753"/>
        </w:tabs>
        <w:adjustRightInd w:val="0"/>
        <w:snapToGrid w:val="0"/>
        <w:spacing w:line="360" w:lineRule="auto"/>
        <w:ind w:left="745" w:leftChars="199" w:hanging="327" w:hangingChars="156"/>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开标时，由政府采购监督员或投标人代表检查投标文件的密封情况，并宣布检查结果，经确认</w:t>
      </w:r>
    </w:p>
    <w:p w14:paraId="6C2A3F32">
      <w:pPr>
        <w:widowControl/>
        <w:tabs>
          <w:tab w:val="left" w:pos="753"/>
        </w:tabs>
        <w:adjustRightInd w:val="0"/>
        <w:snapToGrid w:val="0"/>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无误后，由工作人员当众拆封唱标。唱标主要内容为投标文件正本中的“开标一览表”的内容以及代理采购机构认为合适的其他内容。</w:t>
      </w:r>
    </w:p>
    <w:p w14:paraId="22797C57">
      <w:pPr>
        <w:widowControl/>
        <w:tabs>
          <w:tab w:val="left" w:pos="753"/>
        </w:tabs>
        <w:adjustRightInd w:val="0"/>
        <w:snapToGrid w:val="0"/>
        <w:spacing w:line="360" w:lineRule="auto"/>
        <w:ind w:left="745" w:leftChars="199" w:hanging="327" w:hangingChars="156"/>
        <w:rPr>
          <w:rFonts w:hint="eastAsia"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在投标截止之前收到的所有投标文件，开标时都应当众拆封并宣读。在开标时没有当众拆封和</w:t>
      </w:r>
    </w:p>
    <w:p w14:paraId="09C920D4">
      <w:pPr>
        <w:widowControl/>
        <w:tabs>
          <w:tab w:val="left" w:pos="753"/>
        </w:tabs>
        <w:adjustRightInd w:val="0"/>
        <w:snapToGrid w:val="0"/>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宣读的投标文件在评标时将不予考虑。提交了可接受的“撤回”通知的投标文件将不予拆封。</w:t>
      </w:r>
    </w:p>
    <w:p w14:paraId="566D7CFB">
      <w:pPr>
        <w:widowControl/>
        <w:tabs>
          <w:tab w:val="left" w:pos="753"/>
        </w:tabs>
        <w:adjustRightInd w:val="0"/>
        <w:snapToGrid w:val="0"/>
        <w:spacing w:line="360" w:lineRule="auto"/>
        <w:ind w:left="745" w:leftChars="199" w:hanging="327" w:hangingChars="156"/>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唱标结束后，代理采购机构将做唱标记录，并按规定在唱标记录上签字。</w:t>
      </w:r>
    </w:p>
    <w:p w14:paraId="2B650B29">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1.2开标异议</w:t>
      </w:r>
    </w:p>
    <w:p w14:paraId="54D4B539">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投标人代表对开标过程和开标记录有疑义，以及认为采购人、采购代理机构相关工作人员有需要回避的情形的，应当场提出询问或者回避申请。投标人未参加开标的，视同认可开标结果。</w:t>
      </w:r>
    </w:p>
    <w:p w14:paraId="03B1B2E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1.3 投标截止时间后，投标人不足须知前附表中约定的有效供应商家数的，不得开标。同时，本次采购活动结束。</w:t>
      </w:r>
    </w:p>
    <w:p w14:paraId="55F9B84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1.4开标时出现下列情况的，视为投标无效处理：</w:t>
      </w:r>
    </w:p>
    <w:p w14:paraId="1797A0A7">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（1）经检查</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投标文件</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无效的；</w:t>
      </w:r>
    </w:p>
    <w:p w14:paraId="06C7488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（2）因投标人自身原因，未在规定时间内</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递交投标文件</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30912D06">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2.评审（详见第四章）</w:t>
      </w:r>
    </w:p>
    <w:p w14:paraId="1E2F713F">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3.定标</w:t>
      </w:r>
    </w:p>
    <w:p w14:paraId="1EA8C93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3.1中标公告：</w:t>
      </w:r>
    </w:p>
    <w:p w14:paraId="3C484CD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中标供应商确定之日起2个工作日内， 采购代理机构将在</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公示媒体</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上以公告的形式发布中标结果，中标公告的公告期限为 1 个工作日。中标公告同时作为采购代理机构通知除中标供应商外的其他投标人没有中标的书面形式，采购代理机构不再以其它方式另行通知。</w:t>
      </w:r>
    </w:p>
    <w:p w14:paraId="63FFF66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3.2中标通知书：</w:t>
      </w:r>
    </w:p>
    <w:p w14:paraId="32FEC6F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中标通知书在发布中标公告时，</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同时发出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《中标通知书》，《中标通知书》将作为授予合同资格的唯一合法依据。中标通知书发出后，采购人不得违法改变中标结果，中标供应商不得放弃中标。中标供应商放弃中标的，应当依法承担相应的法律责任。</w:t>
      </w:r>
    </w:p>
    <w:p w14:paraId="0F31D75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3.3终止公告：</w:t>
      </w:r>
    </w:p>
    <w:p w14:paraId="1083F1E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项目废标后，采购代理机构将在</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公示媒体</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上发布终止公告，终止公告的公告期限为1个工作日。</w:t>
      </w:r>
    </w:p>
    <w:p w14:paraId="7691CEC5">
      <w:pPr>
        <w:pStyle w:val="19"/>
        <w:keepNext w:val="0"/>
        <w:keepLines w:val="0"/>
        <w:pageBreakBefore w:val="0"/>
        <w:widowControl/>
        <w:kinsoku/>
        <w:wordWrap/>
        <w:overflowPunct/>
        <w:topLinePunct w:val="0"/>
        <w:autoSpaceDE/>
        <w:autoSpaceDN/>
        <w:bidi w:val="0"/>
        <w:adjustRightInd/>
        <w:snapToGrid/>
        <w:spacing w:line="360" w:lineRule="auto"/>
        <w:textAlignment w:val="auto"/>
        <w:outlineLvl w:val="1"/>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82" w:name="_Toc28775"/>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七、询问、质疑与投诉</w:t>
      </w:r>
      <w:bookmarkEnd w:id="82"/>
    </w:p>
    <w:p w14:paraId="6586F6C9">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1.询问</w:t>
      </w:r>
    </w:p>
    <w:p w14:paraId="5171751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函》中“采购人、采购代理机构的名称、地址和联系方式”。</w:t>
      </w:r>
    </w:p>
    <w:p w14:paraId="7D00F53D">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2.质疑</w:t>
      </w:r>
    </w:p>
    <w:p w14:paraId="2A9F525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14:paraId="3FE9E06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(1)对招标文件提出质疑的，为获取招标文件之日或者招标文件公告期限届满之日；</w:t>
      </w:r>
    </w:p>
    <w:p w14:paraId="4C3A485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(2)对采购过程提出质疑的，为各采购程序环节结束之日；</w:t>
      </w:r>
    </w:p>
    <w:p w14:paraId="1E3D9DD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(3)对中标结果提出质疑的，为中标结果公告期限届满之日。</w:t>
      </w:r>
    </w:p>
    <w:p w14:paraId="1C3C04C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2.2质疑函应当包括下列主要内容：</w:t>
      </w:r>
    </w:p>
    <w:p w14:paraId="75EE0AE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(1)质疑供应商和相关供应商的名称、地址、邮编、联系人及联系电话等；</w:t>
      </w:r>
    </w:p>
    <w:p w14:paraId="2C5B76A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(2)质疑项目名称及编号、具体明确的质疑事项和与质疑事项相关的请求；</w:t>
      </w:r>
    </w:p>
    <w:p w14:paraId="0D458D5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(3)认为采购文件、采购过程、中标和成交结果使自己的合法权益受到损害的法律依据、事实依据、相关证明材料及证据来源；</w:t>
      </w:r>
    </w:p>
    <w:p w14:paraId="1230042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(4)提出质疑的日期。</w:t>
      </w:r>
    </w:p>
    <w:p w14:paraId="30CA1F1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2.3 质疑函应当署名。质疑供应商为自然人的，应当由本人签字；质疑供应商为法人或者其他组织的，应当由法定代表人、主要负责人，或者其授权代表签字或者盖章，并加盖公章。</w:t>
      </w:r>
    </w:p>
    <w:p w14:paraId="5FF2DFC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2.4以联合体形式参加政府采购活动的，其质疑应当由联合体成员委托主体提出。</w:t>
      </w:r>
    </w:p>
    <w:p w14:paraId="03346857">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14:paraId="0F90B6F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2.6质疑联系方式如下：</w:t>
      </w:r>
    </w:p>
    <w:p w14:paraId="1D94DC8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质疑联系人：</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谢</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小姐</w:t>
      </w:r>
    </w:p>
    <w:p w14:paraId="70A2493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电话：</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0662-3167266</w:t>
      </w:r>
    </w:p>
    <w:p w14:paraId="3D5C5B2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传真：/</w:t>
      </w:r>
    </w:p>
    <w:p w14:paraId="7D6BDF47">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邮箱：</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gdyxcg@126.com</w:t>
      </w:r>
    </w:p>
    <w:p w14:paraId="35180B83">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地址：</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阳江市江城区猫山四街33号A座2楼</w:t>
      </w:r>
    </w:p>
    <w:p w14:paraId="20016449">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邮编：</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529500</w:t>
      </w:r>
    </w:p>
    <w:p w14:paraId="27DB1FD0">
      <w:pPr>
        <w:pStyle w:val="19"/>
        <w:keepNext w:val="0"/>
        <w:keepLines w:val="0"/>
        <w:pageBreakBefore w:val="0"/>
        <w:widowControl/>
        <w:kinsoku/>
        <w:wordWrap/>
        <w:overflowPunct/>
        <w:topLinePunct w:val="0"/>
        <w:autoSpaceDE/>
        <w:autoSpaceDN/>
        <w:bidi w:val="0"/>
        <w:adjustRightInd/>
        <w:snapToGrid/>
        <w:spacing w:line="360" w:lineRule="auto"/>
        <w:textAlignment w:val="auto"/>
        <w:outlineLvl w:val="1"/>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83" w:name="_Toc27487"/>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八、合同签订和履行</w:t>
      </w:r>
      <w:bookmarkEnd w:id="83"/>
    </w:p>
    <w:p w14:paraId="78BC0CCD">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1.合同签订</w:t>
      </w:r>
    </w:p>
    <w:p w14:paraId="4709A11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1.1采购人应当自《中标通知书》发出之日起三十日内，按照招标文件和中标供应商投标文件的约定，与中标供应商签订合同。所签订的合同不得对招标文件和中标供应商投标文件作实质性修改。</w:t>
      </w:r>
    </w:p>
    <w:p w14:paraId="2DCFE987">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1.2采购人不得提出试用合格等任何不合理的要求作为签订合同的条件，且不得与中标供应商私下订立背离合同实质性内容的协议。</w:t>
      </w:r>
    </w:p>
    <w:p w14:paraId="60898EA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1.3合同条款中应规定，乙方完全遵守《中华人民共和国民法典》有关规定和《中华人民共和国妇女权益保障法》中关于“劳动和社会保障权益”的有关要求。</w:t>
      </w:r>
    </w:p>
    <w:p w14:paraId="2477806D">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2.合同的履行</w:t>
      </w:r>
    </w:p>
    <w:p w14:paraId="694F73A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2.1政府采购合同订立后，合同各方不得擅自变更、中止或者终止合同。</w:t>
      </w:r>
    </w:p>
    <w:p w14:paraId="580C085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2.2政府采购合同履行中，采购人需追加与合同标的相同的货物、工程或者服务的，在不改变合同其他条款的前提下，可以与成交供应商签订补充合同，但所补充合同的采购金额不得超过原采购金额的10%。依法签订的补充合同。</w:t>
      </w:r>
    </w:p>
    <w:p w14:paraId="535955B8">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  </w:t>
      </w:r>
    </w:p>
    <w:p w14:paraId="7DA25B8F">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50B24A5D">
      <w:pPr>
        <w:pStyle w:val="19"/>
        <w:keepNext w:val="0"/>
        <w:keepLines w:val="0"/>
        <w:pageBreakBefore w:val="0"/>
        <w:widowControl/>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bookmarkStart w:id="84" w:name="_Toc5690"/>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第四章 评标</w:t>
      </w:r>
      <w:bookmarkEnd w:id="84"/>
    </w:p>
    <w:p w14:paraId="4D6611C0">
      <w:pPr>
        <w:pStyle w:val="19"/>
        <w:keepNext w:val="0"/>
        <w:keepLines w:val="0"/>
        <w:pageBreakBefore w:val="0"/>
        <w:widowControl/>
        <w:kinsoku/>
        <w:wordWrap/>
        <w:overflowPunct/>
        <w:topLinePunct w:val="0"/>
        <w:autoSpaceDE/>
        <w:autoSpaceDN/>
        <w:bidi w:val="0"/>
        <w:adjustRightInd/>
        <w:snapToGrid/>
        <w:spacing w:line="360" w:lineRule="auto"/>
        <w:textAlignment w:val="auto"/>
        <w:outlineLvl w:val="1"/>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85" w:name="_Toc12371"/>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一、评标要求</w:t>
      </w:r>
      <w:bookmarkEnd w:id="85"/>
    </w:p>
    <w:p w14:paraId="301AE487">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1.评标方法</w:t>
      </w:r>
    </w:p>
    <w:p w14:paraId="03D4712B">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w:t>
      </w:r>
      <w:r>
        <w:rPr>
          <w:rFonts w:hint="eastAsia"/>
          <w:color w:val="000000" w:themeColor="text1"/>
          <w:szCs w:val="21"/>
          <w:highlight w:val="none"/>
          <w:lang w:val="en-US" w:eastAsia="zh-CN"/>
          <w14:textFill>
            <w14:solidFill>
              <w14:schemeClr w14:val="tx1"/>
            </w14:solidFill>
          </w14:textFill>
        </w:rPr>
        <w:t>阳江市阳东区合山镇第二小学食堂食材配送服务项目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)：综合评分法,是指投标文件满足招标文件全部实质性要求，且按照评审因素的量化指标评审得分最高的投标人为中标候选人的评标方法。（最低报价不是中标的唯一依据。）</w:t>
      </w:r>
    </w:p>
    <w:p w14:paraId="6CCD39B4">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2.评标原则</w:t>
      </w:r>
    </w:p>
    <w:p w14:paraId="508BAF5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2.1评标活动遵循公平、公正、科学和择优的原则，以招标文件和投标文件为评标的基本依据，并按照招标文件规定的评标方法和评标标准进行评标。</w:t>
      </w:r>
    </w:p>
    <w:p w14:paraId="55B6C3C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2.2具体评标事项由评标委员会负责，并按招标文件的规定办法进行评审。</w:t>
      </w:r>
    </w:p>
    <w:p w14:paraId="3508884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2.3合格投标人不足须知前附表中约定的有效供应商家数的，不得评标。</w:t>
      </w:r>
    </w:p>
    <w:p w14:paraId="7A9723C6">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3.评标委员会</w:t>
      </w:r>
    </w:p>
    <w:p w14:paraId="3FB024D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3.1评标委员会</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参考政府采购相关法规</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组成，成员人数应当为5人及以上单数，其中评审专家不得少于成员总数的三分之二。</w:t>
      </w:r>
    </w:p>
    <w:p w14:paraId="41FCA6D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3.2评标应遵守下列评标纪律：</w:t>
      </w:r>
    </w:p>
    <w:p w14:paraId="7F34939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（1）评标情况不得私自外泄，有关信息由</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统一对外发布。</w:t>
      </w:r>
    </w:p>
    <w:p w14:paraId="2B382AB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（2）对</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或投标人提供的要求保密的资料，不得摘记翻印和外传。</w:t>
      </w:r>
    </w:p>
    <w:p w14:paraId="4261691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（3）不得收受投标供应商或有关人员的任何礼物，不得串联鼓动其他人袒护某投标人。若与投标人存在利害关系，则应主动声明并回避。</w:t>
      </w:r>
    </w:p>
    <w:p w14:paraId="7B56967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（4）全体评委应按照招标文件规定进行评标，一切认定事项应查有实据且不得弄虚作假。</w:t>
      </w:r>
    </w:p>
    <w:p w14:paraId="723F57C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（5）评标委员会各成员应当独立对每个投标人的投标文件进行评价，并对评价意见承担个人责任。评审过程中，不得发表倾向性言论。</w:t>
      </w:r>
    </w:p>
    <w:p w14:paraId="20526E2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※对违反评标纪律的评委，将取消其评委资格，对评标工作造成严重损失者将予以通报批评乃至追究法律责任。</w:t>
      </w:r>
    </w:p>
    <w:p w14:paraId="3BADEDC7">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4.有下列情形之一的，视为投标人串通投标，其投标无效；</w:t>
      </w:r>
    </w:p>
    <w:p w14:paraId="365E45C9">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4.1不同投标人的投标文件由同一单位或者个人编制；</w:t>
      </w:r>
    </w:p>
    <w:p w14:paraId="664779C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4.2不同投标人委托同一单位或者个人办理投标事宜；</w:t>
      </w:r>
    </w:p>
    <w:p w14:paraId="025A02A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4.3不同投标人的投标文件载明的项目管理成员或者联系人员为同一人；</w:t>
      </w:r>
    </w:p>
    <w:p w14:paraId="4FA85CC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4.4不同投标人的投标文件异常一致或者投标报价呈规律性差异；</w:t>
      </w:r>
    </w:p>
    <w:p w14:paraId="7622C78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4.5不同投标人的投标文件相互混装；</w:t>
      </w:r>
    </w:p>
    <w:p w14:paraId="0CA0A1B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4.6不同投标人的投标保证金或购买电子保函支付款为从同一单位或个人的账户转出；</w:t>
      </w:r>
    </w:p>
    <w:p w14:paraId="01FD8D7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4.7投标人的投标文件加盖该项目的其他投标人的</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公章</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p>
    <w:p w14:paraId="287D7AD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说明：在评标过程中发现投标人有上述情形的，评标委员会应当认定其投标无效。同时，项目评审时被认定为串通投标的投标人不得参加该合同项下的采购活动。</w:t>
      </w:r>
    </w:p>
    <w:p w14:paraId="5280A8B7">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5.投标无效的情形</w:t>
      </w:r>
    </w:p>
    <w:p w14:paraId="268A7283">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详见资格性审查、符合性审查和招标文件其他投标无效条款。</w:t>
      </w:r>
    </w:p>
    <w:p w14:paraId="0896760F">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6.定标</w:t>
      </w:r>
    </w:p>
    <w:p w14:paraId="0499ADF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评标委员会按照招标文件确定的评标方法、步骤、标准，对投标文件进行评审。评标结束后，对投标人的评审名次进行排序，确定中标供应商或者推荐中标候选人。</w:t>
      </w:r>
    </w:p>
    <w:p w14:paraId="632D8517">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7.价格修正</w:t>
      </w:r>
    </w:p>
    <w:p w14:paraId="6055094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对报价的计算错误按以下原则修正：</w:t>
      </w:r>
    </w:p>
    <w:p w14:paraId="514920D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（1）投标文件中开标一览表内容与投标文件中相应内容不一致的，以开标一览表为准；</w:t>
      </w:r>
    </w:p>
    <w:p w14:paraId="4BDBE32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（2）大写金额和小写金额不一致的，以大写金额为准；</w:t>
      </w:r>
    </w:p>
    <w:p w14:paraId="1A09873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（3）单价金额小数点或者百分比有明显错位的，以开标一览表的总价为准，并修改单价。</w:t>
      </w:r>
    </w:p>
    <w:p w14:paraId="3ADFD32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（4）总价金额与按单价汇总金额不一致的，以单价金额计算结果为准。但是单价金额计算结果超过预算价的，对其按无效投标处理。</w:t>
      </w:r>
    </w:p>
    <w:p w14:paraId="06E15D3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注：同时出现两种以上不一致的，按照前款规定的顺序在系统上进行价格澄清。澄清后的价格加盖</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公章</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确认后产生约束力，但不得超出投标文件的范围或者改变投标文件的实质性内容，投标人不确认的，其投标无效。</w:t>
      </w:r>
    </w:p>
    <w:p w14:paraId="6BFAB384">
      <w:pPr>
        <w:pStyle w:val="19"/>
        <w:keepNext w:val="0"/>
        <w:keepLines w:val="0"/>
        <w:pageBreakBefore w:val="0"/>
        <w:widowControl/>
        <w:kinsoku/>
        <w:wordWrap/>
        <w:overflowPunct/>
        <w:topLinePunct w:val="0"/>
        <w:autoSpaceDE/>
        <w:autoSpaceDN/>
        <w:bidi w:val="0"/>
        <w:adjustRightInd/>
        <w:snapToGrid/>
        <w:spacing w:line="360" w:lineRule="auto"/>
        <w:textAlignment w:val="auto"/>
        <w:outlineLvl w:val="1"/>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86" w:name="_Toc2111"/>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二</w:t>
      </w:r>
      <w:r>
        <w:rPr>
          <w:rFonts w:hint="eastAsia" w:asciiTheme="minorEastAsia" w:hAnsiTheme="minorEastAsia" w:cstheme="minorEastAsia"/>
          <w:b/>
          <w:color w:val="000000" w:themeColor="text1"/>
          <w:sz w:val="21"/>
          <w:szCs w:val="21"/>
          <w:highlight w:val="none"/>
          <w:lang w:eastAsia="zh-CN"/>
          <w14:textFill>
            <w14:solidFill>
              <w14:schemeClr w14:val="tx1"/>
            </w14:solidFill>
          </w14:textFill>
        </w:rPr>
        <w:t>、</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政府采购政策落实</w:t>
      </w:r>
      <w:bookmarkEnd w:id="86"/>
    </w:p>
    <w:p w14:paraId="7690B820">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1.节能、环保要求</w:t>
      </w:r>
    </w:p>
    <w:p w14:paraId="3C1723D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采购的产品属于品目清单范围的，将依据国家确定的认证机构出具的、处于有效期之内的节能产品、环境标志产品认证证书，对获得证书的产品实施政府优先采购或强制采购，具体按照本招标文件相关要求执行。</w:t>
      </w:r>
    </w:p>
    <w:p w14:paraId="0EE4310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相关认证机构和获证产品信息以市场监管总局组织建立的节能产品、环境标志产品认证结果信息发布平台公布为准。</w:t>
      </w:r>
    </w:p>
    <w:p w14:paraId="0B6D76A3">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2.对符合本国产品标准的产品给予价格扣除</w:t>
      </w:r>
    </w:p>
    <w:p w14:paraId="39F14CB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依照《国务院办公厅关于在政府采购中实施本国产品标准及相关政策的通知》（国办发〔2025〕34号）及《财政部关于贯彻落实&lt;国务院办公厅关于在政府采购中实施本国产品标准及相关政策的通知&gt;的意见》（财库〔2025〕30号）等相关规定。</w:t>
      </w:r>
    </w:p>
    <w:p w14:paraId="0B0F6C48">
      <w:pPr>
        <w:pStyle w:val="19"/>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本国产品标准的适用范围</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D64B4E5">
      <w:pPr>
        <w:pStyle w:val="19"/>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准确界定产品在中国境内生产</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45C0A936">
      <w:pPr>
        <w:pStyle w:val="19"/>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对本国产品的支持政策</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。政府采购活动中既有本国产品又有非本国产品参与竞争的，依法对本国产品给予价格评审优惠，对本国产品的报价给予20%的价格扣除，用扣除后的价格参与评审。</w:t>
      </w:r>
    </w:p>
    <w:p w14:paraId="4A5D6E68">
      <w:pPr>
        <w:pStyle w:val="19"/>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362F3B3">
      <w:pPr>
        <w:pStyle w:val="19"/>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认真审查有关证明文件</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人应当在采购文件中明确对供应商所出具的《关于符合本国产品标准的声明函》（以下简称《声明函》）的完整性、准确性进行审查的要求，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14:paraId="2293B04E">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3.对小型、微型企业、监狱企业或残疾人福利性单位给予价格扣除</w:t>
      </w:r>
    </w:p>
    <w:p w14:paraId="17F1254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14:paraId="1FCD20F7">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4.价格扣除相关要求</w:t>
      </w:r>
    </w:p>
    <w:p w14:paraId="4301602F">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采购包1(阳江市阳东区合山镇第二小学食堂食材配送服务项目)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tbl>
      <w:tblPr>
        <w:tblStyle w:val="16"/>
        <w:tblW w:w="964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20"/>
        <w:gridCol w:w="1421"/>
        <w:gridCol w:w="2109"/>
        <w:gridCol w:w="886"/>
        <w:gridCol w:w="4505"/>
      </w:tblGrid>
      <w:tr w14:paraId="437303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89" w:hRule="atLeast"/>
          <w:jc w:val="center"/>
        </w:trPr>
        <w:tc>
          <w:tcPr>
            <w:tcW w:w="720" w:type="dxa"/>
            <w:vAlign w:val="center"/>
          </w:tcPr>
          <w:p w14:paraId="7B31CB20">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序号</w:t>
            </w:r>
          </w:p>
        </w:tc>
        <w:tc>
          <w:tcPr>
            <w:tcW w:w="1421" w:type="dxa"/>
            <w:vAlign w:val="center"/>
          </w:tcPr>
          <w:p w14:paraId="4F3C482E">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情形</w:t>
            </w:r>
          </w:p>
        </w:tc>
        <w:tc>
          <w:tcPr>
            <w:tcW w:w="2109" w:type="dxa"/>
            <w:vAlign w:val="center"/>
          </w:tcPr>
          <w:p w14:paraId="120C9FF2">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适用对象</w:t>
            </w:r>
          </w:p>
        </w:tc>
        <w:tc>
          <w:tcPr>
            <w:tcW w:w="886" w:type="dxa"/>
            <w:vAlign w:val="center"/>
          </w:tcPr>
          <w:p w14:paraId="50B3F226">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价格扣除比例</w:t>
            </w:r>
          </w:p>
        </w:tc>
        <w:tc>
          <w:tcPr>
            <w:tcW w:w="4505" w:type="dxa"/>
            <w:vAlign w:val="center"/>
          </w:tcPr>
          <w:p w14:paraId="59E5265A">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计算公式</w:t>
            </w:r>
          </w:p>
        </w:tc>
      </w:tr>
      <w:tr w14:paraId="23435F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0" w:type="dxa"/>
            <w:vAlign w:val="center"/>
          </w:tcPr>
          <w:p w14:paraId="04AAF075">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1421" w:type="dxa"/>
            <w:vAlign w:val="center"/>
          </w:tcPr>
          <w:p w14:paraId="53B4FECF">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小型、微型企业，监狱企业，残疾人福利性单位</w:t>
            </w:r>
          </w:p>
        </w:tc>
        <w:tc>
          <w:tcPr>
            <w:tcW w:w="2109" w:type="dxa"/>
            <w:vAlign w:val="center"/>
          </w:tcPr>
          <w:p w14:paraId="058CB883">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服务由小微企业承接</w:t>
            </w:r>
          </w:p>
        </w:tc>
        <w:tc>
          <w:tcPr>
            <w:tcW w:w="886" w:type="dxa"/>
            <w:vAlign w:val="center"/>
          </w:tcPr>
          <w:p w14:paraId="53E0D43D">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w:t>
            </w:r>
          </w:p>
        </w:tc>
        <w:tc>
          <w:tcPr>
            <w:tcW w:w="4505" w:type="dxa"/>
            <w:vAlign w:val="center"/>
          </w:tcPr>
          <w:p w14:paraId="78278CB3">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由小微企业承接，即提供服务的人员为小微企业依照《中华人民共和国劳动合同法》订立劳动合同的从业人员时，给予价格扣除C1，即：评标价=投标报价×（1-C1）;监狱企业与残疾人福利性单位视同小型、微型企业，享受同等价格扣除，当企业属性重复时，不重复价格扣除。</w:t>
            </w:r>
          </w:p>
        </w:tc>
      </w:tr>
      <w:tr w14:paraId="3D10F5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720" w:type="dxa"/>
            <w:shd w:val="clear" w:color="auto" w:fill="auto"/>
            <w:vAlign w:val="center"/>
          </w:tcPr>
          <w:p w14:paraId="091E704A">
            <w:pPr>
              <w:pStyle w:val="19"/>
              <w:jc w:val="center"/>
              <w:rPr>
                <w:rFonts w:hint="eastAsia" w:ascii="宋体" w:hAnsi="宋体" w:eastAsia="宋体" w:cs="宋体"/>
                <w:color w:val="000000" w:themeColor="text1"/>
                <w:highlight w:val="none"/>
                <w:lang w:val="en-US" w:eastAsia="zh-Hans"/>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w:t>
            </w:r>
          </w:p>
        </w:tc>
        <w:tc>
          <w:tcPr>
            <w:tcW w:w="1421" w:type="dxa"/>
            <w:shd w:val="clear" w:color="auto" w:fill="auto"/>
            <w:vAlign w:val="center"/>
          </w:tcPr>
          <w:p w14:paraId="4A30B27B">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小型、微型企业，监狱企业，残疾人福利性单位</w:t>
            </w:r>
          </w:p>
        </w:tc>
        <w:tc>
          <w:tcPr>
            <w:tcW w:w="2109" w:type="dxa"/>
            <w:shd w:val="clear" w:color="auto" w:fill="auto"/>
            <w:vAlign w:val="center"/>
          </w:tcPr>
          <w:p w14:paraId="4CFB3889">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投标（响应）供应商为大中型企业与小微企业组成联合体或者大中型企业向一家或者多家小微企业分包的，对于联合体协议或者分包意向协议约定小微企业的合同份额占到合同总金额30%以上</w:t>
            </w:r>
          </w:p>
        </w:tc>
        <w:tc>
          <w:tcPr>
            <w:tcW w:w="886" w:type="dxa"/>
            <w:shd w:val="clear" w:color="auto" w:fill="auto"/>
            <w:vAlign w:val="center"/>
          </w:tcPr>
          <w:p w14:paraId="0D7CB30E">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w:t>
            </w:r>
          </w:p>
        </w:tc>
        <w:tc>
          <w:tcPr>
            <w:tcW w:w="4505" w:type="dxa"/>
            <w:shd w:val="clear" w:color="auto" w:fill="auto"/>
            <w:vAlign w:val="center"/>
          </w:tcPr>
          <w:p w14:paraId="5339E74F">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大中型企业与小微企业组成联合体或者允许大中型企业向一家或者多家小微企业分包的采购项目，对于联合协议或者分包意向协议约定小微企业的合同份额占到合同总金额 30%以上的，报价给予价格扣除C1，即：评标价=投标报价×（1-C1）;监狱企业与残疾人福利性单位视同小型、微型企业，享受同等价格扣除，当企业属性重复时，不重复价格扣除。</w:t>
            </w:r>
          </w:p>
        </w:tc>
      </w:tr>
      <w:tr w14:paraId="31D9BE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641" w:type="dxa"/>
            <w:gridSpan w:val="5"/>
            <w:vAlign w:val="center"/>
          </w:tcPr>
          <w:p w14:paraId="13BCDFB3">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注：（1）上述评标价仅用于计算价格分，成交金额以实际投标价为准。 （2）组成联合体的大中型企业和其他自然人、法人或者其他组织、与小型、微型企业之间不得存在投资关系。</w:t>
            </w:r>
          </w:p>
        </w:tc>
      </w:tr>
    </w:tbl>
    <w:p w14:paraId="4C77A327">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AA1178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（1）所称小型和微型企业应当符合以下条件：</w:t>
      </w:r>
    </w:p>
    <w:p w14:paraId="271599C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在中华人民共和国境内依法设立，依据国务院批准的中小企业划分标准确定的小型企业和微型企业，但与大企业的负责人为同一人，或者与大企业存在直接控股、管理关系的除外。</w:t>
      </w:r>
    </w:p>
    <w:p w14:paraId="2AF6BF3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符合中小企业划分标准的个体工商户，在政府采购活动中视同中小企业。</w:t>
      </w:r>
    </w:p>
    <w:p w14:paraId="6684A5A3">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提供本企业（属于小微企业）制造的货物或者提供其他小型或微型企业制造的货物/提供本企业（属于小微企业）承接的服务。</w:t>
      </w:r>
    </w:p>
    <w:p w14:paraId="0485FF0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14:paraId="7FE5EEE3">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说明：投标人应当对其出具的《中小企业声明函》真实性负责，投标人出具的《中小企业声明函》内容不实的，属于提供虚假材料谋取中标。</w:t>
      </w:r>
    </w:p>
    <w:p w14:paraId="24CCBA2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14:paraId="2987A403">
      <w:pPr>
        <w:pStyle w:val="19"/>
        <w:keepNext w:val="0"/>
        <w:keepLines w:val="0"/>
        <w:pageBreakBefore w:val="0"/>
        <w:widowControl/>
        <w:kinsoku/>
        <w:wordWrap/>
        <w:overflowPunct/>
        <w:topLinePunct w:val="0"/>
        <w:autoSpaceDE/>
        <w:autoSpaceDN/>
        <w:bidi w:val="0"/>
        <w:adjustRightInd/>
        <w:snapToGrid/>
        <w:spacing w:line="360" w:lineRule="auto"/>
        <w:textAlignment w:val="auto"/>
        <w:outlineLvl w:val="1"/>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87" w:name="_Toc27458"/>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三、评审程序</w:t>
      </w:r>
      <w:bookmarkEnd w:id="87"/>
    </w:p>
    <w:p w14:paraId="324B6256">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1.资格性审查和符合性审查</w:t>
      </w:r>
    </w:p>
    <w:p w14:paraId="54D59BE7">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资格性审查。公开招标采购项目开标结束后，采购人或采购代理机构应当依法对投标人的资格进行审查，以确定投标人是否具备投标资格。（详见后附表一资格性审查表）</w:t>
      </w:r>
    </w:p>
    <w:p w14:paraId="3DF466D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符合性审查。评标委员会依据招标文件的规定，从投标文件的有效性、完整性和对招标文件的响应程度进行审查，以确定是否对招标文件的实质性要求作出响应。（详见后附表二符合性审查表）</w:t>
      </w:r>
    </w:p>
    <w:p w14:paraId="383BA52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资格性审查和符合性审查中凡有其中任意一项未通过的，评审结果为未通过，未通过资格性审查、符合性审查的投标人按无效投标处理。</w:t>
      </w:r>
    </w:p>
    <w:p w14:paraId="553A4FC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对各投标人进行资格审查和符合性审查过程中，对初步被认定为无效投标者，由评标委员会组长或采购人代表将集体意见及时告知投标当事人。</w:t>
      </w:r>
    </w:p>
    <w:p w14:paraId="22943087">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4E6F604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合格投标人不足3家的，不得评标。</w:t>
      </w:r>
    </w:p>
    <w:p w14:paraId="52A0DED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表一资格性审查表：</w:t>
      </w:r>
    </w:p>
    <w:p w14:paraId="698FFBE5">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采购包1(阳江市阳东区合山镇第二小学食堂食材配送服务项目)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tbl>
      <w:tblPr>
        <w:tblStyle w:val="16"/>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67"/>
        <w:gridCol w:w="2167"/>
        <w:gridCol w:w="6037"/>
      </w:tblGrid>
      <w:tr w14:paraId="772D83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96" w:hRule="atLeast"/>
          <w:jc w:val="center"/>
        </w:trPr>
        <w:tc>
          <w:tcPr>
            <w:tcW w:w="867" w:type="dxa"/>
            <w:vAlign w:val="top"/>
          </w:tcPr>
          <w:p w14:paraId="0B5FB8B0">
            <w:pPr>
              <w:pStyle w:val="19"/>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8204" w:type="dxa"/>
            <w:gridSpan w:val="2"/>
            <w:vAlign w:val="top"/>
          </w:tcPr>
          <w:p w14:paraId="7D81274E">
            <w:pPr>
              <w:pStyle w:val="19"/>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资格审查内容</w:t>
            </w:r>
          </w:p>
        </w:tc>
      </w:tr>
      <w:tr w14:paraId="62A282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67" w:type="dxa"/>
            <w:vAlign w:val="center"/>
          </w:tcPr>
          <w:p w14:paraId="11009C0C">
            <w:pPr>
              <w:pStyle w:val="19"/>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2167" w:type="dxa"/>
            <w:vAlign w:val="center"/>
          </w:tcPr>
          <w:p w14:paraId="4A4B94E8">
            <w:pPr>
              <w:pStyle w:val="19"/>
              <w:keepNext w:val="0"/>
              <w:keepLines w:val="0"/>
              <w:pageBreakBefore w:val="0"/>
              <w:kinsoku/>
              <w:wordWrap/>
              <w:overflowPunct/>
              <w:topLinePunct w:val="0"/>
              <w:autoSpaceDE/>
              <w:autoSpaceDN/>
              <w:bidi w:val="0"/>
              <w:adjustRightInd/>
              <w:snapToGrid/>
              <w:spacing w:line="320" w:lineRule="exact"/>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具有独立承担民事责任的能力</w:t>
            </w:r>
          </w:p>
        </w:tc>
        <w:tc>
          <w:tcPr>
            <w:tcW w:w="6037" w:type="dxa"/>
            <w:vAlign w:val="top"/>
          </w:tcPr>
          <w:p w14:paraId="612E80EC">
            <w:pPr>
              <w:pStyle w:val="19"/>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tc>
      </w:tr>
      <w:tr w14:paraId="685EFE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67" w:type="dxa"/>
            <w:vAlign w:val="center"/>
          </w:tcPr>
          <w:p w14:paraId="4F18955E">
            <w:pPr>
              <w:pStyle w:val="19"/>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tc>
        <w:tc>
          <w:tcPr>
            <w:tcW w:w="2167" w:type="dxa"/>
            <w:vAlign w:val="center"/>
          </w:tcPr>
          <w:p w14:paraId="6F0E634F">
            <w:pPr>
              <w:pStyle w:val="19"/>
              <w:keepNext w:val="0"/>
              <w:keepLines w:val="0"/>
              <w:pageBreakBefore w:val="0"/>
              <w:kinsoku/>
              <w:wordWrap/>
              <w:overflowPunct/>
              <w:topLinePunct w:val="0"/>
              <w:autoSpaceDE/>
              <w:autoSpaceDN/>
              <w:bidi w:val="0"/>
              <w:adjustRightInd/>
              <w:snapToGrid/>
              <w:spacing w:line="320" w:lineRule="exact"/>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有依法缴纳税收和社会保障资金的良好记录</w:t>
            </w:r>
          </w:p>
        </w:tc>
        <w:tc>
          <w:tcPr>
            <w:tcW w:w="6037" w:type="dxa"/>
            <w:vAlign w:val="top"/>
          </w:tcPr>
          <w:p w14:paraId="7CF795F7">
            <w:pPr>
              <w:pStyle w:val="19"/>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提供投标截止日前6个月内任意1个月依法缴纳税收和社会保障资金的相关材料或出具《承诺函》。如依法免税或不需要缴纳社会保障资金的，提供相应证明材料。</w:t>
            </w:r>
          </w:p>
        </w:tc>
      </w:tr>
      <w:tr w14:paraId="1D639F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67" w:type="dxa"/>
            <w:vAlign w:val="center"/>
          </w:tcPr>
          <w:p w14:paraId="6B114EC4">
            <w:pPr>
              <w:pStyle w:val="19"/>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tc>
        <w:tc>
          <w:tcPr>
            <w:tcW w:w="2167" w:type="dxa"/>
            <w:vAlign w:val="center"/>
          </w:tcPr>
          <w:p w14:paraId="4D0A1858">
            <w:pPr>
              <w:pStyle w:val="19"/>
              <w:keepNext w:val="0"/>
              <w:keepLines w:val="0"/>
              <w:pageBreakBefore w:val="0"/>
              <w:kinsoku/>
              <w:wordWrap/>
              <w:overflowPunct/>
              <w:topLinePunct w:val="0"/>
              <w:autoSpaceDE/>
              <w:autoSpaceDN/>
              <w:bidi w:val="0"/>
              <w:adjustRightInd/>
              <w:snapToGrid/>
              <w:spacing w:line="320" w:lineRule="exact"/>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具有良好的商业信誉和健全的财务会计制度</w:t>
            </w:r>
          </w:p>
        </w:tc>
        <w:tc>
          <w:tcPr>
            <w:tcW w:w="6037" w:type="dxa"/>
            <w:vAlign w:val="top"/>
          </w:tcPr>
          <w:p w14:paraId="22414772">
            <w:pPr>
              <w:pStyle w:val="19"/>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投标人必须具有良好的商业信誉和健全的财务会计制度（提供202</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年度财务状况报告或202</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年至今任意一个月的财务报表或基本开户行出具的资信证明或出具《承诺函》）。</w:t>
            </w:r>
          </w:p>
        </w:tc>
      </w:tr>
      <w:tr w14:paraId="05EB48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67" w:type="dxa"/>
            <w:vAlign w:val="center"/>
          </w:tcPr>
          <w:p w14:paraId="1EEF0D3F">
            <w:pPr>
              <w:pStyle w:val="19"/>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w:t>
            </w:r>
          </w:p>
        </w:tc>
        <w:tc>
          <w:tcPr>
            <w:tcW w:w="2167" w:type="dxa"/>
            <w:vAlign w:val="center"/>
          </w:tcPr>
          <w:p w14:paraId="4E027860">
            <w:pPr>
              <w:pStyle w:val="19"/>
              <w:keepNext w:val="0"/>
              <w:keepLines w:val="0"/>
              <w:pageBreakBefore w:val="0"/>
              <w:kinsoku/>
              <w:wordWrap/>
              <w:overflowPunct/>
              <w:topLinePunct w:val="0"/>
              <w:autoSpaceDE/>
              <w:autoSpaceDN/>
              <w:bidi w:val="0"/>
              <w:adjustRightInd/>
              <w:snapToGrid/>
              <w:spacing w:line="320" w:lineRule="exact"/>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履行合同所必需的设备和专业技术能力</w:t>
            </w:r>
          </w:p>
        </w:tc>
        <w:tc>
          <w:tcPr>
            <w:tcW w:w="6037" w:type="dxa"/>
            <w:vAlign w:val="top"/>
          </w:tcPr>
          <w:p w14:paraId="5F483BF9">
            <w:pPr>
              <w:pStyle w:val="19"/>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提供</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设备及专业技术能力情况或出具《承诺函》。</w:t>
            </w:r>
          </w:p>
        </w:tc>
      </w:tr>
      <w:tr w14:paraId="06CCF8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67" w:type="dxa"/>
            <w:vAlign w:val="center"/>
          </w:tcPr>
          <w:p w14:paraId="4065FDB1">
            <w:pPr>
              <w:pStyle w:val="19"/>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w:t>
            </w:r>
          </w:p>
        </w:tc>
        <w:tc>
          <w:tcPr>
            <w:tcW w:w="2167" w:type="dxa"/>
            <w:vAlign w:val="center"/>
          </w:tcPr>
          <w:p w14:paraId="2714BA69">
            <w:pPr>
              <w:pStyle w:val="19"/>
              <w:keepNext w:val="0"/>
              <w:keepLines w:val="0"/>
              <w:pageBreakBefore w:val="0"/>
              <w:kinsoku/>
              <w:wordWrap/>
              <w:overflowPunct/>
              <w:topLinePunct w:val="0"/>
              <w:autoSpaceDE/>
              <w:autoSpaceDN/>
              <w:bidi w:val="0"/>
              <w:adjustRightInd/>
              <w:snapToGrid/>
              <w:spacing w:line="320" w:lineRule="exact"/>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参加采购活动前3年内，在经营活动中没有重大违法记录</w:t>
            </w:r>
          </w:p>
        </w:tc>
        <w:tc>
          <w:tcPr>
            <w:tcW w:w="6037" w:type="dxa"/>
            <w:vAlign w:val="top"/>
          </w:tcPr>
          <w:p w14:paraId="0AE770C6">
            <w:pPr>
              <w:pStyle w:val="19"/>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color w:val="000000" w:themeColor="text1"/>
                <w:highlight w:val="none"/>
                <w:lang w:val="en-US" w:eastAsia="zh-CN"/>
                <w14:textFill>
                  <w14:solidFill>
                    <w14:schemeClr w14:val="tx1"/>
                  </w14:solidFill>
                </w14:textFill>
              </w:rPr>
              <w:t>提供</w:t>
            </w:r>
            <w:r>
              <w:rPr>
                <w:rFonts w:ascii="宋体" w:hAnsi="宋体"/>
                <w:color w:val="000000" w:themeColor="text1"/>
                <w:highlight w:val="none"/>
                <w14:textFill>
                  <w14:solidFill>
                    <w14:schemeClr w14:val="tx1"/>
                  </w14:solidFill>
                </w14:textFill>
              </w:rPr>
              <w:t>《承诺函》。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14:paraId="11E3BC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67" w:type="dxa"/>
            <w:vAlign w:val="center"/>
          </w:tcPr>
          <w:p w14:paraId="18CDF0B2">
            <w:pPr>
              <w:pStyle w:val="19"/>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w:t>
            </w:r>
          </w:p>
        </w:tc>
        <w:tc>
          <w:tcPr>
            <w:tcW w:w="2167" w:type="dxa"/>
            <w:vAlign w:val="center"/>
          </w:tcPr>
          <w:p w14:paraId="7F80A966">
            <w:pPr>
              <w:pStyle w:val="19"/>
              <w:keepNext w:val="0"/>
              <w:keepLines w:val="0"/>
              <w:pageBreakBefore w:val="0"/>
              <w:kinsoku/>
              <w:wordWrap/>
              <w:overflowPunct/>
              <w:topLinePunct w:val="0"/>
              <w:autoSpaceDE/>
              <w:autoSpaceDN/>
              <w:bidi w:val="0"/>
              <w:adjustRightInd/>
              <w:snapToGrid/>
              <w:spacing w:line="320" w:lineRule="exact"/>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信用记录</w:t>
            </w:r>
          </w:p>
        </w:tc>
        <w:tc>
          <w:tcPr>
            <w:tcW w:w="6037" w:type="dxa"/>
            <w:vAlign w:val="top"/>
          </w:tcPr>
          <w:p w14:paraId="08330114">
            <w:pPr>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投标人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14:paraId="3F854E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748" w:hRule="atLeast"/>
          <w:jc w:val="center"/>
        </w:trPr>
        <w:tc>
          <w:tcPr>
            <w:tcW w:w="867" w:type="dxa"/>
            <w:vAlign w:val="center"/>
          </w:tcPr>
          <w:p w14:paraId="0367624D">
            <w:pPr>
              <w:pStyle w:val="19"/>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7</w:t>
            </w:r>
          </w:p>
        </w:tc>
        <w:tc>
          <w:tcPr>
            <w:tcW w:w="2167" w:type="dxa"/>
            <w:vAlign w:val="center"/>
          </w:tcPr>
          <w:p w14:paraId="63095433">
            <w:pPr>
              <w:pStyle w:val="19"/>
              <w:keepNext w:val="0"/>
              <w:keepLines w:val="0"/>
              <w:pageBreakBefore w:val="0"/>
              <w:kinsoku/>
              <w:wordWrap/>
              <w:overflowPunct/>
              <w:topLinePunct w:val="0"/>
              <w:autoSpaceDE/>
              <w:autoSpaceDN/>
              <w:bidi w:val="0"/>
              <w:adjustRightInd/>
              <w:snapToGrid/>
              <w:spacing w:line="320" w:lineRule="exact"/>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供应商必须符合法律、行政法规规定的其他条件</w:t>
            </w:r>
          </w:p>
        </w:tc>
        <w:tc>
          <w:tcPr>
            <w:tcW w:w="6037" w:type="dxa"/>
            <w:vAlign w:val="top"/>
          </w:tcPr>
          <w:p w14:paraId="780A899B">
            <w:pPr>
              <w:pStyle w:val="19"/>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tc>
      </w:tr>
      <w:tr w14:paraId="175042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67" w:type="dxa"/>
            <w:vAlign w:val="center"/>
          </w:tcPr>
          <w:p w14:paraId="782037C8">
            <w:pPr>
              <w:pStyle w:val="19"/>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w:t>
            </w:r>
          </w:p>
        </w:tc>
        <w:tc>
          <w:tcPr>
            <w:tcW w:w="2167" w:type="dxa"/>
            <w:vAlign w:val="center"/>
          </w:tcPr>
          <w:p w14:paraId="214B283A">
            <w:pPr>
              <w:pStyle w:val="19"/>
              <w:keepNext w:val="0"/>
              <w:keepLines w:val="0"/>
              <w:pageBreakBefore w:val="0"/>
              <w:kinsoku/>
              <w:wordWrap/>
              <w:overflowPunct/>
              <w:topLinePunct w:val="0"/>
              <w:autoSpaceDE/>
              <w:autoSpaceDN/>
              <w:bidi w:val="0"/>
              <w:adjustRightInd/>
              <w:snapToGrid/>
              <w:spacing w:line="320" w:lineRule="exact"/>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color w:val="000000" w:themeColor="text1"/>
                <w:highlight w:val="none"/>
                <w14:textFill>
                  <w14:solidFill>
                    <w14:schemeClr w14:val="tx1"/>
                  </w14:solidFill>
                </w14:textFill>
              </w:rPr>
              <w:t>特定资格要求</w:t>
            </w:r>
          </w:p>
        </w:tc>
        <w:tc>
          <w:tcPr>
            <w:tcW w:w="6037" w:type="dxa"/>
            <w:vAlign w:val="top"/>
          </w:tcPr>
          <w:p w14:paraId="03025C77">
            <w:pPr>
              <w:pStyle w:val="19"/>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投标</w:t>
            </w:r>
            <w:r>
              <w:rPr>
                <w:rFonts w:hint="eastAsia" w:ascii="宋体" w:hAnsi="宋体"/>
                <w:color w:val="000000" w:themeColor="text1"/>
                <w:highlight w:val="none"/>
                <w:lang w:eastAsia="zh-CN"/>
                <w14:textFill>
                  <w14:solidFill>
                    <w14:schemeClr w14:val="tx1"/>
                  </w14:solidFill>
                </w14:textFill>
              </w:rPr>
              <w:t>人</w:t>
            </w:r>
            <w:r>
              <w:rPr>
                <w:rFonts w:hint="eastAsia" w:ascii="宋体" w:hAnsi="宋体"/>
                <w:color w:val="000000" w:themeColor="text1"/>
                <w:highlight w:val="none"/>
                <w14:textFill>
                  <w14:solidFill>
                    <w14:schemeClr w14:val="tx1"/>
                  </w14:solidFill>
                </w14:textFill>
              </w:rPr>
              <w:t>须具有在有效期内的《食品经营许可证》，提供复印件加盖投标</w:t>
            </w:r>
            <w:r>
              <w:rPr>
                <w:rFonts w:hint="eastAsia" w:ascii="宋体" w:hAnsi="宋体"/>
                <w:color w:val="000000" w:themeColor="text1"/>
                <w:highlight w:val="none"/>
                <w:lang w:eastAsia="zh-CN"/>
                <w14:textFill>
                  <w14:solidFill>
                    <w14:schemeClr w14:val="tx1"/>
                  </w14:solidFill>
                </w14:textFill>
              </w:rPr>
              <w:t>人</w:t>
            </w:r>
            <w:r>
              <w:rPr>
                <w:rFonts w:hint="eastAsia" w:ascii="宋体" w:hAnsi="宋体"/>
                <w:color w:val="000000" w:themeColor="text1"/>
                <w:highlight w:val="none"/>
                <w14:textFill>
                  <w14:solidFill>
                    <w14:schemeClr w14:val="tx1"/>
                  </w14:solidFill>
                </w14:textFill>
              </w:rPr>
              <w:t>公章；</w:t>
            </w:r>
          </w:p>
        </w:tc>
      </w:tr>
      <w:tr w14:paraId="7D2013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67" w:type="dxa"/>
            <w:vAlign w:val="center"/>
          </w:tcPr>
          <w:p w14:paraId="65702283">
            <w:pPr>
              <w:pStyle w:val="19"/>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9</w:t>
            </w:r>
          </w:p>
        </w:tc>
        <w:tc>
          <w:tcPr>
            <w:tcW w:w="2167" w:type="dxa"/>
            <w:vAlign w:val="center"/>
          </w:tcPr>
          <w:p w14:paraId="539E701B">
            <w:pPr>
              <w:keepNext w:val="0"/>
              <w:keepLines w:val="0"/>
              <w:pageBreakBefore w:val="0"/>
              <w:kinsoku/>
              <w:wordWrap/>
              <w:overflowPunct/>
              <w:topLinePunct w:val="0"/>
              <w:autoSpaceDE/>
              <w:autoSpaceDN/>
              <w:bidi w:val="0"/>
              <w:adjustRightInd/>
              <w:snapToGrid/>
              <w:spacing w:line="320" w:lineRule="exact"/>
              <w:jc w:val="both"/>
              <w:textAlignment w:val="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特定资格要求</w:t>
            </w:r>
          </w:p>
        </w:tc>
        <w:tc>
          <w:tcPr>
            <w:tcW w:w="6037" w:type="dxa"/>
            <w:vAlign w:val="top"/>
          </w:tcPr>
          <w:p w14:paraId="221EE513">
            <w:pPr>
              <w:pStyle w:val="19"/>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color w:val="000000" w:themeColor="text1"/>
                <w:highlight w:val="none"/>
                <w14:textFill>
                  <w14:solidFill>
                    <w14:schemeClr w14:val="tx1"/>
                  </w14:solidFill>
                </w14:textFill>
              </w:rPr>
              <w:t>经营场所、仓库距离粪坑、污水池、暴露垃圾场（站）、旱厕等污染源25米以上，不得设置在粉尘、有害气体、放射性物质和其他扩散性污染源的影响范围之内。（提供承诺函，格式自拟）</w:t>
            </w:r>
          </w:p>
        </w:tc>
      </w:tr>
      <w:tr w14:paraId="3C1787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67" w:type="dxa"/>
            <w:vAlign w:val="center"/>
          </w:tcPr>
          <w:p w14:paraId="0FEA17C3">
            <w:pPr>
              <w:pStyle w:val="19"/>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10</w:t>
            </w:r>
          </w:p>
        </w:tc>
        <w:tc>
          <w:tcPr>
            <w:tcW w:w="2167" w:type="dxa"/>
            <w:vAlign w:val="center"/>
          </w:tcPr>
          <w:p w14:paraId="5B10D0AD">
            <w:pPr>
              <w:keepNext w:val="0"/>
              <w:keepLines w:val="0"/>
              <w:pageBreakBefore w:val="0"/>
              <w:kinsoku/>
              <w:wordWrap/>
              <w:overflowPunct/>
              <w:topLinePunct w:val="0"/>
              <w:autoSpaceDE/>
              <w:autoSpaceDN/>
              <w:bidi w:val="0"/>
              <w:adjustRightInd/>
              <w:snapToGrid/>
              <w:spacing w:line="320" w:lineRule="exact"/>
              <w:jc w:val="both"/>
              <w:textAlignment w:val="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特定资格要求</w:t>
            </w:r>
          </w:p>
        </w:tc>
        <w:tc>
          <w:tcPr>
            <w:tcW w:w="6037" w:type="dxa"/>
            <w:vAlign w:val="top"/>
          </w:tcPr>
          <w:p w14:paraId="77EDD0DF">
            <w:pPr>
              <w:pStyle w:val="19"/>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color w:val="000000" w:themeColor="text1"/>
                <w:highlight w:val="none"/>
                <w14:textFill>
                  <w14:solidFill>
                    <w14:schemeClr w14:val="tx1"/>
                  </w14:solidFill>
                </w14:textFill>
              </w:rPr>
              <w:t>建立良好的食品安全管理体系，建立食品安全管理架构和相关食品安全管理制度，建立“日管控、周排查、月调度”食品安全自查制度，食品采购、贮存、加工、运输符合相关法律法规要求。（提供承诺函，格式自拟）</w:t>
            </w:r>
          </w:p>
        </w:tc>
      </w:tr>
      <w:tr w14:paraId="7A9BE0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67" w:type="dxa"/>
            <w:vAlign w:val="center"/>
          </w:tcPr>
          <w:p w14:paraId="3FF1B3F2">
            <w:pPr>
              <w:pStyle w:val="19"/>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11</w:t>
            </w:r>
          </w:p>
        </w:tc>
        <w:tc>
          <w:tcPr>
            <w:tcW w:w="2167" w:type="dxa"/>
            <w:vAlign w:val="center"/>
          </w:tcPr>
          <w:p w14:paraId="2D67D7EF">
            <w:pPr>
              <w:keepNext w:val="0"/>
              <w:keepLines w:val="0"/>
              <w:pageBreakBefore w:val="0"/>
              <w:kinsoku/>
              <w:wordWrap/>
              <w:overflowPunct/>
              <w:topLinePunct w:val="0"/>
              <w:autoSpaceDE/>
              <w:autoSpaceDN/>
              <w:bidi w:val="0"/>
              <w:adjustRightInd/>
              <w:snapToGrid/>
              <w:spacing w:line="320" w:lineRule="exact"/>
              <w:jc w:val="both"/>
              <w:textAlignment w:val="auto"/>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特定资格要求</w:t>
            </w:r>
          </w:p>
        </w:tc>
        <w:tc>
          <w:tcPr>
            <w:tcW w:w="6037" w:type="dxa"/>
            <w:vAlign w:val="top"/>
          </w:tcPr>
          <w:p w14:paraId="2942B064">
            <w:pPr>
              <w:pStyle w:val="19"/>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宋体" w:hAnsi="宋体"/>
                <w:color w:val="000000" w:themeColor="text1"/>
                <w:highlight w:val="none"/>
                <w14:textFill>
                  <w14:solidFill>
                    <w14:schemeClr w14:val="tx1"/>
                  </w14:solidFill>
                </w14:textFill>
              </w:rPr>
              <w:t>建有监控系统，能够保存15天或以上的食品贮存、加工过程视频监控。（提供承诺函，格式自拟）</w:t>
            </w:r>
          </w:p>
        </w:tc>
      </w:tr>
      <w:tr w14:paraId="744E95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67" w:type="dxa"/>
            <w:vAlign w:val="center"/>
          </w:tcPr>
          <w:p w14:paraId="251C804B">
            <w:pPr>
              <w:pStyle w:val="19"/>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12</w:t>
            </w:r>
          </w:p>
        </w:tc>
        <w:tc>
          <w:tcPr>
            <w:tcW w:w="2167" w:type="dxa"/>
            <w:vAlign w:val="center"/>
          </w:tcPr>
          <w:p w14:paraId="33F920A2">
            <w:pPr>
              <w:pStyle w:val="19"/>
              <w:keepNext w:val="0"/>
              <w:keepLines w:val="0"/>
              <w:pageBreakBefore w:val="0"/>
              <w:kinsoku/>
              <w:wordWrap/>
              <w:overflowPunct/>
              <w:topLinePunct w:val="0"/>
              <w:autoSpaceDE/>
              <w:autoSpaceDN/>
              <w:bidi w:val="0"/>
              <w:adjustRightInd/>
              <w:snapToGrid/>
              <w:spacing w:line="320" w:lineRule="exact"/>
              <w:jc w:val="both"/>
              <w:textAlignment w:val="auto"/>
              <w:rPr>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本项目不接受联合体投标</w:t>
            </w:r>
          </w:p>
        </w:tc>
        <w:tc>
          <w:tcPr>
            <w:tcW w:w="6037" w:type="dxa"/>
            <w:vAlign w:val="top"/>
          </w:tcPr>
          <w:p w14:paraId="4460D8EC">
            <w:pPr>
              <w:pStyle w:val="19"/>
              <w:keepNext w:val="0"/>
              <w:keepLines w:val="0"/>
              <w:pageBreakBefore w:val="0"/>
              <w:kinsoku/>
              <w:wordWrap/>
              <w:overflowPunct/>
              <w:topLinePunct w:val="0"/>
              <w:autoSpaceDE/>
              <w:autoSpaceDN/>
              <w:bidi w:val="0"/>
              <w:adjustRightInd/>
              <w:snapToGrid/>
              <w:spacing w:line="320" w:lineRule="exac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本项目不接受联合体投标</w:t>
            </w:r>
          </w:p>
        </w:tc>
      </w:tr>
      <w:tr w14:paraId="434437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67" w:type="dxa"/>
            <w:vAlign w:val="center"/>
          </w:tcPr>
          <w:p w14:paraId="607D8B82">
            <w:pPr>
              <w:pStyle w:val="19"/>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13</w:t>
            </w:r>
          </w:p>
        </w:tc>
        <w:tc>
          <w:tcPr>
            <w:tcW w:w="2167" w:type="dxa"/>
            <w:vAlign w:val="center"/>
          </w:tcPr>
          <w:p w14:paraId="5A2D504B">
            <w:pPr>
              <w:pStyle w:val="19"/>
              <w:keepNext w:val="0"/>
              <w:keepLines w:val="0"/>
              <w:pageBreakBefore w:val="0"/>
              <w:kinsoku/>
              <w:wordWrap/>
              <w:overflowPunct/>
              <w:topLinePunct w:val="0"/>
              <w:autoSpaceDE/>
              <w:autoSpaceDN/>
              <w:bidi w:val="0"/>
              <w:adjustRightInd/>
              <w:snapToGrid/>
              <w:spacing w:line="320" w:lineRule="exact"/>
              <w:jc w:val="both"/>
              <w:textAlignment w:val="auto"/>
              <w:rPr>
                <w:rFonts w:hint="eastAsia" w:ascii="宋体"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本采购包专门面向中小企业采购</w:t>
            </w:r>
          </w:p>
        </w:tc>
        <w:tc>
          <w:tcPr>
            <w:tcW w:w="6037" w:type="dxa"/>
            <w:vAlign w:val="top"/>
          </w:tcPr>
          <w:p w14:paraId="31B5E972">
            <w:pPr>
              <w:pStyle w:val="19"/>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参与的供应商（联合体）服务全部由符合政策要求的</w:t>
            </w:r>
            <w:r>
              <w:rPr>
                <w:rFonts w:hint="eastAsia"/>
                <w:color w:val="000000" w:themeColor="text1"/>
                <w:highlight w:val="none"/>
                <w:lang w:val="en-US" w:eastAsia="zh-CN"/>
                <w14:textFill>
                  <w14:solidFill>
                    <w14:schemeClr w14:val="tx1"/>
                  </w14:solidFill>
                </w14:textFill>
              </w:rPr>
              <w:t>中小</w:t>
            </w:r>
            <w:r>
              <w:rPr>
                <w:color w:val="000000" w:themeColor="text1"/>
                <w:highlight w:val="none"/>
                <w14:textFill>
                  <w14:solidFill>
                    <w14:schemeClr w14:val="tx1"/>
                  </w14:solidFill>
                </w14:textFill>
              </w:rPr>
              <w:t>企业承接</w:t>
            </w:r>
          </w:p>
        </w:tc>
      </w:tr>
    </w:tbl>
    <w:p w14:paraId="2503E349">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F65CF13">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表二符合性审查表：</w:t>
      </w:r>
    </w:p>
    <w:p w14:paraId="6FFA9222">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采购包1(阳江市阳东区合山镇第二小学食堂食材配送服务项目)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tbl>
      <w:tblPr>
        <w:tblStyle w:val="16"/>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72"/>
        <w:gridCol w:w="2222"/>
        <w:gridCol w:w="5877"/>
      </w:tblGrid>
      <w:tr w14:paraId="227198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2BB47D41">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序号</w:t>
            </w:r>
          </w:p>
        </w:tc>
        <w:tc>
          <w:tcPr>
            <w:tcW w:w="2222" w:type="dxa"/>
            <w:vAlign w:val="top"/>
          </w:tcPr>
          <w:p w14:paraId="0C08A8BF">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评审点要求概况</w:t>
            </w:r>
          </w:p>
        </w:tc>
        <w:tc>
          <w:tcPr>
            <w:tcW w:w="5877" w:type="dxa"/>
            <w:vAlign w:val="top"/>
          </w:tcPr>
          <w:p w14:paraId="51898E1C">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评审点具体描述</w:t>
            </w:r>
          </w:p>
        </w:tc>
      </w:tr>
      <w:tr w14:paraId="2EF3C2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03" w:hRule="atLeast"/>
          <w:jc w:val="center"/>
        </w:trPr>
        <w:tc>
          <w:tcPr>
            <w:tcW w:w="972" w:type="dxa"/>
            <w:vAlign w:val="center"/>
          </w:tcPr>
          <w:p w14:paraId="38475FD3">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2222" w:type="dxa"/>
            <w:shd w:val="clear" w:color="auto" w:fill="auto"/>
            <w:vAlign w:val="center"/>
          </w:tcPr>
          <w:p w14:paraId="1C769C7B">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须满足带“★”号要求</w:t>
            </w:r>
          </w:p>
        </w:tc>
        <w:tc>
          <w:tcPr>
            <w:tcW w:w="5877" w:type="dxa"/>
            <w:shd w:val="clear" w:color="auto" w:fill="auto"/>
            <w:vAlign w:val="center"/>
          </w:tcPr>
          <w:p w14:paraId="3110DB97">
            <w:pPr>
              <w:pStyle w:val="19"/>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lang w:val="en-US" w:eastAsia="zh-Hans"/>
                <w14:textFill>
                  <w14:solidFill>
                    <w14:schemeClr w14:val="tx1"/>
                  </w14:solidFill>
                </w14:textFill>
              </w:rPr>
              <w:t>★所有食材要求为非转基因食品。</w:t>
            </w:r>
          </w:p>
        </w:tc>
      </w:tr>
      <w:tr w14:paraId="7A04C5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7F2EB742">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2222" w:type="dxa"/>
            <w:shd w:val="clear" w:color="auto" w:fill="auto"/>
            <w:vAlign w:val="center"/>
          </w:tcPr>
          <w:p w14:paraId="5DB4DDB2">
            <w:pPr>
              <w:pStyle w:val="19"/>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服务期须满足要求</w:t>
            </w:r>
          </w:p>
        </w:tc>
        <w:tc>
          <w:tcPr>
            <w:tcW w:w="5877" w:type="dxa"/>
            <w:shd w:val="clear" w:color="auto" w:fill="auto"/>
            <w:vAlign w:val="center"/>
          </w:tcPr>
          <w:p w14:paraId="3FE0AEDC">
            <w:pPr>
              <w:pStyle w:val="19"/>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14:textFill>
                  <w14:solidFill>
                    <w14:schemeClr w14:val="tx1"/>
                  </w14:solidFill>
                </w14:textFill>
              </w:rPr>
              <w:t>2026年9月1日至2027年8月30日。</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（超出该服务期作无效投标处理）</w:t>
            </w:r>
          </w:p>
        </w:tc>
      </w:tr>
      <w:tr w14:paraId="0CABC8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7872C613">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p>
        </w:tc>
        <w:tc>
          <w:tcPr>
            <w:tcW w:w="2222" w:type="dxa"/>
            <w:shd w:val="clear" w:color="auto" w:fill="auto"/>
            <w:vAlign w:val="center"/>
          </w:tcPr>
          <w:p w14:paraId="50FF4EA4">
            <w:pPr>
              <w:pStyle w:val="19"/>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投标报价未超出报价上限</w:t>
            </w:r>
          </w:p>
        </w:tc>
        <w:tc>
          <w:tcPr>
            <w:tcW w:w="5877" w:type="dxa"/>
            <w:shd w:val="clear" w:color="auto" w:fill="auto"/>
            <w:vAlign w:val="center"/>
          </w:tcPr>
          <w:p w14:paraId="1D98FD60">
            <w:pPr>
              <w:pStyle w:val="19"/>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投标</w:t>
            </w:r>
            <w:r>
              <w:rPr>
                <w:rFonts w:hint="eastAsia" w:ascii="宋体" w:hAnsi="宋体"/>
                <w:bCs/>
                <w:color w:val="000000" w:themeColor="text1"/>
                <w:highlight w:val="none"/>
                <w:lang w:val="en-US" w:eastAsia="zh-CN"/>
                <w14:textFill>
                  <w14:solidFill>
                    <w14:schemeClr w14:val="tx1"/>
                  </w14:solidFill>
                </w14:textFill>
              </w:rPr>
              <w:t>折扣率</w:t>
            </w:r>
            <w:r>
              <w:rPr>
                <w:rFonts w:hint="eastAsia" w:ascii="宋体" w:hAnsi="宋体" w:eastAsia="宋体" w:cs="宋体"/>
                <w:color w:val="000000" w:themeColor="text1"/>
                <w:sz w:val="21"/>
                <w:szCs w:val="21"/>
                <w:highlight w:val="none"/>
                <w14:textFill>
                  <w14:solidFill>
                    <w14:schemeClr w14:val="tx1"/>
                  </w14:solidFill>
                </w14:textFill>
              </w:rPr>
              <w:t>报价</w:t>
            </w:r>
            <w:r>
              <w:rPr>
                <w:rFonts w:hint="eastAsia" w:ascii="宋体" w:hAnsi="宋体" w:eastAsia="宋体" w:cs="宋体"/>
                <w:color w:val="000000" w:themeColor="text1"/>
                <w:sz w:val="21"/>
                <w:szCs w:val="21"/>
                <w:highlight w:val="none"/>
                <w:lang w:val="en-US" w:eastAsia="zh-CN"/>
                <w14:textFill>
                  <w14:solidFill>
                    <w14:schemeClr w14:val="tx1"/>
                  </w14:solidFill>
                </w14:textFill>
              </w:rPr>
              <w:t>（0%-100%）</w:t>
            </w:r>
          </w:p>
        </w:tc>
      </w:tr>
      <w:tr w14:paraId="67F8E5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72" w:type="dxa"/>
            <w:vAlign w:val="center"/>
          </w:tcPr>
          <w:p w14:paraId="0D7A1AC4">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w:t>
            </w:r>
          </w:p>
        </w:tc>
        <w:tc>
          <w:tcPr>
            <w:tcW w:w="2222" w:type="dxa"/>
            <w:shd w:val="clear" w:color="auto" w:fill="auto"/>
            <w:vAlign w:val="center"/>
          </w:tcPr>
          <w:p w14:paraId="5C821EBF">
            <w:pPr>
              <w:pStyle w:val="19"/>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法定代表人/负责人资格证明书及授权委托书</w:t>
            </w:r>
          </w:p>
        </w:tc>
        <w:tc>
          <w:tcPr>
            <w:tcW w:w="5877" w:type="dxa"/>
            <w:shd w:val="clear" w:color="auto" w:fill="auto"/>
            <w:vAlign w:val="center"/>
          </w:tcPr>
          <w:p w14:paraId="513E8DB4">
            <w:pPr>
              <w:pStyle w:val="19"/>
              <w:keepNext w:val="0"/>
              <w:keepLines w:val="0"/>
              <w:pageBreakBefore w:val="0"/>
              <w:widowControl/>
              <w:kinsoku/>
              <w:wordWrap/>
              <w:overflowPunct/>
              <w:topLinePunct w:val="0"/>
              <w:autoSpaceDE/>
              <w:autoSpaceDN/>
              <w:bidi w:val="0"/>
              <w:adjustRightInd/>
              <w:snapToGrid/>
              <w:spacing w:line="320" w:lineRule="exact"/>
              <w:jc w:val="both"/>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提供法定代表人/负责人资格证明书及授权委托书</w:t>
            </w:r>
          </w:p>
        </w:tc>
      </w:tr>
      <w:tr w14:paraId="5AC162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08" w:hRule="atLeast"/>
          <w:jc w:val="center"/>
        </w:trPr>
        <w:tc>
          <w:tcPr>
            <w:tcW w:w="972" w:type="dxa"/>
            <w:vAlign w:val="center"/>
          </w:tcPr>
          <w:p w14:paraId="6F3986B6">
            <w:pPr>
              <w:pStyle w:val="19"/>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w:t>
            </w:r>
          </w:p>
        </w:tc>
        <w:tc>
          <w:tcPr>
            <w:tcW w:w="2222" w:type="dxa"/>
            <w:shd w:val="clear" w:color="auto" w:fill="auto"/>
            <w:vAlign w:val="center"/>
          </w:tcPr>
          <w:p w14:paraId="3094222C">
            <w:pPr>
              <w:pStyle w:val="19"/>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其他要求</w:t>
            </w:r>
          </w:p>
        </w:tc>
        <w:tc>
          <w:tcPr>
            <w:tcW w:w="5877" w:type="dxa"/>
            <w:shd w:val="clear" w:color="auto" w:fill="auto"/>
            <w:vAlign w:val="top"/>
          </w:tcPr>
          <w:p w14:paraId="7F045C7A">
            <w:pPr>
              <w:pStyle w:val="19"/>
              <w:keepNext w:val="0"/>
              <w:keepLines w:val="0"/>
              <w:pageBreakBefore w:val="0"/>
              <w:widowControl/>
              <w:kinsoku/>
              <w:wordWrap/>
              <w:overflowPunct/>
              <w:topLinePunct w:val="0"/>
              <w:autoSpaceDE/>
              <w:autoSpaceDN/>
              <w:bidi w:val="0"/>
              <w:adjustRightInd/>
              <w:snapToGrid/>
              <w:spacing w:line="320" w:lineRule="exact"/>
              <w:textAlignment w:val="auto"/>
              <w:rPr>
                <w:rFonts w:hint="eastAsia" w:ascii="宋体" w:hAnsi="宋体" w:eastAsia="宋体" w:cs="宋体"/>
                <w:color w:val="000000" w:themeColor="text1"/>
                <w:sz w:val="21"/>
                <w:szCs w:val="21"/>
                <w:highlight w:val="none"/>
                <w:lang w:val="en-US" w:eastAsia="zh-Hans"/>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按投标资料清单中规定提供“必须提交”的文件资料</w:t>
            </w:r>
          </w:p>
        </w:tc>
      </w:tr>
    </w:tbl>
    <w:p w14:paraId="5CA20E7F">
      <w:pPr>
        <w:rPr>
          <w:rFonts w:hint="eastAsia"/>
          <w:color w:val="000000" w:themeColor="text1"/>
          <w:highlight w:val="none"/>
          <w14:textFill>
            <w14:solidFill>
              <w14:schemeClr w14:val="tx1"/>
            </w14:solidFill>
          </w14:textFill>
        </w:rPr>
      </w:pPr>
    </w:p>
    <w:p w14:paraId="3E4A5873">
      <w:pPr>
        <w:rPr>
          <w:rFonts w:hint="eastAsia"/>
          <w:color w:val="000000" w:themeColor="text1"/>
          <w:highlight w:val="none"/>
          <w14:textFill>
            <w14:solidFill>
              <w14:schemeClr w14:val="tx1"/>
            </w14:solidFill>
          </w14:textFill>
        </w:rPr>
      </w:pPr>
    </w:p>
    <w:p w14:paraId="17A0B365">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2.投标文件澄清</w:t>
      </w:r>
    </w:p>
    <w:p w14:paraId="076E4B1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2.1对于投标文件中含义不明确、同类问题表述不一致或者有明显文字和计算错误的内容，评标委员会应当在评审过程中发起澄清，要求投标人针对价格或内容做出必要的澄清、说明或补正。</w:t>
      </w:r>
    </w:p>
    <w:p w14:paraId="133DACA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投标人需在规定时间内完成澄清（响应），并加盖</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公</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章。</w:t>
      </w:r>
    </w:p>
    <w:p w14:paraId="58573AB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若因投标人联系方式错误未接收短信、未接听电话或超时未进行澄清（响应）造成的不利后果由供应商自行承担。投标人的澄清、说明或者补正不得超出投标文件的范围或者改变投标文件的实质性内容。</w:t>
      </w:r>
    </w:p>
    <w:p w14:paraId="32803D7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2.2评标委员会不接受投标人主动提出的澄清、说明或补正。</w:t>
      </w:r>
    </w:p>
    <w:p w14:paraId="311E22C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2.3评标委员会对投标人提交的澄清、说明或补正有疑问的，可以要求投标人进一步澄清、说明或补正。</w:t>
      </w:r>
    </w:p>
    <w:p w14:paraId="32DB6408">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3.详细评审</w:t>
      </w:r>
    </w:p>
    <w:p w14:paraId="1E3E99BB">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w:t>
      </w:r>
      <w:r>
        <w:rPr>
          <w:rFonts w:hint="eastAsia"/>
          <w:color w:val="000000" w:themeColor="text1"/>
          <w:szCs w:val="21"/>
          <w:highlight w:val="none"/>
          <w:lang w:val="en-US" w:eastAsia="zh-CN"/>
          <w14:textFill>
            <w14:solidFill>
              <w14:schemeClr w14:val="tx1"/>
            </w14:solidFill>
          </w14:textFill>
        </w:rPr>
        <w:t>阳江市阳东区合山镇第二小学食堂食材配送服务项目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tbl>
      <w:tblPr>
        <w:tblStyle w:val="16"/>
        <w:tblW w:w="964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22"/>
        <w:gridCol w:w="1456"/>
        <w:gridCol w:w="7263"/>
      </w:tblGrid>
      <w:tr w14:paraId="7D0077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2" w:type="dxa"/>
          </w:tcPr>
          <w:p w14:paraId="52F502AA">
            <w:pPr>
              <w:pStyle w:val="19"/>
              <w:spacing w:line="320" w:lineRule="exact"/>
              <w:jc w:val="center"/>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评审因素</w:t>
            </w:r>
          </w:p>
        </w:tc>
        <w:tc>
          <w:tcPr>
            <w:tcW w:w="8719" w:type="dxa"/>
            <w:gridSpan w:val="2"/>
          </w:tcPr>
          <w:p w14:paraId="6442FA67">
            <w:pPr>
              <w:pStyle w:val="19"/>
              <w:spacing w:line="320" w:lineRule="exact"/>
              <w:jc w:val="center"/>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评审标准</w:t>
            </w:r>
          </w:p>
        </w:tc>
      </w:tr>
      <w:tr w14:paraId="092849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2" w:type="dxa"/>
          </w:tcPr>
          <w:p w14:paraId="66B86D65">
            <w:pPr>
              <w:pStyle w:val="19"/>
              <w:spacing w:line="320" w:lineRule="exact"/>
              <w:jc w:val="center"/>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分值构成</w:t>
            </w:r>
          </w:p>
        </w:tc>
        <w:tc>
          <w:tcPr>
            <w:tcW w:w="8719" w:type="dxa"/>
            <w:gridSpan w:val="2"/>
          </w:tcPr>
          <w:p w14:paraId="2986A585">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商务部分</w:t>
            </w:r>
            <w:r>
              <w:rPr>
                <w:rFonts w:hint="eastAsia" w:ascii="宋体" w:hAnsi="宋体" w:eastAsia="宋体" w:cs="宋体"/>
                <w:color w:val="000000" w:themeColor="text1"/>
                <w:sz w:val="21"/>
                <w:szCs w:val="21"/>
                <w:highlight w:val="none"/>
                <w:lang w:val="en-US" w:eastAsia="zh-CN"/>
                <w14:textFill>
                  <w14:solidFill>
                    <w14:schemeClr w14:val="tx1"/>
                  </w14:solidFill>
                </w14:textFill>
              </w:rPr>
              <w:t>50</w:t>
            </w:r>
            <w:r>
              <w:rPr>
                <w:rFonts w:ascii="宋体" w:hAnsi="宋体" w:eastAsia="宋体" w:cs="宋体"/>
                <w:color w:val="000000" w:themeColor="text1"/>
                <w:sz w:val="21"/>
                <w:szCs w:val="21"/>
                <w:highlight w:val="none"/>
                <w14:textFill>
                  <w14:solidFill>
                    <w14:schemeClr w14:val="tx1"/>
                  </w14:solidFill>
                </w14:textFill>
              </w:rPr>
              <w:t>.0分</w:t>
            </w:r>
          </w:p>
          <w:p w14:paraId="4A12905B">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技术部分</w:t>
            </w:r>
            <w:r>
              <w:rPr>
                <w:rFonts w:hint="eastAsia" w:ascii="宋体" w:hAnsi="宋体" w:eastAsia="宋体" w:cs="宋体"/>
                <w:color w:val="000000" w:themeColor="text1"/>
                <w:sz w:val="21"/>
                <w:szCs w:val="21"/>
                <w:highlight w:val="none"/>
                <w:lang w:val="en-US" w:eastAsia="zh-CN"/>
                <w14:textFill>
                  <w14:solidFill>
                    <w14:schemeClr w14:val="tx1"/>
                  </w14:solidFill>
                </w14:textFill>
              </w:rPr>
              <w:t>40</w:t>
            </w:r>
            <w:r>
              <w:rPr>
                <w:rFonts w:ascii="宋体" w:hAnsi="宋体" w:eastAsia="宋体" w:cs="宋体"/>
                <w:color w:val="000000" w:themeColor="text1"/>
                <w:sz w:val="21"/>
                <w:szCs w:val="21"/>
                <w:highlight w:val="none"/>
                <w14:textFill>
                  <w14:solidFill>
                    <w14:schemeClr w14:val="tx1"/>
                  </w14:solidFill>
                </w14:textFill>
              </w:rPr>
              <w:t>.0分</w:t>
            </w:r>
          </w:p>
          <w:p w14:paraId="1C929556">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报价得分10.0分</w:t>
            </w:r>
          </w:p>
        </w:tc>
      </w:tr>
      <w:tr w14:paraId="30250F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2" w:type="dxa"/>
            <w:vMerge w:val="restart"/>
          </w:tcPr>
          <w:p w14:paraId="65D9B0B8">
            <w:pPr>
              <w:pStyle w:val="19"/>
              <w:spacing w:line="320" w:lineRule="exact"/>
              <w:jc w:val="center"/>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技术部分</w:t>
            </w:r>
          </w:p>
        </w:tc>
        <w:tc>
          <w:tcPr>
            <w:tcW w:w="1456" w:type="dxa"/>
          </w:tcPr>
          <w:p w14:paraId="265CCE1C">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安全控制方案</w:t>
            </w:r>
            <w:r>
              <w:rPr>
                <w:rFonts w:ascii="宋体" w:hAnsi="宋体" w:eastAsia="宋体" w:cs="宋体"/>
                <w:color w:val="000000" w:themeColor="text1"/>
                <w:sz w:val="21"/>
                <w:szCs w:val="21"/>
                <w:highlight w:val="none"/>
                <w14:textFill>
                  <w14:solidFill>
                    <w14:schemeClr w14:val="tx1"/>
                  </w14:solidFill>
                </w14:textFill>
              </w:rPr>
              <w:t xml:space="preserve"> (10.0分)</w:t>
            </w:r>
          </w:p>
        </w:tc>
        <w:tc>
          <w:tcPr>
            <w:tcW w:w="7263" w:type="dxa"/>
          </w:tcPr>
          <w:p w14:paraId="66770906">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对投标文件中的</w:t>
            </w:r>
            <w:r>
              <w:rPr>
                <w:rFonts w:hint="eastAsia" w:ascii="宋体" w:hAnsi="宋体" w:eastAsia="宋体" w:cs="宋体"/>
                <w:color w:val="000000" w:themeColor="text1"/>
                <w:sz w:val="21"/>
                <w:szCs w:val="21"/>
                <w:highlight w:val="none"/>
                <w14:textFill>
                  <w14:solidFill>
                    <w14:schemeClr w14:val="tx1"/>
                  </w14:solidFill>
                </w14:textFill>
              </w:rPr>
              <w:t>安全控制方案</w:t>
            </w:r>
            <w:r>
              <w:rPr>
                <w:rFonts w:ascii="宋体" w:hAnsi="宋体" w:eastAsia="宋体" w:cs="宋体"/>
                <w:color w:val="000000" w:themeColor="text1"/>
                <w:sz w:val="21"/>
                <w:szCs w:val="21"/>
                <w:highlight w:val="none"/>
                <w14:textFill>
                  <w14:solidFill>
                    <w14:schemeClr w14:val="tx1"/>
                  </w14:solidFill>
                </w14:textFill>
              </w:rPr>
              <w:t xml:space="preserve"> 进行评分（根据投标货物的来源、加工、包装、保存、运输各环节的质量保证及食品安全措施进行评价）：</w:t>
            </w:r>
          </w:p>
          <w:p w14:paraId="1809A395">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lang w:eastAsia="zh-CN"/>
                <w14:textFill>
                  <w14:solidFill>
                    <w14:schemeClr w14:val="tx1"/>
                  </w14:solidFill>
                </w14:textFill>
              </w:rPr>
              <w:t>1.</w:t>
            </w:r>
            <w:r>
              <w:rPr>
                <w:rFonts w:ascii="宋体" w:hAnsi="宋体" w:eastAsia="宋体" w:cs="宋体"/>
                <w:color w:val="000000" w:themeColor="text1"/>
                <w:sz w:val="21"/>
                <w:szCs w:val="21"/>
                <w:highlight w:val="none"/>
                <w14:textFill>
                  <w14:solidFill>
                    <w14:schemeClr w14:val="tx1"/>
                  </w14:solidFill>
                </w14:textFill>
              </w:rPr>
              <w:t xml:space="preserve">方案合理完整，内容有针对性，优于或完全满足采购需求的，得10分； </w:t>
            </w:r>
          </w:p>
          <w:p w14:paraId="77DF8E1E">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2</w:t>
            </w:r>
            <w:r>
              <w:rPr>
                <w:rFonts w:ascii="宋体" w:hAnsi="宋体" w:eastAsia="宋体" w:cs="宋体"/>
                <w:color w:val="000000" w:themeColor="text1"/>
                <w:sz w:val="21"/>
                <w:szCs w:val="21"/>
                <w:highlight w:val="none"/>
                <w:lang w:eastAsia="zh-CN"/>
                <w14:textFill>
                  <w14:solidFill>
                    <w14:schemeClr w14:val="tx1"/>
                  </w14:solidFill>
                </w14:textFill>
              </w:rPr>
              <w:t>.</w:t>
            </w:r>
            <w:r>
              <w:rPr>
                <w:rFonts w:ascii="宋体" w:hAnsi="宋体" w:eastAsia="宋体" w:cs="宋体"/>
                <w:color w:val="000000" w:themeColor="text1"/>
                <w:sz w:val="21"/>
                <w:szCs w:val="21"/>
                <w:highlight w:val="none"/>
                <w14:textFill>
                  <w14:solidFill>
                    <w14:schemeClr w14:val="tx1"/>
                  </w14:solidFill>
                </w14:textFill>
              </w:rPr>
              <w:t xml:space="preserve">方案较合理、较完整，内容有一定的针对性，基本满足采购需求的，得7分； </w:t>
            </w:r>
          </w:p>
          <w:p w14:paraId="3C38EF04">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3.方案一般，部分满足采购需求的，得4分；</w:t>
            </w:r>
          </w:p>
          <w:p w14:paraId="729AEA08">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4.方案简单，内容没有针对性，基本不能满足采购需求的，得1分</w:t>
            </w:r>
            <w:r>
              <w:rPr>
                <w:rFonts w:ascii="宋体" w:hAnsi="宋体" w:eastAsia="宋体" w:cs="宋体"/>
                <w:color w:val="000000" w:themeColor="text1"/>
                <w:sz w:val="21"/>
                <w:szCs w:val="21"/>
                <w:highlight w:val="none"/>
                <w:lang w:eastAsia="zh-CN"/>
                <w14:textFill>
                  <w14:solidFill>
                    <w14:schemeClr w14:val="tx1"/>
                  </w14:solidFill>
                </w14:textFill>
              </w:rPr>
              <w:t>；</w:t>
            </w:r>
            <w:r>
              <w:rPr>
                <w:rFonts w:ascii="宋体" w:hAnsi="宋体" w:eastAsia="宋体" w:cs="宋体"/>
                <w:color w:val="000000" w:themeColor="text1"/>
                <w:sz w:val="21"/>
                <w:szCs w:val="21"/>
                <w:highlight w:val="none"/>
                <w14:textFill>
                  <w14:solidFill>
                    <w14:schemeClr w14:val="tx1"/>
                  </w14:solidFill>
                </w14:textFill>
              </w:rPr>
              <w:t xml:space="preserve"> </w:t>
            </w:r>
          </w:p>
          <w:p w14:paraId="18B1D9FE">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不提供不得分。</w:t>
            </w:r>
          </w:p>
        </w:tc>
      </w:tr>
      <w:tr w14:paraId="0615A9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2" w:type="dxa"/>
            <w:vMerge w:val="continue"/>
          </w:tcPr>
          <w:p w14:paraId="7370EE80">
            <w:pPr>
              <w:spacing w:line="320" w:lineRule="exact"/>
              <w:rPr>
                <w:rFonts w:ascii="宋体" w:hAnsi="宋体" w:cs="宋体"/>
                <w:color w:val="000000" w:themeColor="text1"/>
                <w:sz w:val="21"/>
                <w:szCs w:val="21"/>
                <w:highlight w:val="none"/>
                <w14:textFill>
                  <w14:solidFill>
                    <w14:schemeClr w14:val="tx1"/>
                  </w14:solidFill>
                </w14:textFill>
              </w:rPr>
            </w:pPr>
          </w:p>
        </w:tc>
        <w:tc>
          <w:tcPr>
            <w:tcW w:w="1456" w:type="dxa"/>
          </w:tcPr>
          <w:p w14:paraId="69E2528A">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配送方案</w:t>
            </w:r>
            <w:r>
              <w:rPr>
                <w:rFonts w:hint="eastAsia" w:ascii="宋体" w:hAnsi="宋体" w:eastAsia="宋体" w:cs="宋体"/>
                <w:color w:val="000000" w:themeColor="text1"/>
                <w:sz w:val="21"/>
                <w:szCs w:val="21"/>
                <w:highlight w:val="none"/>
                <w:lang w:val="en-US" w:eastAsia="zh-CN"/>
                <w14:textFill>
                  <w14:solidFill>
                    <w14:schemeClr w14:val="tx1"/>
                  </w14:solidFill>
                </w14:textFill>
              </w:rPr>
              <w:t>及人员配备方案</w:t>
            </w:r>
            <w:r>
              <w:rPr>
                <w:rFonts w:ascii="宋体" w:hAnsi="宋体" w:eastAsia="宋体" w:cs="宋体"/>
                <w:color w:val="000000" w:themeColor="text1"/>
                <w:sz w:val="21"/>
                <w:szCs w:val="21"/>
                <w:highlight w:val="none"/>
                <w14:textFill>
                  <w14:solidFill>
                    <w14:schemeClr w14:val="tx1"/>
                  </w14:solidFill>
                </w14:textFill>
              </w:rPr>
              <w:t xml:space="preserve"> (10.0分)</w:t>
            </w:r>
          </w:p>
        </w:tc>
        <w:tc>
          <w:tcPr>
            <w:tcW w:w="7263" w:type="dxa"/>
          </w:tcPr>
          <w:p w14:paraId="5E1B7BF1">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从配送方案的全面性，可实施性，配送物流保障性，供应时效响应性</w:t>
            </w:r>
            <w:r>
              <w:rPr>
                <w:rFonts w:hint="eastAsia" w:ascii="宋体" w:hAnsi="宋体" w:eastAsia="宋体" w:cs="宋体"/>
                <w:color w:val="000000" w:themeColor="text1"/>
                <w:sz w:val="21"/>
                <w:szCs w:val="21"/>
                <w:highlight w:val="none"/>
                <w:lang w:val="en-US" w:eastAsia="zh-CN"/>
                <w14:textFill>
                  <w14:solidFill>
                    <w14:schemeClr w14:val="tx1"/>
                  </w14:solidFill>
                </w14:textFill>
              </w:rPr>
              <w:t>及人员配备情况</w:t>
            </w:r>
            <w:r>
              <w:rPr>
                <w:rFonts w:ascii="宋体" w:hAnsi="宋体" w:eastAsia="宋体" w:cs="宋体"/>
                <w:color w:val="000000" w:themeColor="text1"/>
                <w:sz w:val="21"/>
                <w:szCs w:val="21"/>
                <w:highlight w:val="none"/>
                <w14:textFill>
                  <w14:solidFill>
                    <w14:schemeClr w14:val="tx1"/>
                  </w14:solidFill>
                </w14:textFill>
              </w:rPr>
              <w:t>等进行对比评价：</w:t>
            </w:r>
          </w:p>
          <w:p w14:paraId="498A7C44">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lang w:eastAsia="zh-CN"/>
                <w14:textFill>
                  <w14:solidFill>
                    <w14:schemeClr w14:val="tx1"/>
                  </w14:solidFill>
                </w14:textFill>
              </w:rPr>
              <w:t>1.</w:t>
            </w:r>
            <w:r>
              <w:rPr>
                <w:rFonts w:ascii="宋体" w:hAnsi="宋体" w:eastAsia="宋体" w:cs="宋体"/>
                <w:color w:val="000000" w:themeColor="text1"/>
                <w:sz w:val="21"/>
                <w:szCs w:val="21"/>
                <w:highlight w:val="none"/>
                <w14:textFill>
                  <w14:solidFill>
                    <w14:schemeClr w14:val="tx1"/>
                  </w14:solidFill>
                </w14:textFill>
              </w:rPr>
              <w:t>配送方案全面，可实施性强，配送物流有保障，供应时效性高，</w:t>
            </w:r>
            <w:r>
              <w:rPr>
                <w:rFonts w:hint="eastAsia" w:ascii="宋体" w:hAnsi="宋体" w:eastAsia="宋体" w:cs="宋体"/>
                <w:color w:val="000000" w:themeColor="text1"/>
                <w:sz w:val="21"/>
                <w:szCs w:val="21"/>
                <w:highlight w:val="none"/>
                <w:lang w:val="en-US" w:eastAsia="zh-CN"/>
                <w14:textFill>
                  <w14:solidFill>
                    <w14:schemeClr w14:val="tx1"/>
                  </w14:solidFill>
                </w14:textFill>
              </w:rPr>
              <w:t>人员配备齐全，</w:t>
            </w:r>
            <w:r>
              <w:rPr>
                <w:rFonts w:ascii="宋体" w:hAnsi="宋体" w:eastAsia="宋体" w:cs="宋体"/>
                <w:color w:val="000000" w:themeColor="text1"/>
                <w:sz w:val="21"/>
                <w:szCs w:val="21"/>
                <w:highlight w:val="none"/>
                <w14:textFill>
                  <w14:solidFill>
                    <w14:schemeClr w14:val="tx1"/>
                  </w14:solidFill>
                </w14:textFill>
              </w:rPr>
              <w:t xml:space="preserve">优于或完全满足采购需求的，得10分； </w:t>
            </w:r>
          </w:p>
          <w:p w14:paraId="7A83247E">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lang w:eastAsia="zh-CN"/>
                <w14:textFill>
                  <w14:solidFill>
                    <w14:schemeClr w14:val="tx1"/>
                  </w14:solidFill>
                </w14:textFill>
              </w:rPr>
              <w:t>2.</w:t>
            </w:r>
            <w:r>
              <w:rPr>
                <w:rFonts w:ascii="宋体" w:hAnsi="宋体" w:eastAsia="宋体" w:cs="宋体"/>
                <w:color w:val="000000" w:themeColor="text1"/>
                <w:sz w:val="21"/>
                <w:szCs w:val="21"/>
                <w:highlight w:val="none"/>
                <w14:textFill>
                  <w14:solidFill>
                    <w14:schemeClr w14:val="tx1"/>
                  </w14:solidFill>
                </w14:textFill>
              </w:rPr>
              <w:t>配送方案较全面，可实施性较强，配送物流有保障，供应时效性符合要求，</w:t>
            </w:r>
            <w:r>
              <w:rPr>
                <w:rFonts w:hint="eastAsia" w:ascii="宋体" w:hAnsi="宋体" w:eastAsia="宋体" w:cs="宋体"/>
                <w:color w:val="000000" w:themeColor="text1"/>
                <w:sz w:val="21"/>
                <w:szCs w:val="21"/>
                <w:highlight w:val="none"/>
                <w:lang w:val="en-US" w:eastAsia="zh-CN"/>
                <w14:textFill>
                  <w14:solidFill>
                    <w14:schemeClr w14:val="tx1"/>
                  </w14:solidFill>
                </w14:textFill>
              </w:rPr>
              <w:t>人员配备较齐全，</w:t>
            </w:r>
            <w:r>
              <w:rPr>
                <w:rFonts w:ascii="宋体" w:hAnsi="宋体" w:eastAsia="宋体" w:cs="宋体"/>
                <w:color w:val="000000" w:themeColor="text1"/>
                <w:sz w:val="21"/>
                <w:szCs w:val="21"/>
                <w:highlight w:val="none"/>
                <w14:textFill>
                  <w14:solidFill>
                    <w14:schemeClr w14:val="tx1"/>
                  </w14:solidFill>
                </w14:textFill>
              </w:rPr>
              <w:t xml:space="preserve">基本满足采购需求的，得7分； </w:t>
            </w:r>
          </w:p>
          <w:p w14:paraId="24C3B280">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3.配送方案较全面，可实施性不强，配送物流有保障，供应时效性一般，</w:t>
            </w:r>
            <w:r>
              <w:rPr>
                <w:rFonts w:hint="eastAsia" w:ascii="宋体" w:hAnsi="宋体" w:eastAsia="宋体" w:cs="宋体"/>
                <w:color w:val="000000" w:themeColor="text1"/>
                <w:sz w:val="21"/>
                <w:szCs w:val="21"/>
                <w:highlight w:val="none"/>
                <w:lang w:val="en-US" w:eastAsia="zh-CN"/>
                <w14:textFill>
                  <w14:solidFill>
                    <w14:schemeClr w14:val="tx1"/>
                  </w14:solidFill>
                </w14:textFill>
              </w:rPr>
              <w:t>人员配备不够齐全，</w:t>
            </w:r>
            <w:r>
              <w:rPr>
                <w:rFonts w:ascii="宋体" w:hAnsi="宋体" w:eastAsia="宋体" w:cs="宋体"/>
                <w:color w:val="000000" w:themeColor="text1"/>
                <w:sz w:val="21"/>
                <w:szCs w:val="21"/>
                <w:highlight w:val="none"/>
                <w14:textFill>
                  <w14:solidFill>
                    <w14:schemeClr w14:val="tx1"/>
                  </w14:solidFill>
                </w14:textFill>
              </w:rPr>
              <w:t>部分满足采购需求的，得4分；</w:t>
            </w:r>
          </w:p>
          <w:p w14:paraId="008573DC">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4.配送方案不够全面，可实施性不强，配送物流有保障，供应时效性不符合要求，</w:t>
            </w:r>
            <w:r>
              <w:rPr>
                <w:rFonts w:hint="eastAsia" w:ascii="宋体" w:hAnsi="宋体" w:eastAsia="宋体" w:cs="宋体"/>
                <w:color w:val="000000" w:themeColor="text1"/>
                <w:sz w:val="21"/>
                <w:szCs w:val="21"/>
                <w:highlight w:val="none"/>
                <w:lang w:val="en-US" w:eastAsia="zh-CN"/>
                <w14:textFill>
                  <w14:solidFill>
                    <w14:schemeClr w14:val="tx1"/>
                  </w14:solidFill>
                </w14:textFill>
              </w:rPr>
              <w:t>人员配备不齐全，</w:t>
            </w:r>
            <w:r>
              <w:rPr>
                <w:rFonts w:ascii="宋体" w:hAnsi="宋体" w:eastAsia="宋体" w:cs="宋体"/>
                <w:color w:val="000000" w:themeColor="text1"/>
                <w:sz w:val="21"/>
                <w:szCs w:val="21"/>
                <w:highlight w:val="none"/>
                <w14:textFill>
                  <w14:solidFill>
                    <w14:schemeClr w14:val="tx1"/>
                  </w14:solidFill>
                </w14:textFill>
              </w:rPr>
              <w:t xml:space="preserve">基本不能满足采购需求的，得1分； </w:t>
            </w:r>
          </w:p>
          <w:p w14:paraId="61D97FDB">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不提供不得分。</w:t>
            </w:r>
          </w:p>
        </w:tc>
      </w:tr>
      <w:tr w14:paraId="5BA1ED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2" w:type="dxa"/>
            <w:vMerge w:val="continue"/>
          </w:tcPr>
          <w:p w14:paraId="2B09FC86">
            <w:pPr>
              <w:spacing w:line="320" w:lineRule="exact"/>
              <w:rPr>
                <w:rFonts w:ascii="宋体" w:hAnsi="宋体" w:cs="宋体"/>
                <w:color w:val="000000" w:themeColor="text1"/>
                <w:sz w:val="21"/>
                <w:szCs w:val="21"/>
                <w:highlight w:val="none"/>
                <w14:textFill>
                  <w14:solidFill>
                    <w14:schemeClr w14:val="tx1"/>
                  </w14:solidFill>
                </w14:textFill>
              </w:rPr>
            </w:pPr>
          </w:p>
        </w:tc>
        <w:tc>
          <w:tcPr>
            <w:tcW w:w="1456" w:type="dxa"/>
          </w:tcPr>
          <w:p w14:paraId="0B128C26">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特殊情况应急方案（应含食物中毒应急预案） (10.0分)</w:t>
            </w:r>
          </w:p>
        </w:tc>
        <w:tc>
          <w:tcPr>
            <w:tcW w:w="7263" w:type="dxa"/>
          </w:tcPr>
          <w:p w14:paraId="4EBFBA27">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对货物临时供应应急方案，特殊情况应急供应商方案，响应时间，方案全面度，应对措施详细度，是否可实施且能满足保障采购人要求等进行对比评价：</w:t>
            </w:r>
          </w:p>
          <w:p w14:paraId="1B6A65AA">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lang w:eastAsia="zh-CN"/>
                <w14:textFill>
                  <w14:solidFill>
                    <w14:schemeClr w14:val="tx1"/>
                  </w14:solidFill>
                </w14:textFill>
              </w:rPr>
              <w:t>1.</w:t>
            </w:r>
            <w:r>
              <w:rPr>
                <w:rFonts w:ascii="宋体" w:hAnsi="宋体" w:eastAsia="宋体" w:cs="宋体"/>
                <w:color w:val="000000" w:themeColor="text1"/>
                <w:sz w:val="21"/>
                <w:szCs w:val="21"/>
                <w:highlight w:val="none"/>
                <w14:textFill>
                  <w14:solidFill>
                    <w14:schemeClr w14:val="tx1"/>
                  </w14:solidFill>
                </w14:textFill>
              </w:rPr>
              <w:t xml:space="preserve">有完善的货物临时供应应急方案及特殊情况应急供应方案，承诺收到应急通知10分钟内响应，方案全面，应对措施详细，完全可实施且能完全保障采购人要求的，优于或完全满足采购需求的，得10分； </w:t>
            </w:r>
          </w:p>
          <w:p w14:paraId="6009FCD5">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lang w:eastAsia="zh-CN"/>
                <w14:textFill>
                  <w14:solidFill>
                    <w14:schemeClr w14:val="tx1"/>
                  </w14:solidFill>
                </w14:textFill>
              </w:rPr>
              <w:t>2.</w:t>
            </w:r>
            <w:r>
              <w:rPr>
                <w:rFonts w:ascii="宋体" w:hAnsi="宋体" w:eastAsia="宋体" w:cs="宋体"/>
                <w:color w:val="000000" w:themeColor="text1"/>
                <w:sz w:val="21"/>
                <w:szCs w:val="21"/>
                <w:highlight w:val="none"/>
                <w14:textFill>
                  <w14:solidFill>
                    <w14:schemeClr w14:val="tx1"/>
                  </w14:solidFill>
                </w14:textFill>
              </w:rPr>
              <w:t xml:space="preserve">有较完善的货物临时供应应急方案及特殊情况应急供应方案，承诺收到应急通知20分钟内响应，方案能满足保障采购人要求的，基本满足采购需求的，得7分； </w:t>
            </w:r>
          </w:p>
          <w:p w14:paraId="56B55270">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lang w:eastAsia="zh-CN"/>
                <w14:textFill>
                  <w14:solidFill>
                    <w14:schemeClr w14:val="tx1"/>
                  </w14:solidFill>
                </w14:textFill>
              </w:rPr>
              <w:t>3.</w:t>
            </w:r>
            <w:r>
              <w:rPr>
                <w:rFonts w:ascii="宋体" w:hAnsi="宋体" w:eastAsia="宋体" w:cs="宋体"/>
                <w:color w:val="000000" w:themeColor="text1"/>
                <w:sz w:val="21"/>
                <w:szCs w:val="21"/>
                <w:highlight w:val="none"/>
                <w14:textFill>
                  <w14:solidFill>
                    <w14:schemeClr w14:val="tx1"/>
                  </w14:solidFill>
                </w14:textFill>
              </w:rPr>
              <w:t xml:space="preserve">有货物临时供应应急方案及特殊情况应急供应方案，承诺收到应急通知30分钟内响应，方案基本能满足保障采购人要求的，部分满足采购需求的，得4分； </w:t>
            </w:r>
          </w:p>
          <w:p w14:paraId="2F4F6F9D">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 xml:space="preserve">4.货物临时供应应急方案及特殊情况应急供应方案一般，应急响应时间超过30分钟，基本不能满足保障采购人要求的，基本不能满足采购需求的，得1分； </w:t>
            </w:r>
          </w:p>
          <w:p w14:paraId="22FFF747">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不提供不得分。</w:t>
            </w:r>
          </w:p>
        </w:tc>
      </w:tr>
      <w:tr w14:paraId="4EFC9E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2" w:type="dxa"/>
            <w:vMerge w:val="continue"/>
          </w:tcPr>
          <w:p w14:paraId="15902573">
            <w:pPr>
              <w:spacing w:line="320" w:lineRule="exact"/>
              <w:rPr>
                <w:rFonts w:ascii="宋体" w:hAnsi="宋体" w:cs="宋体"/>
                <w:color w:val="000000" w:themeColor="text1"/>
                <w:sz w:val="21"/>
                <w:szCs w:val="21"/>
                <w:highlight w:val="none"/>
                <w14:textFill>
                  <w14:solidFill>
                    <w14:schemeClr w14:val="tx1"/>
                  </w14:solidFill>
                </w14:textFill>
              </w:rPr>
            </w:pPr>
          </w:p>
        </w:tc>
        <w:tc>
          <w:tcPr>
            <w:tcW w:w="1456" w:type="dxa"/>
          </w:tcPr>
          <w:p w14:paraId="2FFA0668">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出现问题退换货承诺</w:t>
            </w:r>
            <w:r>
              <w:rPr>
                <w:rFonts w:hint="eastAsia" w:ascii="宋体" w:hAnsi="宋体" w:eastAsia="宋体" w:cs="宋体"/>
                <w:color w:val="000000" w:themeColor="text1"/>
                <w:sz w:val="21"/>
                <w:szCs w:val="21"/>
                <w:highlight w:val="none"/>
                <w:lang w:val="en-US" w:eastAsia="zh-CN"/>
                <w14:textFill>
                  <w14:solidFill>
                    <w14:schemeClr w14:val="tx1"/>
                  </w14:solidFill>
                </w14:textFill>
              </w:rPr>
              <w:t>及售后服务方案</w:t>
            </w:r>
            <w:r>
              <w:rPr>
                <w:rFonts w:ascii="宋体" w:hAnsi="宋体" w:eastAsia="宋体" w:cs="宋体"/>
                <w:color w:val="000000" w:themeColor="text1"/>
                <w:sz w:val="21"/>
                <w:szCs w:val="21"/>
                <w:highlight w:val="none"/>
                <w14:textFill>
                  <w14:solidFill>
                    <w14:schemeClr w14:val="tx1"/>
                  </w14:solidFill>
                </w14:textFill>
              </w:rPr>
              <w:t xml:space="preserve"> (</w:t>
            </w:r>
            <w:r>
              <w:rPr>
                <w:rFonts w:hint="eastAsia" w:ascii="宋体" w:hAnsi="宋体" w:eastAsia="宋体" w:cs="宋体"/>
                <w:color w:val="000000" w:themeColor="text1"/>
                <w:sz w:val="21"/>
                <w:szCs w:val="21"/>
                <w:highlight w:val="none"/>
                <w:lang w:val="en-US" w:eastAsia="zh-CN"/>
                <w14:textFill>
                  <w14:solidFill>
                    <w14:schemeClr w14:val="tx1"/>
                  </w14:solidFill>
                </w14:textFill>
              </w:rPr>
              <w:t>10</w:t>
            </w:r>
            <w:r>
              <w:rPr>
                <w:rFonts w:ascii="宋体" w:hAnsi="宋体" w:eastAsia="宋体" w:cs="宋体"/>
                <w:color w:val="000000" w:themeColor="text1"/>
                <w:sz w:val="21"/>
                <w:szCs w:val="21"/>
                <w:highlight w:val="none"/>
                <w14:textFill>
                  <w14:solidFill>
                    <w14:schemeClr w14:val="tx1"/>
                  </w14:solidFill>
                </w14:textFill>
              </w:rPr>
              <w:t>.0分)</w:t>
            </w:r>
          </w:p>
        </w:tc>
        <w:tc>
          <w:tcPr>
            <w:tcW w:w="7263" w:type="dxa"/>
          </w:tcPr>
          <w:p w14:paraId="67E1AF09">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ascii="宋体" w:hAnsi="宋体" w:eastAsia="宋体" w:cs="宋体"/>
                <w:color w:val="000000" w:themeColor="text1"/>
                <w:sz w:val="21"/>
                <w:szCs w:val="21"/>
                <w:highlight w:val="none"/>
                <w14:textFill>
                  <w14:solidFill>
                    <w14:schemeClr w14:val="tx1"/>
                  </w14:solidFill>
                </w14:textFill>
              </w:rPr>
              <w:t>投标人须承诺服务期内如提供不符合采购人质量或重量要求的货物，须按采购人要求以不影响伙食供应为前提，无条件尽快补送或退换货</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本小项最高得2分。</w:t>
            </w:r>
            <w:r>
              <w:rPr>
                <w:rFonts w:ascii="宋体" w:hAnsi="宋体" w:eastAsia="宋体" w:cs="宋体"/>
                <w:color w:val="000000" w:themeColor="text1"/>
                <w:sz w:val="21"/>
                <w:szCs w:val="21"/>
                <w:highlight w:val="none"/>
                <w14:textFill>
                  <w14:solidFill>
                    <w14:schemeClr w14:val="tx1"/>
                  </w14:solidFill>
                </w14:textFill>
              </w:rPr>
              <w:t xml:space="preserve"> </w:t>
            </w:r>
          </w:p>
          <w:p w14:paraId="03E0636A">
            <w:pPr>
              <w:pStyle w:val="19"/>
              <w:spacing w:line="320" w:lineRule="exact"/>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注：提供《承诺函》承诺，不提供不得分。</w:t>
            </w:r>
          </w:p>
          <w:p w14:paraId="696901CF">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ascii="宋体" w:hAnsi="宋体" w:eastAsia="宋体" w:cs="宋体"/>
                <w:color w:val="000000" w:themeColor="text1"/>
                <w:sz w:val="21"/>
                <w:szCs w:val="21"/>
                <w:highlight w:val="none"/>
                <w14:textFill>
                  <w14:solidFill>
                    <w14:schemeClr w14:val="tx1"/>
                  </w14:solidFill>
                </w14:textFill>
              </w:rPr>
              <w:t>对投标文件中的</w:t>
            </w:r>
            <w:r>
              <w:rPr>
                <w:rFonts w:hint="eastAsia" w:ascii="宋体" w:hAnsi="宋体" w:eastAsia="宋体" w:cs="宋体"/>
                <w:color w:val="000000" w:themeColor="text1"/>
                <w:sz w:val="21"/>
                <w:szCs w:val="21"/>
                <w:highlight w:val="none"/>
                <w:lang w:val="en-US" w:eastAsia="zh-CN"/>
                <w14:textFill>
                  <w14:solidFill>
                    <w14:schemeClr w14:val="tx1"/>
                  </w14:solidFill>
                </w14:textFill>
              </w:rPr>
              <w:t>售后服务方案</w:t>
            </w:r>
            <w:r>
              <w:rPr>
                <w:rFonts w:ascii="宋体" w:hAnsi="宋体" w:eastAsia="宋体" w:cs="宋体"/>
                <w:color w:val="000000" w:themeColor="text1"/>
                <w:sz w:val="21"/>
                <w:szCs w:val="21"/>
                <w:highlight w:val="none"/>
                <w14:textFill>
                  <w14:solidFill>
                    <w14:schemeClr w14:val="tx1"/>
                  </w14:solidFill>
                </w14:textFill>
              </w:rPr>
              <w:t xml:space="preserve"> 进行评分：</w:t>
            </w:r>
          </w:p>
          <w:p w14:paraId="1ABD0AA1">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ascii="宋体" w:hAnsi="宋体" w:eastAsia="宋体" w:cs="宋体"/>
                <w:color w:val="000000" w:themeColor="text1"/>
                <w:sz w:val="21"/>
                <w:szCs w:val="21"/>
                <w:highlight w:val="none"/>
                <w14:textFill>
                  <w14:solidFill>
                    <w14:schemeClr w14:val="tx1"/>
                  </w14:solidFill>
                </w14:textFill>
              </w:rPr>
              <w:t>方案合理完整，内容有针对性，优于或完全满足采购需求的，得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r>
              <w:rPr>
                <w:rFonts w:ascii="宋体" w:hAnsi="宋体" w:eastAsia="宋体" w:cs="宋体"/>
                <w:color w:val="000000" w:themeColor="text1"/>
                <w:sz w:val="21"/>
                <w:szCs w:val="21"/>
                <w:highlight w:val="none"/>
                <w14:textFill>
                  <w14:solidFill>
                    <w14:schemeClr w14:val="tx1"/>
                  </w14:solidFill>
                </w14:textFill>
              </w:rPr>
              <w:t xml:space="preserve">分； </w:t>
            </w:r>
          </w:p>
          <w:p w14:paraId="738DA488">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ascii="宋体" w:hAnsi="宋体" w:eastAsia="宋体" w:cs="宋体"/>
                <w:color w:val="000000" w:themeColor="text1"/>
                <w:sz w:val="21"/>
                <w:szCs w:val="21"/>
                <w:highlight w:val="none"/>
                <w14:textFill>
                  <w14:solidFill>
                    <w14:schemeClr w14:val="tx1"/>
                  </w14:solidFill>
                </w14:textFill>
              </w:rPr>
              <w:t>方案较合理、较完整，内容有一定的针对性，基本满足采购需求的，得</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ascii="宋体" w:hAnsi="宋体" w:eastAsia="宋体" w:cs="宋体"/>
                <w:color w:val="000000" w:themeColor="text1"/>
                <w:sz w:val="21"/>
                <w:szCs w:val="21"/>
                <w:highlight w:val="none"/>
                <w14:textFill>
                  <w14:solidFill>
                    <w14:schemeClr w14:val="tx1"/>
                  </w14:solidFill>
                </w14:textFill>
              </w:rPr>
              <w:t xml:space="preserve">分； </w:t>
            </w:r>
          </w:p>
          <w:p w14:paraId="7B9EB3D9">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ascii="宋体" w:hAnsi="宋体" w:eastAsia="宋体" w:cs="宋体"/>
                <w:color w:val="000000" w:themeColor="text1"/>
                <w:sz w:val="21"/>
                <w:szCs w:val="21"/>
                <w:highlight w:val="none"/>
                <w14:textFill>
                  <w14:solidFill>
                    <w14:schemeClr w14:val="tx1"/>
                  </w14:solidFill>
                </w14:textFill>
              </w:rPr>
              <w:t>方案一般，部分满足采购需求的，得4分；</w:t>
            </w:r>
          </w:p>
          <w:p w14:paraId="10C75D61">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ascii="宋体" w:hAnsi="宋体" w:eastAsia="宋体" w:cs="宋体"/>
                <w:color w:val="000000" w:themeColor="text1"/>
                <w:sz w:val="21"/>
                <w:szCs w:val="21"/>
                <w:highlight w:val="none"/>
                <w14:textFill>
                  <w14:solidFill>
                    <w14:schemeClr w14:val="tx1"/>
                  </w14:solidFill>
                </w14:textFill>
              </w:rPr>
              <w:t>方案简单，内容没有针对性，基本不能满足采购需求的，得1分</w:t>
            </w:r>
            <w:r>
              <w:rPr>
                <w:rFonts w:ascii="宋体" w:hAnsi="宋体" w:eastAsia="宋体" w:cs="宋体"/>
                <w:color w:val="000000" w:themeColor="text1"/>
                <w:sz w:val="21"/>
                <w:szCs w:val="21"/>
                <w:highlight w:val="none"/>
                <w:lang w:eastAsia="zh-CN"/>
                <w14:textFill>
                  <w14:solidFill>
                    <w14:schemeClr w14:val="tx1"/>
                  </w14:solidFill>
                </w14:textFill>
              </w:rPr>
              <w:t>；</w:t>
            </w:r>
            <w:r>
              <w:rPr>
                <w:rFonts w:ascii="宋体" w:hAnsi="宋体" w:eastAsia="宋体" w:cs="宋体"/>
                <w:color w:val="000000" w:themeColor="text1"/>
                <w:sz w:val="21"/>
                <w:szCs w:val="21"/>
                <w:highlight w:val="none"/>
                <w14:textFill>
                  <w14:solidFill>
                    <w14:schemeClr w14:val="tx1"/>
                  </w14:solidFill>
                </w14:textFill>
              </w:rPr>
              <w:t xml:space="preserve"> </w:t>
            </w:r>
          </w:p>
          <w:p w14:paraId="65ADDFC4">
            <w:pPr>
              <w:pStyle w:val="19"/>
              <w:spacing w:line="320" w:lineRule="exact"/>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不提供不得分。</w:t>
            </w:r>
          </w:p>
        </w:tc>
      </w:tr>
      <w:tr w14:paraId="466219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2" w:type="dxa"/>
            <w:vMerge w:val="restart"/>
          </w:tcPr>
          <w:p w14:paraId="58935EAA">
            <w:pPr>
              <w:pStyle w:val="19"/>
              <w:spacing w:line="320" w:lineRule="exact"/>
              <w:jc w:val="center"/>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商务部分</w:t>
            </w:r>
          </w:p>
        </w:tc>
        <w:tc>
          <w:tcPr>
            <w:tcW w:w="1456" w:type="dxa"/>
          </w:tcPr>
          <w:p w14:paraId="5D7C2670">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同类项目业绩 (</w:t>
            </w:r>
            <w:r>
              <w:rPr>
                <w:rFonts w:hint="eastAsia" w:ascii="宋体" w:hAnsi="宋体" w:eastAsia="宋体" w:cs="宋体"/>
                <w:color w:val="000000" w:themeColor="text1"/>
                <w:sz w:val="21"/>
                <w:szCs w:val="21"/>
                <w:highlight w:val="none"/>
                <w:lang w:val="en-US" w:eastAsia="zh-CN"/>
                <w14:textFill>
                  <w14:solidFill>
                    <w14:schemeClr w14:val="tx1"/>
                  </w14:solidFill>
                </w14:textFill>
              </w:rPr>
              <w:t>9.0</w:t>
            </w:r>
            <w:r>
              <w:rPr>
                <w:rFonts w:ascii="宋体" w:hAnsi="宋体" w:eastAsia="宋体" w:cs="宋体"/>
                <w:color w:val="000000" w:themeColor="text1"/>
                <w:sz w:val="21"/>
                <w:szCs w:val="21"/>
                <w:highlight w:val="none"/>
                <w14:textFill>
                  <w14:solidFill>
                    <w14:schemeClr w14:val="tx1"/>
                  </w14:solidFill>
                </w14:textFill>
              </w:rPr>
              <w:t>分)</w:t>
            </w:r>
          </w:p>
        </w:tc>
        <w:tc>
          <w:tcPr>
            <w:tcW w:w="7263" w:type="dxa"/>
          </w:tcPr>
          <w:p w14:paraId="3753BEBC">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提供2020年1月1日至今（以合同签订时间为准）的同类（指含有本次采购服务的同类）项目业绩，每个得</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ascii="宋体" w:hAnsi="宋体" w:eastAsia="宋体" w:cs="宋体"/>
                <w:color w:val="000000" w:themeColor="text1"/>
                <w:sz w:val="21"/>
                <w:szCs w:val="21"/>
                <w:highlight w:val="none"/>
                <w14:textFill>
                  <w14:solidFill>
                    <w14:schemeClr w14:val="tx1"/>
                  </w14:solidFill>
                </w14:textFill>
              </w:rPr>
              <w:t>分，最高得</w:t>
            </w:r>
            <w:r>
              <w:rPr>
                <w:rFonts w:hint="eastAsia" w:ascii="宋体" w:hAnsi="宋体" w:eastAsia="宋体" w:cs="宋体"/>
                <w:color w:val="000000" w:themeColor="text1"/>
                <w:sz w:val="21"/>
                <w:szCs w:val="21"/>
                <w:highlight w:val="none"/>
                <w:lang w:val="en-US" w:eastAsia="zh-CN"/>
                <w14:textFill>
                  <w14:solidFill>
                    <w14:schemeClr w14:val="tx1"/>
                  </w14:solidFill>
                </w14:textFill>
              </w:rPr>
              <w:t>9</w:t>
            </w:r>
            <w:r>
              <w:rPr>
                <w:rFonts w:ascii="宋体" w:hAnsi="宋体" w:eastAsia="宋体" w:cs="宋体"/>
                <w:color w:val="000000" w:themeColor="text1"/>
                <w:sz w:val="21"/>
                <w:szCs w:val="21"/>
                <w:highlight w:val="none"/>
                <w14:textFill>
                  <w14:solidFill>
                    <w14:schemeClr w14:val="tx1"/>
                  </w14:solidFill>
                </w14:textFill>
              </w:rPr>
              <w:t xml:space="preserve">分。 </w:t>
            </w:r>
          </w:p>
          <w:p w14:paraId="1BEED96E">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注：提供项目的合同复印件加盖投标人公章，不提供不得分。</w:t>
            </w:r>
          </w:p>
        </w:tc>
      </w:tr>
      <w:tr w14:paraId="521FD3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2" w:type="dxa"/>
            <w:vMerge w:val="continue"/>
          </w:tcPr>
          <w:p w14:paraId="37E02AEA">
            <w:pPr>
              <w:spacing w:line="320" w:lineRule="exact"/>
              <w:rPr>
                <w:rFonts w:ascii="宋体" w:hAnsi="宋体" w:cs="宋体"/>
                <w:color w:val="000000" w:themeColor="text1"/>
                <w:sz w:val="21"/>
                <w:szCs w:val="21"/>
                <w:highlight w:val="none"/>
                <w14:textFill>
                  <w14:solidFill>
                    <w14:schemeClr w14:val="tx1"/>
                  </w14:solidFill>
                </w14:textFill>
              </w:rPr>
            </w:pPr>
          </w:p>
        </w:tc>
        <w:tc>
          <w:tcPr>
            <w:tcW w:w="1456" w:type="dxa"/>
          </w:tcPr>
          <w:p w14:paraId="12BF88C1">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检测能力 (6.0分)</w:t>
            </w:r>
          </w:p>
        </w:tc>
        <w:tc>
          <w:tcPr>
            <w:tcW w:w="7263" w:type="dxa"/>
          </w:tcPr>
          <w:p w14:paraId="6093D5F3">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lang w:eastAsia="zh-CN"/>
                <w14:textFill>
                  <w14:solidFill>
                    <w14:schemeClr w14:val="tx1"/>
                  </w14:solidFill>
                </w14:textFill>
              </w:rPr>
              <w:t>1.</w:t>
            </w:r>
            <w:r>
              <w:rPr>
                <w:rFonts w:ascii="宋体" w:hAnsi="宋体" w:eastAsia="宋体" w:cs="宋体"/>
                <w:color w:val="000000" w:themeColor="text1"/>
                <w:sz w:val="21"/>
                <w:szCs w:val="21"/>
                <w:highlight w:val="none"/>
                <w14:textFill>
                  <w14:solidFill>
                    <w14:schemeClr w14:val="tx1"/>
                  </w14:solidFill>
                </w14:textFill>
              </w:rPr>
              <w:t xml:space="preserve">提供农药残留检测仪，每台得1分，最高得2分； </w:t>
            </w:r>
          </w:p>
          <w:p w14:paraId="0C1E1038">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lang w:eastAsia="zh-CN"/>
                <w14:textFill>
                  <w14:solidFill>
                    <w14:schemeClr w14:val="tx1"/>
                  </w14:solidFill>
                </w14:textFill>
              </w:rPr>
              <w:t>2.</w:t>
            </w:r>
            <w:r>
              <w:rPr>
                <w:rFonts w:ascii="宋体" w:hAnsi="宋体" w:eastAsia="宋体" w:cs="宋体"/>
                <w:color w:val="000000" w:themeColor="text1"/>
                <w:sz w:val="21"/>
                <w:szCs w:val="21"/>
                <w:highlight w:val="none"/>
                <w14:textFill>
                  <w14:solidFill>
                    <w14:schemeClr w14:val="tx1"/>
                  </w14:solidFill>
                </w14:textFill>
              </w:rPr>
              <w:t xml:space="preserve">提供肉类综合检测仪，每台得1分，最高得1分。 </w:t>
            </w:r>
          </w:p>
          <w:p w14:paraId="20E03D80">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 xml:space="preserve">注：提供食品检测仪器的购买发票复印件及仪器图片加盖投标人公章，如是租赁的还须提供以投标人名义（含法定代表人）签署的租赁合同复印件加盖投标人公章。提供不齐全不得分。 </w:t>
            </w:r>
          </w:p>
          <w:p w14:paraId="61C26206">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ascii="宋体" w:hAnsi="宋体" w:eastAsia="宋体" w:cs="宋体"/>
                <w:color w:val="000000" w:themeColor="text1"/>
                <w:sz w:val="21"/>
                <w:szCs w:val="21"/>
                <w:highlight w:val="none"/>
                <w:lang w:eastAsia="zh-CN"/>
                <w14:textFill>
                  <w14:solidFill>
                    <w14:schemeClr w14:val="tx1"/>
                  </w14:solidFill>
                </w14:textFill>
              </w:rPr>
              <w:t>.</w:t>
            </w:r>
            <w:r>
              <w:rPr>
                <w:rFonts w:ascii="宋体" w:hAnsi="宋体" w:eastAsia="宋体" w:cs="宋体"/>
                <w:color w:val="000000" w:themeColor="text1"/>
                <w:sz w:val="21"/>
                <w:szCs w:val="21"/>
                <w:highlight w:val="none"/>
                <w14:textFill>
                  <w14:solidFill>
                    <w14:schemeClr w14:val="tx1"/>
                  </w14:solidFill>
                </w14:textFill>
              </w:rPr>
              <w:t xml:space="preserve">独立检测室，得3分。 </w:t>
            </w:r>
          </w:p>
          <w:p w14:paraId="15A716D5">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注：提供产权证明复印件加盖投标人公章；如是租赁的须提供以投标人名义（含法定代表人）签署的租赁合同复印件加盖投标人公章。提供不齐全不得分。</w:t>
            </w:r>
          </w:p>
        </w:tc>
      </w:tr>
      <w:tr w14:paraId="6308A2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2" w:type="dxa"/>
            <w:vMerge w:val="continue"/>
          </w:tcPr>
          <w:p w14:paraId="753F650F">
            <w:pPr>
              <w:spacing w:line="320" w:lineRule="exact"/>
              <w:rPr>
                <w:rFonts w:ascii="宋体" w:hAnsi="宋体" w:cs="宋体"/>
                <w:color w:val="000000" w:themeColor="text1"/>
                <w:sz w:val="21"/>
                <w:szCs w:val="21"/>
                <w:highlight w:val="none"/>
                <w14:textFill>
                  <w14:solidFill>
                    <w14:schemeClr w14:val="tx1"/>
                  </w14:solidFill>
                </w14:textFill>
              </w:rPr>
            </w:pPr>
          </w:p>
        </w:tc>
        <w:tc>
          <w:tcPr>
            <w:tcW w:w="1456" w:type="dxa"/>
          </w:tcPr>
          <w:p w14:paraId="187524A6">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企业管理能力及信誉 (3.0分)</w:t>
            </w:r>
          </w:p>
        </w:tc>
        <w:tc>
          <w:tcPr>
            <w:tcW w:w="7263" w:type="dxa"/>
          </w:tcPr>
          <w:p w14:paraId="26399B10">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lang w:eastAsia="zh-CN"/>
                <w14:textFill>
                  <w14:solidFill>
                    <w14:schemeClr w14:val="tx1"/>
                  </w14:solidFill>
                </w14:textFill>
              </w:rPr>
              <w:t>1.</w:t>
            </w:r>
            <w:r>
              <w:rPr>
                <w:rFonts w:ascii="宋体" w:hAnsi="宋体" w:eastAsia="宋体" w:cs="宋体"/>
                <w:color w:val="000000" w:themeColor="text1"/>
                <w:sz w:val="21"/>
                <w:szCs w:val="21"/>
                <w:highlight w:val="none"/>
                <w14:textFill>
                  <w14:solidFill>
                    <w14:schemeClr w14:val="tx1"/>
                  </w14:solidFill>
                </w14:textFill>
              </w:rPr>
              <w:t xml:space="preserve">获得质量管理体系认证ISO9001证书，得1分； </w:t>
            </w:r>
          </w:p>
          <w:p w14:paraId="11484F70">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lang w:eastAsia="zh-CN"/>
                <w14:textFill>
                  <w14:solidFill>
                    <w14:schemeClr w14:val="tx1"/>
                  </w14:solidFill>
                </w14:textFill>
              </w:rPr>
              <w:t>2.</w:t>
            </w:r>
            <w:r>
              <w:rPr>
                <w:rFonts w:ascii="宋体" w:hAnsi="宋体" w:eastAsia="宋体" w:cs="宋体"/>
                <w:color w:val="000000" w:themeColor="text1"/>
                <w:sz w:val="21"/>
                <w:szCs w:val="21"/>
                <w:highlight w:val="none"/>
                <w14:textFill>
                  <w14:solidFill>
                    <w14:schemeClr w14:val="tx1"/>
                  </w14:solidFill>
                </w14:textFill>
              </w:rPr>
              <w:t xml:space="preserve">获得职业健康安全管理体系认证ISO45001证书，得1分； </w:t>
            </w:r>
          </w:p>
          <w:p w14:paraId="693D3000">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lang w:eastAsia="zh-CN"/>
                <w14:textFill>
                  <w14:solidFill>
                    <w14:schemeClr w14:val="tx1"/>
                  </w14:solidFill>
                </w14:textFill>
              </w:rPr>
              <w:t>3.</w:t>
            </w:r>
            <w:r>
              <w:rPr>
                <w:rFonts w:ascii="宋体" w:hAnsi="宋体" w:eastAsia="宋体" w:cs="宋体"/>
                <w:color w:val="000000" w:themeColor="text1"/>
                <w:sz w:val="21"/>
                <w:szCs w:val="21"/>
                <w:highlight w:val="none"/>
                <w14:textFill>
                  <w14:solidFill>
                    <w14:schemeClr w14:val="tx1"/>
                  </w14:solidFill>
                </w14:textFill>
              </w:rPr>
              <w:t xml:space="preserve">获得环境管理体系认证ISO14001证书，得1分； </w:t>
            </w:r>
          </w:p>
          <w:p w14:paraId="351F1ADB">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注：提供有效证书复印件加盖投标人公章，不提供不得分。如因投标人成立时间不足三个月，导致未能取得相关认证且提供书面说明的，可获得对应证书的分值，不提供不得分。</w:t>
            </w:r>
          </w:p>
        </w:tc>
      </w:tr>
      <w:tr w14:paraId="083B56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2" w:type="dxa"/>
            <w:vMerge w:val="continue"/>
          </w:tcPr>
          <w:p w14:paraId="3A3DBD1B">
            <w:pPr>
              <w:spacing w:line="320" w:lineRule="exact"/>
              <w:rPr>
                <w:rFonts w:ascii="宋体" w:hAnsi="宋体" w:cs="宋体"/>
                <w:color w:val="000000" w:themeColor="text1"/>
                <w:sz w:val="21"/>
                <w:szCs w:val="21"/>
                <w:highlight w:val="none"/>
                <w14:textFill>
                  <w14:solidFill>
                    <w14:schemeClr w14:val="tx1"/>
                  </w14:solidFill>
                </w14:textFill>
              </w:rPr>
            </w:pPr>
          </w:p>
        </w:tc>
        <w:tc>
          <w:tcPr>
            <w:tcW w:w="1456" w:type="dxa"/>
          </w:tcPr>
          <w:p w14:paraId="6298B244">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项目团队人员实力 (</w:t>
            </w:r>
            <w:r>
              <w:rPr>
                <w:rFonts w:ascii="宋体" w:hAnsi="宋体" w:eastAsia="宋体" w:cs="宋体"/>
                <w:color w:val="000000" w:themeColor="text1"/>
                <w:sz w:val="21"/>
                <w:szCs w:val="21"/>
                <w:highlight w:val="none"/>
                <w:lang w:eastAsia="zh-CN"/>
                <w14:textFill>
                  <w14:solidFill>
                    <w14:schemeClr w14:val="tx1"/>
                  </w14:solidFill>
                </w14:textFill>
              </w:rPr>
              <w:t>6</w:t>
            </w:r>
            <w:r>
              <w:rPr>
                <w:rFonts w:ascii="宋体" w:hAnsi="宋体" w:eastAsia="宋体" w:cs="宋体"/>
                <w:color w:val="000000" w:themeColor="text1"/>
                <w:sz w:val="21"/>
                <w:szCs w:val="21"/>
                <w:highlight w:val="none"/>
                <w14:textFill>
                  <w14:solidFill>
                    <w14:schemeClr w14:val="tx1"/>
                  </w14:solidFill>
                </w14:textFill>
              </w:rPr>
              <w:t>.0分)</w:t>
            </w:r>
          </w:p>
        </w:tc>
        <w:tc>
          <w:tcPr>
            <w:tcW w:w="7263" w:type="dxa"/>
          </w:tcPr>
          <w:p w14:paraId="610DE4B3">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提供食品安全管理员考试合格证明或食品安全管理人员考试合格证明的，得</w:t>
            </w:r>
            <w:r>
              <w:rPr>
                <w:rFonts w:ascii="宋体" w:hAnsi="宋体" w:eastAsia="宋体" w:cs="宋体"/>
                <w:color w:val="000000" w:themeColor="text1"/>
                <w:sz w:val="21"/>
                <w:szCs w:val="21"/>
                <w:highlight w:val="none"/>
                <w:lang w:eastAsia="zh-CN"/>
                <w14:textFill>
                  <w14:solidFill>
                    <w14:schemeClr w14:val="tx1"/>
                  </w14:solidFill>
                </w14:textFill>
              </w:rPr>
              <w:t>3</w:t>
            </w:r>
            <w:r>
              <w:rPr>
                <w:rFonts w:ascii="宋体" w:hAnsi="宋体" w:eastAsia="宋体" w:cs="宋体"/>
                <w:color w:val="000000" w:themeColor="text1"/>
                <w:sz w:val="21"/>
                <w:szCs w:val="21"/>
                <w:highlight w:val="none"/>
                <w14:textFill>
                  <w14:solidFill>
                    <w14:schemeClr w14:val="tx1"/>
                  </w14:solidFill>
                </w14:textFill>
              </w:rPr>
              <w:t>分，本项最高得</w:t>
            </w:r>
            <w:r>
              <w:rPr>
                <w:rFonts w:ascii="宋体" w:hAnsi="宋体" w:eastAsia="宋体" w:cs="宋体"/>
                <w:color w:val="000000" w:themeColor="text1"/>
                <w:sz w:val="21"/>
                <w:szCs w:val="21"/>
                <w:highlight w:val="none"/>
                <w:lang w:eastAsia="zh-CN"/>
                <w14:textFill>
                  <w14:solidFill>
                    <w14:schemeClr w14:val="tx1"/>
                  </w14:solidFill>
                </w14:textFill>
              </w:rPr>
              <w:t>6</w:t>
            </w:r>
            <w:r>
              <w:rPr>
                <w:rFonts w:ascii="宋体" w:hAnsi="宋体" w:eastAsia="宋体" w:cs="宋体"/>
                <w:color w:val="000000" w:themeColor="text1"/>
                <w:sz w:val="21"/>
                <w:szCs w:val="21"/>
                <w:highlight w:val="none"/>
                <w14:textFill>
                  <w14:solidFill>
                    <w14:schemeClr w14:val="tx1"/>
                  </w14:solidFill>
                </w14:textFill>
              </w:rPr>
              <w:t xml:space="preserve">分。 </w:t>
            </w:r>
          </w:p>
          <w:p w14:paraId="21F398CC">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注：提供证书复印件及投标截止日前6个月任意一个月的社保证明材料加盖投标人公章，不提供不得分。</w:t>
            </w:r>
          </w:p>
        </w:tc>
      </w:tr>
      <w:tr w14:paraId="6ED33E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2" w:type="dxa"/>
            <w:vMerge w:val="continue"/>
          </w:tcPr>
          <w:p w14:paraId="2E30F3CB">
            <w:pPr>
              <w:spacing w:line="320" w:lineRule="exact"/>
              <w:rPr>
                <w:rFonts w:ascii="宋体" w:hAnsi="宋体" w:cs="宋体"/>
                <w:color w:val="000000" w:themeColor="text1"/>
                <w:sz w:val="21"/>
                <w:szCs w:val="21"/>
                <w:highlight w:val="none"/>
                <w14:textFill>
                  <w14:solidFill>
                    <w14:schemeClr w14:val="tx1"/>
                  </w14:solidFill>
                </w14:textFill>
              </w:rPr>
            </w:pPr>
          </w:p>
        </w:tc>
        <w:tc>
          <w:tcPr>
            <w:tcW w:w="1456" w:type="dxa"/>
          </w:tcPr>
          <w:p w14:paraId="77599D34">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食品安全责任险保障 (10.0分)</w:t>
            </w:r>
          </w:p>
        </w:tc>
        <w:tc>
          <w:tcPr>
            <w:tcW w:w="7263" w:type="dxa"/>
          </w:tcPr>
          <w:p w14:paraId="4C68C5AC">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 xml:space="preserve">提供食品安全责任险保障，保额壹仟万元及以上的，得3分；保额贰仟万元及以上的，得6分；保额伍仟万元及以上的，得10分，本项最高得10分。 </w:t>
            </w:r>
          </w:p>
          <w:p w14:paraId="3D9A5A95">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注：提供上述有效的食品安全责任险保险单、发票的复印件并加盖投标人公章，保险额均以人民币计算。如投标时未购买食品安全责任险，投标人须承诺中标后签合同前投保。评审时根据承诺投保的保额得相应的分值，提供《承诺函》，格式自拟，不提供不得分。</w:t>
            </w:r>
          </w:p>
        </w:tc>
      </w:tr>
      <w:tr w14:paraId="4233F7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2" w:type="dxa"/>
            <w:vMerge w:val="continue"/>
          </w:tcPr>
          <w:p w14:paraId="5E27FC70">
            <w:pPr>
              <w:spacing w:line="320" w:lineRule="exact"/>
              <w:rPr>
                <w:rFonts w:ascii="宋体" w:hAnsi="宋体" w:cs="宋体"/>
                <w:color w:val="000000" w:themeColor="text1"/>
                <w:sz w:val="21"/>
                <w:szCs w:val="21"/>
                <w:highlight w:val="none"/>
                <w14:textFill>
                  <w14:solidFill>
                    <w14:schemeClr w14:val="tx1"/>
                  </w14:solidFill>
                </w14:textFill>
              </w:rPr>
            </w:pPr>
          </w:p>
        </w:tc>
        <w:tc>
          <w:tcPr>
            <w:tcW w:w="1456" w:type="dxa"/>
          </w:tcPr>
          <w:p w14:paraId="371C6CED">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冷藏配送车 (</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ascii="宋体" w:hAnsi="宋体" w:eastAsia="宋体" w:cs="宋体"/>
                <w:color w:val="000000" w:themeColor="text1"/>
                <w:sz w:val="21"/>
                <w:szCs w:val="21"/>
                <w:highlight w:val="none"/>
                <w14:textFill>
                  <w14:solidFill>
                    <w14:schemeClr w14:val="tx1"/>
                  </w14:solidFill>
                </w14:textFill>
              </w:rPr>
              <w:t>.0分)</w:t>
            </w:r>
          </w:p>
        </w:tc>
        <w:tc>
          <w:tcPr>
            <w:tcW w:w="7263" w:type="dxa"/>
          </w:tcPr>
          <w:p w14:paraId="749631F7">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投标人提供自有或租赁的冷藏配送车辆每台得</w:t>
            </w:r>
            <w:r>
              <w:rPr>
                <w:rFonts w:hint="eastAsia" w:ascii="宋体" w:hAnsi="宋体" w:eastAsia="宋体" w:cs="宋体"/>
                <w:color w:val="000000" w:themeColor="text1"/>
                <w:sz w:val="21"/>
                <w:szCs w:val="21"/>
                <w:highlight w:val="none"/>
                <w:lang w:val="en-US" w:eastAsia="zh-CN"/>
                <w14:textFill>
                  <w14:solidFill>
                    <w14:schemeClr w14:val="tx1"/>
                  </w14:solidFill>
                </w14:textFill>
              </w:rPr>
              <w:t>3</w:t>
            </w:r>
            <w:r>
              <w:rPr>
                <w:rFonts w:ascii="宋体" w:hAnsi="宋体" w:eastAsia="宋体" w:cs="宋体"/>
                <w:color w:val="000000" w:themeColor="text1"/>
                <w:sz w:val="21"/>
                <w:szCs w:val="21"/>
                <w:highlight w:val="none"/>
                <w14:textFill>
                  <w14:solidFill>
                    <w14:schemeClr w14:val="tx1"/>
                  </w14:solidFill>
                </w14:textFill>
              </w:rPr>
              <w:t>分，最高得</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ascii="宋体" w:hAnsi="宋体" w:eastAsia="宋体" w:cs="宋体"/>
                <w:color w:val="000000" w:themeColor="text1"/>
                <w:sz w:val="21"/>
                <w:szCs w:val="21"/>
                <w:highlight w:val="none"/>
                <w14:textFill>
                  <w14:solidFill>
                    <w14:schemeClr w14:val="tx1"/>
                  </w14:solidFill>
                </w14:textFill>
              </w:rPr>
              <w:t xml:space="preserve">分。 </w:t>
            </w:r>
          </w:p>
          <w:p w14:paraId="1EE89823">
            <w:pPr>
              <w:pStyle w:val="19"/>
              <w:spacing w:line="320" w:lineRule="exact"/>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 xml:space="preserve">注： </w:t>
            </w:r>
          </w:p>
          <w:p w14:paraId="18AFC76D">
            <w:pPr>
              <w:pStyle w:val="19"/>
              <w:spacing w:line="320" w:lineRule="exact"/>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提供配送车辆的实物照片。（需显示到车牌号，未上牌需显示车架号） </w:t>
            </w:r>
          </w:p>
          <w:p w14:paraId="0A07C544">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 xml:space="preserve">2.所提供的车辆为租赁的还须提供以投标人名义（含法定代表人）签署的租赁合同复印件。 </w:t>
            </w:r>
          </w:p>
          <w:p w14:paraId="3426A864">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3.所提供的资料应清晰可辨，加盖投标人公章，否则不予计分。</w:t>
            </w:r>
          </w:p>
        </w:tc>
      </w:tr>
      <w:tr w14:paraId="654228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2" w:type="dxa"/>
            <w:vMerge w:val="continue"/>
          </w:tcPr>
          <w:p w14:paraId="5682DA9F">
            <w:pPr>
              <w:spacing w:line="320" w:lineRule="exact"/>
              <w:rPr>
                <w:rFonts w:ascii="宋体" w:hAnsi="宋体" w:cs="宋体"/>
                <w:color w:val="000000" w:themeColor="text1"/>
                <w:sz w:val="21"/>
                <w:szCs w:val="21"/>
                <w:highlight w:val="none"/>
                <w14:textFill>
                  <w14:solidFill>
                    <w14:schemeClr w14:val="tx1"/>
                  </w14:solidFill>
                </w14:textFill>
              </w:rPr>
            </w:pPr>
          </w:p>
        </w:tc>
        <w:tc>
          <w:tcPr>
            <w:tcW w:w="1456" w:type="dxa"/>
          </w:tcPr>
          <w:p w14:paraId="43D1B61E">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综合实力 (10.0分)</w:t>
            </w:r>
          </w:p>
        </w:tc>
        <w:tc>
          <w:tcPr>
            <w:tcW w:w="7263" w:type="dxa"/>
          </w:tcPr>
          <w:p w14:paraId="5B7BEAEA">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lang w:eastAsia="zh-CN"/>
                <w14:textFill>
                  <w14:solidFill>
                    <w14:schemeClr w14:val="tx1"/>
                  </w14:solidFill>
                </w14:textFill>
              </w:rPr>
              <w:t>1.</w:t>
            </w:r>
            <w:r>
              <w:rPr>
                <w:rFonts w:ascii="宋体" w:hAnsi="宋体" w:eastAsia="宋体" w:cs="宋体"/>
                <w:color w:val="000000" w:themeColor="text1"/>
                <w:sz w:val="21"/>
                <w:szCs w:val="21"/>
                <w:highlight w:val="none"/>
                <w14:textFill>
                  <w14:solidFill>
                    <w14:schemeClr w14:val="tx1"/>
                  </w14:solidFill>
                </w14:textFill>
              </w:rPr>
              <w:t xml:space="preserve">投标人提供自有或租赁的配送场地，得5分； </w:t>
            </w:r>
          </w:p>
          <w:p w14:paraId="101BE4F3">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lang w:eastAsia="zh-CN"/>
                <w14:textFill>
                  <w14:solidFill>
                    <w14:schemeClr w14:val="tx1"/>
                  </w14:solidFill>
                </w14:textFill>
              </w:rPr>
              <w:t>2.</w:t>
            </w:r>
            <w:r>
              <w:rPr>
                <w:rFonts w:ascii="宋体" w:hAnsi="宋体" w:eastAsia="宋体" w:cs="宋体"/>
                <w:color w:val="000000" w:themeColor="text1"/>
                <w:sz w:val="21"/>
                <w:szCs w:val="21"/>
                <w:highlight w:val="none"/>
                <w14:textFill>
                  <w14:solidFill>
                    <w14:schemeClr w14:val="tx1"/>
                  </w14:solidFill>
                </w14:textFill>
              </w:rPr>
              <w:t>投标人提供自有或租赁的冷藏库，得5分；</w:t>
            </w:r>
          </w:p>
          <w:p w14:paraId="786E5D3F">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注：须提供产权证明复印件加盖投标人公章；如是租赁的须提供以投标人名义（含法定代表人）签署的租赁合同复印件加盖投标人公章</w:t>
            </w:r>
            <w:r>
              <w:rPr>
                <w:rFonts w:ascii="宋体" w:hAnsi="宋体" w:eastAsia="宋体" w:cs="宋体"/>
                <w:color w:val="000000" w:themeColor="text1"/>
                <w:sz w:val="21"/>
                <w:szCs w:val="21"/>
                <w:highlight w:val="none"/>
                <w:lang w:eastAsia="zh-CN"/>
                <w14:textFill>
                  <w14:solidFill>
                    <w14:schemeClr w14:val="tx1"/>
                  </w14:solidFill>
                </w14:textFill>
              </w:rPr>
              <w:t>，</w:t>
            </w:r>
            <w:r>
              <w:rPr>
                <w:rFonts w:ascii="宋体" w:hAnsi="宋体" w:eastAsia="宋体" w:cs="宋体"/>
                <w:color w:val="000000" w:themeColor="text1"/>
                <w:sz w:val="21"/>
                <w:szCs w:val="21"/>
                <w:highlight w:val="none"/>
                <w14:textFill>
                  <w14:solidFill>
                    <w14:schemeClr w14:val="tx1"/>
                  </w14:solidFill>
                </w14:textFill>
              </w:rPr>
              <w:t>不提供不得分。</w:t>
            </w:r>
          </w:p>
        </w:tc>
      </w:tr>
      <w:tr w14:paraId="0F102C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2" w:type="dxa"/>
          </w:tcPr>
          <w:p w14:paraId="1774114A">
            <w:pPr>
              <w:pStyle w:val="19"/>
              <w:spacing w:line="320" w:lineRule="exact"/>
              <w:jc w:val="center"/>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投标报价</w:t>
            </w:r>
          </w:p>
        </w:tc>
        <w:tc>
          <w:tcPr>
            <w:tcW w:w="1456" w:type="dxa"/>
          </w:tcPr>
          <w:p w14:paraId="59066B8C">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投标报价得分 (10.0分)</w:t>
            </w:r>
          </w:p>
        </w:tc>
        <w:tc>
          <w:tcPr>
            <w:tcW w:w="7263" w:type="dxa"/>
          </w:tcPr>
          <w:p w14:paraId="2DD98731">
            <w:pPr>
              <w:pStyle w:val="19"/>
              <w:spacing w:line="320" w:lineRule="exact"/>
              <w:rPr>
                <w:rFonts w:hint="default"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z w:val="21"/>
                <w:szCs w:val="21"/>
                <w:highlight w:val="none"/>
                <w14:textFill>
                  <w14:solidFill>
                    <w14:schemeClr w14:val="tx1"/>
                  </w14:solidFill>
                </w14:textFill>
              </w:rPr>
              <w:t>投标报价得分＝（评标基准价/投标报价）×价格分值（注：满足招标文件要求且投标价格最低的投标报价为评标基准价。）最低报价不是中标的唯一依据。【注：满足招标文件要求且“XXXX”报价最低的为评标基准价。如：投标报价XXXX 20%为报价最低，评标基准价为20%，得满分 】。因落实政府采购政策进行价格调整的，以调整后的价格计算评标基准价和投标报价。</w:t>
            </w:r>
          </w:p>
        </w:tc>
      </w:tr>
    </w:tbl>
    <w:p w14:paraId="3A1C2BC1">
      <w:pPr>
        <w:rPr>
          <w:rFonts w:hint="eastAsia"/>
          <w:color w:val="000000" w:themeColor="text1"/>
          <w:highlight w:val="none"/>
          <w14:textFill>
            <w14:solidFill>
              <w14:schemeClr w14:val="tx1"/>
            </w14:solidFill>
          </w14:textFill>
        </w:rPr>
      </w:pPr>
    </w:p>
    <w:p w14:paraId="35186A59">
      <w:pPr>
        <w:rPr>
          <w:rFonts w:hint="eastAsia"/>
          <w:color w:val="000000" w:themeColor="text1"/>
          <w:highlight w:val="none"/>
          <w14:textFill>
            <w14:solidFill>
              <w14:schemeClr w14:val="tx1"/>
            </w14:solidFill>
          </w14:textFill>
        </w:rPr>
      </w:pPr>
    </w:p>
    <w:p w14:paraId="1BF54002">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4.汇总、排序</w:t>
      </w:r>
    </w:p>
    <w:p w14:paraId="7ABD1889">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采购包1：</w:t>
      </w:r>
    </w:p>
    <w:p w14:paraId="4C3750AE">
      <w:pPr>
        <w:pStyle w:val="19"/>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w:t>
      </w:r>
    </w:p>
    <w:p w14:paraId="51F66E09">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5.中标价的确定</w:t>
      </w:r>
    </w:p>
    <w:p w14:paraId="5F2844F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除了按第四章第一点第7条修正并经投标人确认的投标报价作为中标价外，中标价以开标时公开唱标价为准。</w:t>
      </w:r>
    </w:p>
    <w:p w14:paraId="5B56DCAD">
      <w:pPr>
        <w:pStyle w:val="19"/>
        <w:keepNext w:val="0"/>
        <w:keepLines w:val="0"/>
        <w:pageBreakBefore w:val="0"/>
        <w:kinsoku/>
        <w:wordWrap/>
        <w:overflowPunct/>
        <w:topLinePunct w:val="0"/>
        <w:autoSpaceDE/>
        <w:autoSpaceDN/>
        <w:bidi w:val="0"/>
        <w:adjustRightInd/>
        <w:snapToGrid/>
        <w:spacing w:line="360" w:lineRule="auto"/>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6.其他无效投标的情形：</w:t>
      </w:r>
    </w:p>
    <w:p w14:paraId="4D3CC123">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(1)评标期间，投标人没有按评标委员会的要求提交法定代表人或其委托代理人签字的澄清、说明、补正或改变了投标文件的实质性内容的。</w:t>
      </w:r>
    </w:p>
    <w:p w14:paraId="4670F02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(2)投标文件提供虚假材料的。</w:t>
      </w:r>
    </w:p>
    <w:p w14:paraId="4DDA656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(3)投标人以他人名义投标、串通投标、以行贿手段谋取中标或者以其他弄虚作假方式投标的。</w:t>
      </w:r>
    </w:p>
    <w:p w14:paraId="6655DCC9">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(4)投标人对采购人、采购代理机构、评标委员会及其工作人员施加影响，有碍招标公平、公正的。</w:t>
      </w:r>
    </w:p>
    <w:p w14:paraId="1DC00B4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(5)投标文件含有采购人不能接受的附加条件的。</w:t>
      </w:r>
    </w:p>
    <w:p w14:paraId="3EFB9CB7">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(6)法律、法规和招标文件规定的其他无效情形。</w:t>
      </w:r>
    </w:p>
    <w:p w14:paraId="47B02771">
      <w:pPr>
        <w:rPr>
          <w:rFonts w:hint="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6A79AE82">
      <w:pPr>
        <w:rPr>
          <w:rFonts w:hint="eastAsia"/>
          <w:color w:val="000000" w:themeColor="text1"/>
          <w:highlight w:val="none"/>
          <w14:textFill>
            <w14:solidFill>
              <w14:schemeClr w14:val="tx1"/>
            </w14:solidFill>
          </w14:textFill>
        </w:rPr>
      </w:pPr>
    </w:p>
    <w:p w14:paraId="56585744">
      <w:pP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br w:type="page"/>
      </w:r>
    </w:p>
    <w:p w14:paraId="4390FAEA">
      <w:pPr>
        <w:pStyle w:val="19"/>
        <w:keepNext w:val="0"/>
        <w:keepLines w:val="0"/>
        <w:pageBreakBefore w:val="0"/>
        <w:widowControl/>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bookmarkStart w:id="88" w:name="_Toc10647"/>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第五章 合同</w:t>
      </w:r>
      <w:r>
        <w:rPr>
          <w:rFonts w:hint="eastAsia" w:asciiTheme="minorEastAsia" w:hAnsiTheme="minorEastAsia" w:cstheme="minorEastAsia"/>
          <w:b/>
          <w:color w:val="000000" w:themeColor="text1"/>
          <w:sz w:val="28"/>
          <w:szCs w:val="28"/>
          <w:highlight w:val="none"/>
          <w:lang w:val="en-US" w:eastAsia="zh-CN"/>
          <w14:textFill>
            <w14:solidFill>
              <w14:schemeClr w14:val="tx1"/>
            </w14:solidFill>
          </w14:textFill>
        </w:rPr>
        <w:t>范</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本</w:t>
      </w:r>
      <w:bookmarkEnd w:id="88"/>
    </w:p>
    <w:p w14:paraId="394825B3">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 xml:space="preserve"> </w:t>
      </w:r>
    </w:p>
    <w:p w14:paraId="18403ACD">
      <w:pPr>
        <w:pStyle w:val="19"/>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 xml:space="preserve"> </w:t>
      </w:r>
    </w:p>
    <w:p w14:paraId="70497923">
      <w:pPr>
        <w:pStyle w:val="19"/>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 xml:space="preserve"> </w:t>
      </w:r>
    </w:p>
    <w:p w14:paraId="497606F9">
      <w:pPr>
        <w:pStyle w:val="19"/>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7A29001">
      <w:pPr>
        <w:pStyle w:val="19"/>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3A7A59B">
      <w:pPr>
        <w:pStyle w:val="19"/>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 xml:space="preserve"> </w:t>
      </w:r>
    </w:p>
    <w:p w14:paraId="683E29E5">
      <w:pPr>
        <w:pStyle w:val="19"/>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44"/>
          <w:szCs w:val="4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44"/>
          <w:szCs w:val="44"/>
          <w:highlight w:val="none"/>
          <w14:textFill>
            <w14:solidFill>
              <w14:schemeClr w14:val="tx1"/>
            </w14:solidFill>
          </w14:textFill>
        </w:rPr>
        <w:t>合</w:t>
      </w:r>
      <w:r>
        <w:rPr>
          <w:rFonts w:hint="eastAsia" w:asciiTheme="minorEastAsia" w:hAnsiTheme="minorEastAsia" w:cstheme="minorEastAsia"/>
          <w:b/>
          <w:color w:val="000000" w:themeColor="text1"/>
          <w:sz w:val="44"/>
          <w:szCs w:val="4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44"/>
          <w:szCs w:val="44"/>
          <w:highlight w:val="none"/>
          <w14:textFill>
            <w14:solidFill>
              <w14:schemeClr w14:val="tx1"/>
            </w14:solidFill>
          </w14:textFill>
        </w:rPr>
        <w:t>　同　</w:t>
      </w:r>
      <w:r>
        <w:rPr>
          <w:rFonts w:hint="eastAsia" w:asciiTheme="minorEastAsia" w:hAnsiTheme="minorEastAsia" w:cstheme="minorEastAsia"/>
          <w:b/>
          <w:color w:val="000000" w:themeColor="text1"/>
          <w:sz w:val="44"/>
          <w:szCs w:val="4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44"/>
          <w:szCs w:val="44"/>
          <w:highlight w:val="none"/>
          <w14:textFill>
            <w14:solidFill>
              <w14:schemeClr w14:val="tx1"/>
            </w14:solidFill>
          </w14:textFill>
        </w:rPr>
        <w:t>书</w:t>
      </w:r>
    </w:p>
    <w:p w14:paraId="7763F208">
      <w:pPr>
        <w:pStyle w:val="19"/>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044FB8C7">
      <w:pPr>
        <w:pStyle w:val="19"/>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27C332AC">
      <w:pPr>
        <w:pStyle w:val="19"/>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D819311">
      <w:pPr>
        <w:pStyle w:val="19"/>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4EC5F0E">
      <w:pPr>
        <w:pStyle w:val="19"/>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936A794">
      <w:pPr>
        <w:pStyle w:val="19"/>
        <w:keepNext w:val="0"/>
        <w:keepLines w:val="0"/>
        <w:pageBreakBefore w:val="0"/>
        <w:kinsoku/>
        <w:wordWrap/>
        <w:overflowPunct/>
        <w:topLinePunct w:val="0"/>
        <w:autoSpaceDE/>
        <w:autoSpaceDN/>
        <w:bidi w:val="0"/>
        <w:adjustRightInd/>
        <w:snapToGrid/>
        <w:spacing w:before="150" w:after="150" w:line="360" w:lineRule="auto"/>
        <w:ind w:left="0" w:right="0"/>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0BB0B23C">
      <w:pPr>
        <w:pStyle w:val="19"/>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项目编号：</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 xml:space="preserve">                                    </w:t>
      </w:r>
    </w:p>
    <w:p w14:paraId="0BB764C6">
      <w:pPr>
        <w:pStyle w:val="19"/>
        <w:keepNext w:val="0"/>
        <w:keepLines w:val="0"/>
        <w:pageBreakBefore w:val="0"/>
        <w:kinsoku/>
        <w:wordWrap/>
        <w:overflowPunct/>
        <w:topLinePunct w:val="0"/>
        <w:autoSpaceDE/>
        <w:autoSpaceDN/>
        <w:bidi w:val="0"/>
        <w:adjustRightInd/>
        <w:snapToGrid/>
        <w:spacing w:before="150" w:after="150" w:line="360" w:lineRule="auto"/>
        <w:ind w:left="0" w:right="0"/>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5B58A1D3">
      <w:pPr>
        <w:pStyle w:val="19"/>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项目名称：</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 xml:space="preserve">                        </w:t>
      </w:r>
      <w:r>
        <w:rPr>
          <w:rFonts w:hint="eastAsia" w:asciiTheme="minorEastAsia" w:hAnsiTheme="minorEastAsia" w:cstheme="minorEastAsia"/>
          <w:color w:val="000000" w:themeColor="text1"/>
          <w:sz w:val="21"/>
          <w:szCs w:val="21"/>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 xml:space="preserve">      </w:t>
      </w:r>
    </w:p>
    <w:p w14:paraId="64E0E203">
      <w:pPr>
        <w:pStyle w:val="19"/>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09195DC">
      <w:pPr>
        <w:pStyle w:val="19"/>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20C32DCB">
      <w:pPr>
        <w:pStyle w:val="19"/>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EFE97C6">
      <w:pPr>
        <w:pStyle w:val="19"/>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7DB46F2">
      <w:pPr>
        <w:pStyle w:val="19"/>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20B61CB">
      <w:pPr>
        <w:pStyle w:val="19"/>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宋体" w:hAnsi="宋体"/>
          <w:b/>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宋体" w:hAnsi="宋体"/>
          <w:b/>
          <w:color w:val="000000" w:themeColor="text1"/>
          <w:szCs w:val="21"/>
          <w:highlight w:val="none"/>
          <w14:textFill>
            <w14:solidFill>
              <w14:schemeClr w14:val="tx1"/>
            </w14:solidFill>
          </w14:textFill>
        </w:rPr>
        <w:t>注：本合同仅为合同草案文本，合同签订双方可根据项目的具体要求进行修订和细化。</w:t>
      </w:r>
    </w:p>
    <w:p w14:paraId="3B6AE423">
      <w:pPr>
        <w:pStyle w:val="19"/>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宋体" w:hAnsi="宋体"/>
          <w:b/>
          <w:color w:val="000000" w:themeColor="text1"/>
          <w:szCs w:val="21"/>
          <w:highlight w:val="none"/>
          <w14:textFill>
            <w14:solidFill>
              <w14:schemeClr w14:val="tx1"/>
            </w14:solidFill>
          </w14:textFill>
        </w:rPr>
      </w:pPr>
    </w:p>
    <w:p w14:paraId="06F65F5D">
      <w:pPr>
        <w:pStyle w:val="19"/>
        <w:keepNext w:val="0"/>
        <w:keepLines w:val="0"/>
        <w:pageBreakBefore w:val="0"/>
        <w:kinsoku/>
        <w:wordWrap/>
        <w:overflowPunct/>
        <w:topLinePunct w:val="0"/>
        <w:autoSpaceDE/>
        <w:autoSpaceDN/>
        <w:bidi w:val="0"/>
        <w:adjustRightInd/>
        <w:snapToGrid/>
        <w:spacing w:before="0" w:after="0" w:line="360" w:lineRule="auto"/>
        <w:ind w:left="0" w:right="0"/>
        <w:jc w:val="center"/>
        <w:textAlignment w:val="auto"/>
        <w:rPr>
          <w:rFonts w:hint="eastAsia" w:ascii="宋体" w:hAnsi="宋体"/>
          <w:b/>
          <w:color w:val="000000" w:themeColor="text1"/>
          <w:szCs w:val="21"/>
          <w:highlight w:val="none"/>
          <w14:textFill>
            <w14:solidFill>
              <w14:schemeClr w14:val="tx1"/>
            </w14:solidFill>
          </w14:textFill>
        </w:rPr>
      </w:pPr>
    </w:p>
    <w:p w14:paraId="7FF74961">
      <w:pP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br w:type="page"/>
      </w:r>
    </w:p>
    <w:p w14:paraId="0CD38092">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 xml:space="preserve">甲方： </w:t>
      </w:r>
      <w:r>
        <w:rPr>
          <w:rFonts w:hint="eastAsia" w:ascii="宋体" w:hAnsi="宋体" w:eastAsia="宋体" w:cs="宋体"/>
          <w:b/>
          <w:color w:val="000000" w:themeColor="text1"/>
          <w:sz w:val="21"/>
          <w:szCs w:val="21"/>
          <w:highlight w:val="none"/>
          <w:u w:val="single"/>
          <w14:textFill>
            <w14:solidFill>
              <w14:schemeClr w14:val="tx1"/>
            </w14:solidFill>
          </w14:textFill>
        </w:rPr>
        <w:t xml:space="preserve">　　　　　  </w:t>
      </w:r>
    </w:p>
    <w:p w14:paraId="1DAB7EEF">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电话： </w:t>
      </w:r>
      <w:r>
        <w:rPr>
          <w:rFonts w:hint="eastAsia" w:ascii="宋体" w:hAnsi="宋体" w:eastAsia="宋体" w:cs="宋体"/>
          <w:b/>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传真 ： </w:t>
      </w:r>
      <w:r>
        <w:rPr>
          <w:rFonts w:hint="eastAsia" w:ascii="宋体" w:hAnsi="宋体" w:eastAsia="宋体" w:cs="宋体"/>
          <w:b/>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地址： </w:t>
      </w:r>
      <w:r>
        <w:rPr>
          <w:rFonts w:hint="eastAsia" w:ascii="宋体" w:hAnsi="宋体" w:eastAsia="宋体" w:cs="宋体"/>
          <w:b/>
          <w:color w:val="000000" w:themeColor="text1"/>
          <w:sz w:val="21"/>
          <w:szCs w:val="21"/>
          <w:highlight w:val="none"/>
          <w:u w:val="single"/>
          <w14:textFill>
            <w14:solidFill>
              <w14:schemeClr w14:val="tx1"/>
            </w14:solidFill>
          </w14:textFill>
        </w:rPr>
        <w:t xml:space="preserve">　　　   </w:t>
      </w:r>
    </w:p>
    <w:p w14:paraId="6A712F23">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 xml:space="preserve">乙方： </w:t>
      </w:r>
      <w:r>
        <w:rPr>
          <w:rFonts w:hint="eastAsia" w:ascii="宋体" w:hAnsi="宋体" w:eastAsia="宋体" w:cs="宋体"/>
          <w:b/>
          <w:color w:val="000000" w:themeColor="text1"/>
          <w:sz w:val="21"/>
          <w:szCs w:val="21"/>
          <w:highlight w:val="none"/>
          <w:u w:val="single"/>
          <w14:textFill>
            <w14:solidFill>
              <w14:schemeClr w14:val="tx1"/>
            </w14:solidFill>
          </w14:textFill>
        </w:rPr>
        <w:t xml:space="preserve">　　　　　  </w:t>
      </w:r>
    </w:p>
    <w:p w14:paraId="44C4D873">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电话： </w:t>
      </w:r>
      <w:r>
        <w:rPr>
          <w:rFonts w:hint="eastAsia" w:ascii="宋体" w:hAnsi="宋体" w:eastAsia="宋体" w:cs="宋体"/>
          <w:b/>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传真：</w:t>
      </w:r>
      <w:r>
        <w:rPr>
          <w:rFonts w:hint="eastAsia" w:ascii="宋体" w:hAnsi="宋体" w:eastAsia="宋体" w:cs="宋体"/>
          <w:b/>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地址： </w:t>
      </w:r>
      <w:r>
        <w:rPr>
          <w:rFonts w:hint="eastAsia" w:ascii="宋体" w:hAnsi="宋体" w:eastAsia="宋体" w:cs="宋体"/>
          <w:b/>
          <w:color w:val="000000" w:themeColor="text1"/>
          <w:sz w:val="21"/>
          <w:szCs w:val="21"/>
          <w:highlight w:val="none"/>
          <w:u w:val="single"/>
          <w14:textFill>
            <w14:solidFill>
              <w14:schemeClr w14:val="tx1"/>
            </w14:solidFill>
          </w14:textFill>
        </w:rPr>
        <w:t xml:space="preserve">　　　   </w:t>
      </w:r>
    </w:p>
    <w:p w14:paraId="1795ECC2">
      <w:pPr>
        <w:pStyle w:val="19"/>
        <w:keepNext w:val="0"/>
        <w:keepLines w:val="0"/>
        <w:pageBreakBefore w:val="0"/>
        <w:widowControl/>
        <w:shd w:val="clear" w:fill="FFFFFF"/>
        <w:kinsoku/>
        <w:wordWrap/>
        <w:overflowPunct/>
        <w:topLinePunct w:val="0"/>
        <w:autoSpaceDE/>
        <w:autoSpaceDN/>
        <w:bidi w:val="0"/>
        <w:adjustRightInd/>
        <w:snapToGrid/>
        <w:spacing w:before="150" w:after="15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 </w:t>
      </w:r>
    </w:p>
    <w:p w14:paraId="06FD3488">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  根据 </w:t>
      </w:r>
      <w:r>
        <w:rPr>
          <w:rFonts w:hint="eastAsia" w:ascii="宋体" w:hAnsi="宋体" w:eastAsia="宋体" w:cs="宋体"/>
          <w:color w:val="000000" w:themeColor="text1"/>
          <w:sz w:val="21"/>
          <w:szCs w:val="21"/>
          <w:highlight w:val="none"/>
          <w:u w:val="single"/>
          <w14:textFill>
            <w14:solidFill>
              <w14:schemeClr w14:val="tx1"/>
            </w14:solidFill>
          </w14:textFill>
        </w:rPr>
        <w:t xml:space="preserve">         项目 </w:t>
      </w:r>
      <w:r>
        <w:rPr>
          <w:rFonts w:hint="eastAsia" w:ascii="宋体" w:hAnsi="宋体" w:eastAsia="宋体" w:cs="宋体"/>
          <w:color w:val="000000" w:themeColor="text1"/>
          <w:sz w:val="21"/>
          <w:szCs w:val="21"/>
          <w:highlight w:val="none"/>
          <w14:textFill>
            <w14:solidFill>
              <w14:schemeClr w14:val="tx1"/>
            </w14:solidFill>
          </w14:textFill>
        </w:rPr>
        <w:t>的采购结果，按照《中华人民共和国政府采购法》，《中华人民共和国民法典(合同编)》的规定，经双方协商，本着平等互利和诚实信用的原则，一致同意遵守本合同如下。</w:t>
      </w:r>
    </w:p>
    <w:p w14:paraId="2324F150">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一、合同金额</w:t>
      </w:r>
    </w:p>
    <w:p w14:paraId="12F1A9F9">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合同金额为（大写）：_____________元（￥_________元）人民币。</w:t>
      </w:r>
    </w:p>
    <w:p w14:paraId="6F8E2368">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二、服务范围</w:t>
      </w:r>
    </w:p>
    <w:p w14:paraId="6F4026F5">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甲方聘请乙方提供以下服务：</w:t>
      </w:r>
    </w:p>
    <w:p w14:paraId="49C5CB8C">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1．</w:t>
      </w:r>
      <w:r>
        <w:rPr>
          <w:rFonts w:hint="eastAsia" w:ascii="宋体" w:hAnsi="宋体" w:eastAsia="宋体" w:cs="宋体"/>
          <w:color w:val="000000" w:themeColor="text1"/>
          <w:sz w:val="21"/>
          <w:szCs w:val="21"/>
          <w:highlight w:val="none"/>
          <w:u w:val="single"/>
          <w14:textFill>
            <w14:solidFill>
              <w14:schemeClr w14:val="tx1"/>
            </w14:solidFill>
          </w14:textFill>
        </w:rPr>
        <w:t>　　　　　　　　　　　</w:t>
      </w:r>
      <w:r>
        <w:rPr>
          <w:rFonts w:hint="eastAsia" w:ascii="宋体" w:hAnsi="宋体" w:eastAsia="宋体" w:cs="宋体"/>
          <w:color w:val="000000" w:themeColor="text1"/>
          <w:sz w:val="21"/>
          <w:szCs w:val="21"/>
          <w:highlight w:val="none"/>
          <w14:textFill>
            <w14:solidFill>
              <w14:schemeClr w14:val="tx1"/>
            </w14:solidFill>
          </w14:textFill>
        </w:rPr>
        <w:t>。</w:t>
      </w:r>
    </w:p>
    <w:p w14:paraId="6A8EC229">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2．</w:t>
      </w:r>
      <w:r>
        <w:rPr>
          <w:rFonts w:hint="eastAsia" w:ascii="宋体" w:hAnsi="宋体" w:eastAsia="宋体" w:cs="宋体"/>
          <w:color w:val="000000" w:themeColor="text1"/>
          <w:sz w:val="21"/>
          <w:szCs w:val="21"/>
          <w:highlight w:val="none"/>
          <w:u w:val="single"/>
          <w14:textFill>
            <w14:solidFill>
              <w14:schemeClr w14:val="tx1"/>
            </w14:solidFill>
          </w14:textFill>
        </w:rPr>
        <w:t>　　　　　　　　　　　</w:t>
      </w:r>
    </w:p>
    <w:p w14:paraId="6035AABA">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p>
    <w:p w14:paraId="2CBEAFCF">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三、甲方乙方的权利和义务</w:t>
      </w:r>
    </w:p>
    <w:p w14:paraId="5382EE8E">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1.甲方的权利和义务</w:t>
      </w:r>
    </w:p>
    <w:p w14:paraId="71AE3183">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2.乙方的权利和义务</w:t>
      </w:r>
    </w:p>
    <w:p w14:paraId="3F901FCD">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四、服务期间（项目完成期限）</w:t>
      </w:r>
    </w:p>
    <w:p w14:paraId="5742BF0E">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1.委托服务期间自______年______月至______年______月止。</w:t>
      </w:r>
    </w:p>
    <w:p w14:paraId="47DE0186">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五、付款方式</w:t>
      </w:r>
    </w:p>
    <w:p w14:paraId="5B08178E">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由甲方按下列程序在</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 内付款：</w:t>
      </w:r>
    </w:p>
    <w:p w14:paraId="6FA0145E">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1.在合同实施及服务人员到达服务地后__天内，甲方应将第一次付　　款总服务费的__(-%)付给乙方。</w:t>
      </w:r>
    </w:p>
    <w:p w14:paraId="19109C31">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2.第二次付款额应为总服务费的__(-%)，甲方应在乙方已经准备好，并递交了服务报告及其它相关文件，而这些报告和文件符合合同附件上的要求并被甲方验收后付给乙方。</w:t>
      </w:r>
    </w:p>
    <w:p w14:paraId="4F2487BE">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3.最后一次付款额应为总服务费的__(-%)，甲方应在乙方递交了服务总结报告和说明并完全履行合同完毕_________日内付给乙方。</w:t>
      </w:r>
    </w:p>
    <w:p w14:paraId="3BE844F2">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4.对于满足合同约定支付条件的，甲方应当自收到发票后30日内将资金支付到合同约定的乙方账户，不得以机构变动、人员更替、政策调整等为由延迟付款，不得将采购文件和合同中未规定的义务作为向乙方付款的条件。</w:t>
      </w:r>
    </w:p>
    <w:p w14:paraId="0EEF401C">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六、知识产权归属</w:t>
      </w:r>
    </w:p>
    <w:p w14:paraId="34F13E19">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七、保密</w:t>
      </w:r>
    </w:p>
    <w:p w14:paraId="37C63FC3">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八、违约责任与赔偿损失</w:t>
      </w:r>
    </w:p>
    <w:p w14:paraId="7F86E758">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1.乙方提供的服务不符合本合同规定的，甲方有权拒收，并且乙方须向甲方方支付本合同总价5%的违约金。</w:t>
      </w:r>
    </w:p>
    <w:p w14:paraId="4CEC236A">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2.乙方未能按本合同规定的交货时间提供服务，从逾期之日起每日按本合同总价3‰的数额向甲方支付违约金；逾期半个月以上的，甲方有权终止合同，由此造成的甲方经济损失由乙方承担。</w:t>
      </w:r>
    </w:p>
    <w:p w14:paraId="73476790">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3.甲方无正当理由拒收接受服务，到期拒付服务款项的，甲方向乙方偿付本合同总的5%的违约金。甲方人逾期付款，则每日按本合同总价的3‰向乙方偿付违约金。</w:t>
      </w:r>
    </w:p>
    <w:p w14:paraId="2CF3F604">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4.对于因甲方原因导致变更、中止或者终止政府采购合同的，甲方应当依照以下合同约定对供应商受到的损失予以赔偿或者补偿：</w:t>
      </w:r>
    </w:p>
    <w:p w14:paraId="182A9AE2">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14:paraId="1B092939">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5.其它违约责任按《中华人民共和国民法典(合同编)》处理。</w:t>
      </w:r>
    </w:p>
    <w:p w14:paraId="70B7673F">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九、争议的解决</w:t>
      </w:r>
    </w:p>
    <w:p w14:paraId="51D9FA4D">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firstLine="40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合同执行过程中发生的任何争议，如双方不能通过友好协商解决，按相关法律法规处理。     </w:t>
      </w:r>
    </w:p>
    <w:p w14:paraId="65B74F9C">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十、不可抗力</w:t>
      </w:r>
    </w:p>
    <w:p w14:paraId="7D49E1F2">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14:paraId="0F418010">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十一、税费</w:t>
      </w:r>
    </w:p>
    <w:p w14:paraId="1955D3E5">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在中国境内、外发生的与本合同执行有关的一切税费均由乙方负担。</w:t>
      </w:r>
    </w:p>
    <w:p w14:paraId="620A70A1">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十二、其它</w:t>
      </w:r>
    </w:p>
    <w:p w14:paraId="23902ED4">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1.本合同所有附件、招标文件、投标文件、中标通知书均为合同的有效组成部分，与本合同具有同等法律效力。</w:t>
      </w:r>
    </w:p>
    <w:p w14:paraId="76BD4835">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2.在执行本合同的过程中，所有经双方签署确认的文件（包括会议纪要、补充协议、往来信函）即成为本合同的有效组成部分。</w:t>
      </w:r>
    </w:p>
    <w:p w14:paraId="2BA0FC86">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3.如一方地址、电话、传真号码有变更，应在变更当日内书面通知对方，否则，应承担相应责任。</w:t>
      </w:r>
    </w:p>
    <w:p w14:paraId="0F2F4687">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4.除甲方事先书面同意外，乙方不得部分或全部转让其应履行的合同项下的义务。</w:t>
      </w:r>
    </w:p>
    <w:p w14:paraId="1A49E2FA">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十三、合同生效</w:t>
      </w:r>
    </w:p>
    <w:p w14:paraId="7E6D7563">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1.本合同在甲乙双方法人代表或其授权代表签字盖章后生效。</w:t>
      </w:r>
    </w:p>
    <w:p w14:paraId="55A56898">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2.合同一式</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 份。</w:t>
      </w:r>
    </w:p>
    <w:p w14:paraId="037F7ECA">
      <w:pPr>
        <w:pStyle w:val="19"/>
        <w:keepNext w:val="0"/>
        <w:keepLines w:val="0"/>
        <w:pageBreakBefore w:val="0"/>
        <w:widowControl/>
        <w:shd w:val="clear" w:fill="FFFFFF"/>
        <w:kinsoku/>
        <w:wordWrap/>
        <w:overflowPunct/>
        <w:topLinePunct w:val="0"/>
        <w:autoSpaceDE/>
        <w:autoSpaceDN/>
        <w:bidi w:val="0"/>
        <w:adjustRightInd/>
        <w:snapToGrid/>
        <w:spacing w:before="150" w:after="15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 </w:t>
      </w:r>
    </w:p>
    <w:p w14:paraId="6BFC5027">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 xml:space="preserve">甲方（盖章）：                </w:t>
      </w:r>
      <w:r>
        <w:rPr>
          <w:rFonts w:hint="eastAsia" w:ascii="宋体" w:hAnsi="宋体" w:eastAsia="宋体" w:cs="宋体"/>
          <w:b/>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1"/>
          <w:szCs w:val="21"/>
          <w:highlight w:val="none"/>
          <w14:textFill>
            <w14:solidFill>
              <w14:schemeClr w14:val="tx1"/>
            </w14:solidFill>
          </w14:textFill>
        </w:rPr>
        <w:t>乙方（盖章）：</w:t>
      </w:r>
    </w:p>
    <w:p w14:paraId="531CA014">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 xml:space="preserve">代表：                       </w:t>
      </w:r>
      <w:r>
        <w:rPr>
          <w:rFonts w:hint="eastAsia" w:ascii="宋体" w:hAnsi="宋体" w:eastAsia="宋体" w:cs="宋体"/>
          <w:b/>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1"/>
          <w:szCs w:val="21"/>
          <w:highlight w:val="none"/>
          <w14:textFill>
            <w14:solidFill>
              <w14:schemeClr w14:val="tx1"/>
            </w14:solidFill>
          </w14:textFill>
        </w:rPr>
        <w:t>代表：</w:t>
      </w:r>
    </w:p>
    <w:p w14:paraId="5D83F218">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签订地点：</w:t>
      </w:r>
    </w:p>
    <w:p w14:paraId="428FEB98">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 xml:space="preserve">签订日期：　　　年　　月　　日 </w:t>
      </w:r>
      <w:r>
        <w:rPr>
          <w:rFonts w:hint="eastAsia" w:ascii="宋体" w:hAnsi="宋体" w:eastAsia="宋体" w:cs="宋体"/>
          <w:color w:val="000000" w:themeColor="text1"/>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 签订日期：　　　年　　月　　日</w:t>
      </w:r>
    </w:p>
    <w:p w14:paraId="6344F802">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开户名称：</w:t>
      </w:r>
    </w:p>
    <w:p w14:paraId="785E5D1D">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银行帐号：</w:t>
      </w:r>
    </w:p>
    <w:p w14:paraId="3AFAF099">
      <w:pPr>
        <w:pStyle w:val="19"/>
        <w:keepNext w:val="0"/>
        <w:keepLines w:val="0"/>
        <w:pageBreakBefore w:val="0"/>
        <w:widowControl/>
        <w:shd w:val="clear" w:fill="FFFFFF"/>
        <w:kinsoku/>
        <w:wordWrap/>
        <w:overflowPunct/>
        <w:topLinePunct w:val="0"/>
        <w:autoSpaceDE/>
        <w:autoSpaceDN/>
        <w:bidi w:val="0"/>
        <w:adjustRightInd/>
        <w:snapToGrid/>
        <w:spacing w:before="0" w:after="0" w:line="480" w:lineRule="auto"/>
        <w:ind w:left="0" w:right="0"/>
        <w:jc w:val="both"/>
        <w:textAlignment w:val="auto"/>
        <w:rPr>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开 户 行：</w:t>
      </w:r>
    </w:p>
    <w:p w14:paraId="12F609AB">
      <w:pPr>
        <w:pStyle w:val="19"/>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12C56C0">
      <w:pPr>
        <w:pStyle w:val="19"/>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44E4054">
      <w:pPr>
        <w:pStyle w:val="19"/>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F0A7D4F">
      <w:pPr>
        <w:pStyle w:val="19"/>
        <w:keepNext w:val="0"/>
        <w:keepLines w:val="0"/>
        <w:pageBreakBefore w:val="0"/>
        <w:kinsoku/>
        <w:wordWrap/>
        <w:overflowPunct/>
        <w:topLinePunct w:val="0"/>
        <w:autoSpaceDE/>
        <w:autoSpaceDN/>
        <w:bidi w:val="0"/>
        <w:adjustRightInd/>
        <w:snapToGrid/>
        <w:spacing w:before="0" w:after="0" w:line="360" w:lineRule="auto"/>
        <w:ind w:left="0" w:right="0"/>
        <w:jc w:val="both"/>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F09875B">
      <w:pP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37BA1F71">
      <w:pP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br w:type="page"/>
      </w:r>
    </w:p>
    <w:p w14:paraId="0B60BD1B">
      <w:pPr>
        <w:pStyle w:val="19"/>
        <w:keepNext w:val="0"/>
        <w:keepLines w:val="0"/>
        <w:pageBreakBefore w:val="0"/>
        <w:widowControl/>
        <w:kinsoku/>
        <w:wordWrap/>
        <w:overflowPunct/>
        <w:topLinePunct w:val="0"/>
        <w:autoSpaceDE/>
        <w:autoSpaceDN/>
        <w:bidi w:val="0"/>
        <w:adjustRightInd/>
        <w:snapToGrid/>
        <w:spacing w:line="360" w:lineRule="auto"/>
        <w:jc w:val="center"/>
        <w:textAlignment w:val="auto"/>
        <w:outlineLvl w:val="0"/>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bookmarkStart w:id="89" w:name="_Toc368"/>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第六章 投标文件格式与要求</w:t>
      </w:r>
      <w:bookmarkEnd w:id="89"/>
    </w:p>
    <w:p w14:paraId="59B65CA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投标人应提交证明其有资格参加投标和中标后有能力履行合同的相关文件，并作为其投标文件的一部分，所有文件必须真实可靠、不得伪造，否则将按相关规定予以处罚。</w:t>
      </w:r>
    </w:p>
    <w:p w14:paraId="5250715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1.法人或者其他组织的营业执照等证明文件，自然人的身份证明：</w:t>
      </w:r>
    </w:p>
    <w:p w14:paraId="0341DFB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法人包括企业法人、机关法人、事业单位法人和社会团体法人；其他组织主要包括合伙企业、非企业专业服务机构、个体工商户、农村承包经营户；自然人是指《中华人民共和国民法典》（以下简称《民法典》）规定的具有完全民事行为能力、能够承担民事责任和义务的公民。如投标人是企业（包括合伙企业），要提供在工商部门注册的有效“企业法人营业执照”或“营业执照”；如投标人是事业单位，要提供有效的“事业单位法人证书”；投标人是非企业专业服务机构的，如律师事务所，会计师事务所要提供执业许可证等证明文件；如投标人是个体工商户，要提供有效的“个体工商户营业执照”；如投标人是自然人，要提供有效的自然人身份证明。</w:t>
      </w:r>
    </w:p>
    <w:p w14:paraId="586B715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这里所指“其他组织”不包括法人的分支机构，由于法人分支机构不能独立承担民事责任，不能以分支机构的身份参加政府采购，只能以法人身份参加。“但由于银行、保险、石油石化、电力、电信等行业具有其特殊性，如果能够提供其法人给予的相应授权证明材料，可以参加政府采购活动”。</w:t>
      </w:r>
    </w:p>
    <w:p w14:paraId="7279FFC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2.财务状况报告，依法缴纳税收和社会保障资金的相关材料（详见资格性审查表要求）</w:t>
      </w:r>
    </w:p>
    <w:p w14:paraId="275C3E53">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3.具有履行合同所必需的设备和专业技术能力的声明。</w:t>
      </w:r>
    </w:p>
    <w:p w14:paraId="189B0BD7">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4.投标人参加政府采购前三年内在经营活动中没有重大违法记录书面声明函。</w:t>
      </w:r>
    </w:p>
    <w:p w14:paraId="1E23D19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5.信用记录查询</w:t>
      </w:r>
    </w:p>
    <w:p w14:paraId="11D365D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（1）查询渠道：通过“信用中国”网站(www.creditchina.gov.cn)和“中国政府采购网”（www.ccgp.gov.cn）进行查询；</w:t>
      </w:r>
    </w:p>
    <w:p w14:paraId="0E59593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（2）查询截止时点：提交投标文件截止日当天；</w:t>
      </w:r>
    </w:p>
    <w:p w14:paraId="69C4EEA3">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（3）查询记录：对列入失信被执行人、重大税收违法案件当事人名单、政府采购严重违法失信行为记录名单、信用报告进行查询；</w:t>
      </w:r>
    </w:p>
    <w:p w14:paraId="2447CF4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采购人或采购代理机构应当按照查询渠道、查询时间节点、查询记录内容进行查询，并存档。对信用记录查询结果中显示投标人被列入失信被执行人、重大税收违法案件当事人名单、政府采购严重违法失信行为记录名单的投标人作无效投标处理。</w:t>
      </w:r>
    </w:p>
    <w:p w14:paraId="6C66CCE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 按照招标文件要求，投标人应当提交的资格、资信证明文件。</w:t>
      </w:r>
    </w:p>
    <w:p w14:paraId="0ACEEA15">
      <w:pPr>
        <w:rPr>
          <w:rFonts w:hint="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br w:type="textWrapping"/>
      </w:r>
    </w:p>
    <w:p w14:paraId="52F7002C">
      <w:pPr>
        <w:rPr>
          <w:rFonts w:hint="eastAsia"/>
          <w:color w:val="000000" w:themeColor="text1"/>
          <w:highlight w:val="none"/>
          <w14:textFill>
            <w14:solidFill>
              <w14:schemeClr w14:val="tx1"/>
            </w14:solidFill>
          </w14:textFill>
        </w:rPr>
      </w:pPr>
    </w:p>
    <w:p w14:paraId="1811C776">
      <w:pPr>
        <w:rPr>
          <w:rFonts w:hint="eastAsia"/>
          <w:color w:val="000000" w:themeColor="text1"/>
          <w:highlight w:val="none"/>
          <w14:textFill>
            <w14:solidFill>
              <w14:schemeClr w14:val="tx1"/>
            </w14:solidFill>
          </w14:textFill>
        </w:rPr>
      </w:pPr>
    </w:p>
    <w:p w14:paraId="37621915">
      <w:pPr>
        <w:rPr>
          <w:rFonts w:hint="eastAsia"/>
          <w:color w:val="000000" w:themeColor="text1"/>
          <w:highlight w:val="none"/>
          <w14:textFill>
            <w14:solidFill>
              <w14:schemeClr w14:val="tx1"/>
            </w14:solidFill>
          </w14:textFill>
        </w:rPr>
      </w:pPr>
    </w:p>
    <w:p w14:paraId="6BC4B0FE">
      <w:pPr>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br w:type="page"/>
      </w:r>
    </w:p>
    <w:p w14:paraId="2E230EA7">
      <w:pPr>
        <w:pStyle w:val="19"/>
        <w:keepNext w:val="0"/>
        <w:keepLines w:val="0"/>
        <w:pageBreakBefore w:val="0"/>
        <w:widowControl/>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pPr>
      <w:bookmarkStart w:id="90" w:name="_Toc9870"/>
      <w:r>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t>投标文件封面</w:t>
      </w:r>
      <w:bookmarkEnd w:id="90"/>
    </w:p>
    <w:p w14:paraId="207F05C8">
      <w:pPr>
        <w:pStyle w:val="19"/>
        <w:keepNext w:val="0"/>
        <w:keepLines w:val="0"/>
        <w:pageBreakBefore w:val="0"/>
        <w:widowControl/>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t>（项目名称）</w:t>
      </w:r>
    </w:p>
    <w:p w14:paraId="581D03B8">
      <w:pPr>
        <w:pStyle w:val="19"/>
        <w:keepNext w:val="0"/>
        <w:keepLines w:val="0"/>
        <w:pageBreakBefore w:val="0"/>
        <w:widowControl/>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pPr>
    </w:p>
    <w:p w14:paraId="4CA4AA58">
      <w:pPr>
        <w:pStyle w:val="19"/>
        <w:keepNext w:val="0"/>
        <w:keepLines w:val="0"/>
        <w:pageBreakBefore w:val="0"/>
        <w:widowControl/>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t>投标文件封面</w:t>
      </w:r>
    </w:p>
    <w:p w14:paraId="2C30717E">
      <w:pPr>
        <w:pStyle w:val="19"/>
        <w:keepNext w:val="0"/>
        <w:keepLines w:val="0"/>
        <w:pageBreakBefore w:val="0"/>
        <w:widowControl/>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t>（正本/副本）</w:t>
      </w:r>
      <w:r>
        <w:rPr>
          <w:rFonts w:hint="eastAsia" w:asciiTheme="minorEastAsia" w:hAnsiTheme="minorEastAsia" w:eastAsiaTheme="minorEastAsia" w:cstheme="minorEastAsia"/>
          <w:b/>
          <w:bCs w:val="0"/>
          <w:color w:val="000000" w:themeColor="text1"/>
          <w:sz w:val="44"/>
          <w:szCs w:val="44"/>
          <w:highlight w:val="none"/>
          <w14:textFill>
            <w14:solidFill>
              <w14:schemeClr w14:val="tx1"/>
            </w14:solidFill>
          </w14:textFill>
        </w:rPr>
        <w:br w:type="textWrapping"/>
      </w:r>
      <w:r>
        <w:rPr>
          <w:rFonts w:hint="eastAsia" w:asciiTheme="minorEastAsia" w:hAnsiTheme="minorEastAsia" w:eastAsiaTheme="minorEastAsia" w:cstheme="minorEastAsia"/>
          <w:b/>
          <w:bCs w:val="0"/>
          <w:color w:val="000000" w:themeColor="text1"/>
          <w:sz w:val="32"/>
          <w:szCs w:val="32"/>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p>
    <w:p w14:paraId="45D736D4">
      <w:pPr>
        <w:pStyle w:val="19"/>
        <w:keepNext w:val="0"/>
        <w:keepLines w:val="0"/>
        <w:pageBreakBefore w:val="0"/>
        <w:widowControl/>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000000" w:themeColor="text1"/>
          <w:sz w:val="28"/>
          <w:szCs w:val="28"/>
          <w:highlight w:val="none"/>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采购项目编号：</w:t>
      </w:r>
      <w:r>
        <w:rPr>
          <w:rFonts w:hint="eastAsia" w:asciiTheme="minorEastAsia" w:hAnsiTheme="minorEastAsia" w:cstheme="minorEastAsia"/>
          <w:b/>
          <w:color w:val="000000" w:themeColor="text1"/>
          <w:sz w:val="28"/>
          <w:szCs w:val="28"/>
          <w:highlight w:val="none"/>
          <w:lang w:eastAsia="zh-CN"/>
          <w14:textFill>
            <w14:solidFill>
              <w14:schemeClr w14:val="tx1"/>
            </w14:solidFill>
          </w14:textFill>
        </w:rPr>
        <w:t>YXCG-20260711</w:t>
      </w:r>
    </w:p>
    <w:p w14:paraId="7DF91495">
      <w:pPr>
        <w:pStyle w:val="19"/>
        <w:keepNext w:val="0"/>
        <w:keepLines w:val="0"/>
        <w:pageBreakBefore w:val="0"/>
        <w:widowControl/>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所投采购包：第 包</w:t>
      </w:r>
    </w:p>
    <w:p w14:paraId="21D3472F">
      <w:pPr>
        <w:pStyle w:val="19"/>
        <w:keepNext w:val="0"/>
        <w:keepLines w:val="0"/>
        <w:pageBreakBefore w:val="0"/>
        <w:widowControl/>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（投标人名称）</w:t>
      </w:r>
    </w:p>
    <w:p w14:paraId="3B29383D">
      <w:pPr>
        <w:pStyle w:val="19"/>
        <w:keepNext w:val="0"/>
        <w:keepLines w:val="0"/>
        <w:pageBreakBefore w:val="0"/>
        <w:widowControl/>
        <w:kinsoku/>
        <w:wordWrap/>
        <w:overflowPunct/>
        <w:topLinePunct w:val="0"/>
        <w:autoSpaceDE/>
        <w:autoSpaceDN/>
        <w:bidi w:val="0"/>
        <w:adjustRightInd/>
        <w:snapToGrid/>
        <w:spacing w:line="360" w:lineRule="auto"/>
        <w:jc w:val="center"/>
        <w:textAlignment w:val="auto"/>
        <w:outlineLvl w:val="9"/>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年</w:t>
      </w:r>
      <w:r>
        <w:rPr>
          <w:rFonts w:hint="eastAsia" w:asciiTheme="minorEastAsia" w:hAnsiTheme="minorEastAsia" w:cstheme="minorEastAsia"/>
          <w:b/>
          <w:color w:val="000000" w:themeColor="text1"/>
          <w:sz w:val="28"/>
          <w:szCs w:val="28"/>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 xml:space="preserve"> 月</w:t>
      </w:r>
      <w:r>
        <w:rPr>
          <w:rFonts w:hint="eastAsia" w:asciiTheme="minorEastAsia" w:hAnsiTheme="minorEastAsia" w:cstheme="minorEastAsia"/>
          <w:b/>
          <w:color w:val="000000" w:themeColor="text1"/>
          <w:sz w:val="28"/>
          <w:szCs w:val="28"/>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 xml:space="preserve"> 日</w:t>
      </w:r>
    </w:p>
    <w:p w14:paraId="1AE15594">
      <w:pPr>
        <w:rPr>
          <w:rFonts w:hint="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356A6030">
      <w:pPr>
        <w:rPr>
          <w:rFonts w:hint="eastAsia"/>
          <w:color w:val="000000" w:themeColor="text1"/>
          <w:highlight w:val="none"/>
          <w14:textFill>
            <w14:solidFill>
              <w14:schemeClr w14:val="tx1"/>
            </w14:solidFill>
          </w14:textFill>
        </w:rPr>
      </w:pPr>
    </w:p>
    <w:p w14:paraId="64F73DD1">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4BD54478">
      <w:pPr>
        <w:pStyle w:val="19"/>
        <w:keepNext w:val="0"/>
        <w:keepLines w:val="0"/>
        <w:pageBreakBefore w:val="0"/>
        <w:widowControl/>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bookmarkStart w:id="91" w:name="_Toc16807"/>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投标文件目录</w:t>
      </w:r>
      <w:bookmarkEnd w:id="91"/>
    </w:p>
    <w:p w14:paraId="74FFEE6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一、投标函</w:t>
      </w:r>
    </w:p>
    <w:p w14:paraId="2312AC0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二、开标一览表</w:t>
      </w:r>
    </w:p>
    <w:p w14:paraId="64F5FA0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三、分项报价表</w:t>
      </w:r>
    </w:p>
    <w:p w14:paraId="13AC119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四、政策适用性说明</w:t>
      </w:r>
    </w:p>
    <w:p w14:paraId="08140FE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五、关于符合本国产品标准的声明函等有关证明文件</w:t>
      </w:r>
    </w:p>
    <w:p w14:paraId="2B4D583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六、法定代表人证明书</w:t>
      </w:r>
    </w:p>
    <w:p w14:paraId="1D45EC9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七、法定代表人授权书</w:t>
      </w:r>
    </w:p>
    <w:p w14:paraId="03ECA84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八、投标保证金</w:t>
      </w:r>
    </w:p>
    <w:p w14:paraId="46B63BA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九、提供具有独立承担民事责任的能力的证明材料</w:t>
      </w:r>
    </w:p>
    <w:p w14:paraId="77B46A9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十、资格性审查要求的其他资质证明文件</w:t>
      </w:r>
    </w:p>
    <w:p w14:paraId="3566B3F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十一、承诺函</w:t>
      </w:r>
    </w:p>
    <w:p w14:paraId="7779079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十二、中小企业声明函</w:t>
      </w:r>
    </w:p>
    <w:p w14:paraId="6C3F54D9">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十三、监狱企业</w:t>
      </w:r>
    </w:p>
    <w:p w14:paraId="55754EE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十四、残疾人福利性单位声明函</w:t>
      </w:r>
    </w:p>
    <w:p w14:paraId="5E387919">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十五、联合体共同投标协议书</w:t>
      </w:r>
    </w:p>
    <w:p w14:paraId="54D3976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十六、投标人业绩情况表</w:t>
      </w:r>
    </w:p>
    <w:p w14:paraId="1E5D1C9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十七、技术和服务要求响应表</w:t>
      </w:r>
    </w:p>
    <w:p w14:paraId="2528062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十八、商务条件响应表</w:t>
      </w:r>
    </w:p>
    <w:p w14:paraId="35AAEDA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十九、履约进度计划表</w:t>
      </w:r>
    </w:p>
    <w:p w14:paraId="0EF70B7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二十、各类证明材料</w:t>
      </w:r>
    </w:p>
    <w:p w14:paraId="0F49F83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二十一、采购代理服务费支付承诺书</w:t>
      </w:r>
    </w:p>
    <w:p w14:paraId="5B27CE0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二十二、需要采购人提供的附加条件</w:t>
      </w:r>
    </w:p>
    <w:p w14:paraId="76F293A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二十三、询问函、质疑函、投诉书格式</w:t>
      </w:r>
    </w:p>
    <w:p w14:paraId="04DFD32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二十四、项目实施方案、质量保证及售后服务承诺等</w:t>
      </w:r>
    </w:p>
    <w:p w14:paraId="1E9216E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525D72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27F8892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6C506B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603A62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6AFA925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560F86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100FD7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8A1016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926FE98">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92" w:name="_Toc24496"/>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格式一：投标函</w:t>
      </w:r>
      <w:bookmarkEnd w:id="92"/>
    </w:p>
    <w:p w14:paraId="0FB71F55">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投标函</w:t>
      </w:r>
    </w:p>
    <w:p w14:paraId="505DE0B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致：</w:t>
      </w:r>
      <w:r>
        <w:rPr>
          <w:rFonts w:hint="eastAsia" w:asciiTheme="minorEastAsia" w:hAnsiTheme="minorEastAsia" w:eastAsiaTheme="minorEastAsia" w:cstheme="minorEastAsia"/>
          <w:color w:val="000000" w:themeColor="text1"/>
          <w:sz w:val="21"/>
          <w:szCs w:val="21"/>
          <w:highlight w:val="none"/>
          <w:u w:val="single"/>
          <w:lang w:eastAsia="zh-CN"/>
          <w14:textFill>
            <w14:solidFill>
              <w14:schemeClr w14:val="tx1"/>
            </w14:solidFill>
          </w14:textFill>
        </w:rPr>
        <w:t>广东业信采购招标有限公司</w:t>
      </w:r>
    </w:p>
    <w:p w14:paraId="1342630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你方组织的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w:t>
      </w:r>
      <w:r>
        <w:rPr>
          <w:rFonts w:hint="eastAsia" w:asciiTheme="minorEastAsia" w:hAnsiTheme="minorEastAsia" w:cstheme="minorEastAsia"/>
          <w:color w:val="000000" w:themeColor="text1"/>
          <w:sz w:val="21"/>
          <w:szCs w:val="21"/>
          <w:highlight w:val="none"/>
          <w:u w:val="single"/>
          <w:lang w:eastAsia="zh-CN"/>
          <w14:textFill>
            <w14:solidFill>
              <w14:schemeClr w14:val="tx1"/>
            </w14:solidFill>
          </w14:textFill>
        </w:rPr>
        <w:t>阳江市阳东区合山镇第二小学食堂食材配送服务项目</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项目的招标[采购项目编号为：</w:t>
      </w:r>
      <w:r>
        <w:rPr>
          <w:rFonts w:hint="eastAsia" w:asciiTheme="minorEastAsia" w:hAnsiTheme="minorEastAsia" w:cstheme="minorEastAsia"/>
          <w:color w:val="000000" w:themeColor="text1"/>
          <w:sz w:val="21"/>
          <w:szCs w:val="21"/>
          <w:highlight w:val="none"/>
          <w:u w:val="single"/>
          <w:lang w:eastAsia="zh-CN"/>
          <w14:textFill>
            <w14:solidFill>
              <w14:schemeClr w14:val="tx1"/>
            </w14:solidFill>
          </w14:textFill>
        </w:rPr>
        <w:t>YXCG-20260711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]，我方愿参与投标。</w:t>
      </w:r>
    </w:p>
    <w:p w14:paraId="258D776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(投标人名称)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作为投标人正式授权</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(授权代表全名,职务)</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代表我方全权处理有关本投标的一切事宜。</w:t>
      </w:r>
    </w:p>
    <w:p w14:paraId="74E347C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我方确认收到贵方提供的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w:t>
      </w:r>
      <w:r>
        <w:rPr>
          <w:rFonts w:hint="eastAsia" w:asciiTheme="minorEastAsia" w:hAnsiTheme="minorEastAsia" w:cstheme="minorEastAsia"/>
          <w:color w:val="000000" w:themeColor="text1"/>
          <w:sz w:val="21"/>
          <w:szCs w:val="21"/>
          <w:highlight w:val="none"/>
          <w:u w:val="single"/>
          <w:lang w:eastAsia="zh-CN"/>
          <w14:textFill>
            <w14:solidFill>
              <w14:schemeClr w14:val="tx1"/>
            </w14:solidFill>
          </w14:textFill>
        </w:rPr>
        <w:t>阳江市阳东区合山镇第二小学食堂食材配送服务项目</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项目的招标文件的全部内容。</w:t>
      </w:r>
    </w:p>
    <w:p w14:paraId="4F5C30B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我方已完全明白招标文件的所有条款要求，并申明如下：</w:t>
      </w:r>
    </w:p>
    <w:p w14:paraId="70E44C7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（一）按招标文件提供全部标的投标总价详见《开标一览表》。</w:t>
      </w:r>
    </w:p>
    <w:p w14:paraId="3A710DC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二）本投标文件的有效期为从提交投标（响应）文件的截止之日起90日历天。在此提交的资格证明文件均至投标截止日有效，如有在投标有效期内失效的，我方承诺在中标后补齐一切手续，保证所有资格证明文件直至采购合同终止日有效。</w:t>
      </w:r>
    </w:p>
    <w:p w14:paraId="590657C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（三）我方明白并同意，在规定的开标日之后，投标有效期之内撤销投标或中标后不按规定与采购人签订合同或不提交履约保证金, 则贵方将不予退还投标保证金。</w:t>
      </w:r>
    </w:p>
    <w:p w14:paraId="4AF3AA17">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（四）我方愿意向贵方提供任何与本项报价有关的数据、情况和技术资料。若贵方需要，我方愿意提供我方作出的一切承诺的证明材料。</w:t>
      </w:r>
    </w:p>
    <w:p w14:paraId="49006BB9">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（五）我方理解贵方不一定接受最低投标价或任何贵方可能收到的投标。</w:t>
      </w:r>
    </w:p>
    <w:p w14:paraId="54107C9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（六）我方如果中标，将保证履行招标（采购）文件及其澄清、修改文件（如果有）以及投标（响应）文件中的全部责任和义务，按质、按量、按期完成《合同书》中的全部任务。</w:t>
      </w:r>
    </w:p>
    <w:p w14:paraId="04BF31E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（七）我方作为法律、财务和运作上独立于采购人、采购代理机构的投标人，在此保证所提交的所有文件和全部说明是真实的和正确的。</w:t>
      </w:r>
    </w:p>
    <w:p w14:paraId="1B55791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（八）我方投标报价已包含应向知识产权所有权人支付的所有相关税费，并保证采购人在中国使用我方提供的标的时，如有第三方提出侵犯其知识产权主张的，责任由我方承担。</w:t>
      </w:r>
    </w:p>
    <w:p w14:paraId="0A89EA3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（九）我方接受采购人委托向贵方支付代理服务费，项目总报价已包含代理服务费，如果被确定为中标人，承诺向贵方足额支付。（若采购人支付代理服务费，则此条不适用）</w:t>
      </w:r>
    </w:p>
    <w:p w14:paraId="48D8932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（十）我方与其他投标人不存在单位负责人为同一人或者存在直接控股、管理关系。</w:t>
      </w:r>
    </w:p>
    <w:p w14:paraId="0F2DC86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（十一）投标人未存在《政府采购法实施条例》第十八条第二款规定的情形：</w:t>
      </w:r>
    </w:p>
    <w:p w14:paraId="4DF2E18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（1）对于除整体设计、规范编制或者项目管理、监理、检测等服务以外的采购项目:即未为本项目提供整体设计、规范编制或者项目管理、监理、检测等服务；</w:t>
      </w:r>
    </w:p>
    <w:p w14:paraId="4C4AF6E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（2）对于整体设计、规范编制或者项目管理、监理、检测等服务的项目:即未成为本项目除前期整体设计、规范编制或者项目管理、监理、检测等服务以外的其它采购活动中标商(或成交商)；</w:t>
      </w:r>
    </w:p>
    <w:p w14:paraId="777C683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（3）对于设计施工一体化的项目:即未为本项目提供规范编制或者项目管理、监理、检测等服务。</w:t>
      </w:r>
    </w:p>
    <w:p w14:paraId="5183801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（十二）我方承诺遵守《中华人民共和国民法典》有关规定和《中华人民共和国妇女权益保障法》中关于“劳动和社会保障权益”的有关要求。</w:t>
      </w:r>
    </w:p>
    <w:p w14:paraId="6357B6F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（十三）我方具备《中华人民共和国政府采购法》第二十二条规定的条件，声明如下：</w:t>
      </w:r>
    </w:p>
    <w:p w14:paraId="77FE5DE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我方参加本项目政府采购活动前3年内在经营活动中没有以下违法记录；因违法经营被禁止参加政府采购活动的期限已届满；因违法经营受到刑事处罚或者责令停产停业、吊销许可证或者执照、较大数额罚款等行政处罚。</w:t>
      </w:r>
    </w:p>
    <w:p w14:paraId="46E5D54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（2）我方符合法律、行政法规规定的其他条件。</w:t>
      </w:r>
    </w:p>
    <w:p w14:paraId="507CF36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四）如我方中标，将保证投标文件所提供的材料（包括需要年审、继续教育等完成后才能执业的行政许可、人员证书等情形），如果有效期未能覆盖项目（包组）合同履行期的，将提前按规定办理延期手续，确保合同顺利履行。</w:t>
      </w:r>
    </w:p>
    <w:p w14:paraId="42669E7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（十五）我方对在本函及投标文件中所作的所有承诺承担法律责任。</w:t>
      </w:r>
    </w:p>
    <w:p w14:paraId="5C65754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（十六）以上内容如有虚假或与事实不符的，评标委员会可将我方做无效投标处理，我方愿意承担相应的法律责任。</w:t>
      </w:r>
    </w:p>
    <w:p w14:paraId="6E6A319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（十七）所有与本招标有关的函件请发往下列地址：</w:t>
      </w:r>
    </w:p>
    <w:p w14:paraId="626DD04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地 址：__________________邮政编码：__________________</w:t>
      </w:r>
    </w:p>
    <w:p w14:paraId="2F5E4C5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电 话：__________________</w:t>
      </w:r>
    </w:p>
    <w:p w14:paraId="30CD4C17">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传 真：__________________电子邮箱：__________________</w:t>
      </w:r>
    </w:p>
    <w:p w14:paraId="0B1ACAA9">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代表姓名：__________________职 务：__________________</w:t>
      </w:r>
    </w:p>
    <w:p w14:paraId="2742A57A">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投标人法定代表人（或法定代表人授权代表）签字或盖章：__________________</w:t>
      </w:r>
    </w:p>
    <w:p w14:paraId="3A72D0BA">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投标人名称（盖章）：__________________</w:t>
      </w:r>
    </w:p>
    <w:p w14:paraId="2D0453C6">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5499545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A7110E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3192CDAE">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0707F08">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D305A8F">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01D9689">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FCF5025">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3BD6DEC">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61C1F62">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8BA5173">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2E74CD5">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40EBCF3">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93" w:name="_Toc19335"/>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格式二：开标一览表</w:t>
      </w:r>
      <w:bookmarkEnd w:id="93"/>
    </w:p>
    <w:p w14:paraId="2CAA51BF">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B6CB393">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开标一览表</w:t>
      </w:r>
    </w:p>
    <w:p w14:paraId="7C4FADF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2AF0BC8A">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采购项目编号：</w:t>
      </w:r>
    </w:p>
    <w:p w14:paraId="6113A8E1">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项目名称：</w:t>
      </w:r>
    </w:p>
    <w:p w14:paraId="7631E8F8">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投标人名称：</w:t>
      </w:r>
    </w:p>
    <w:p w14:paraId="2FE8CE32">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bl>
      <w:tblPr>
        <w:tblStyle w:val="16"/>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76"/>
        <w:gridCol w:w="2010"/>
        <w:gridCol w:w="2062"/>
        <w:gridCol w:w="1357"/>
        <w:gridCol w:w="1331"/>
        <w:gridCol w:w="1235"/>
      </w:tblGrid>
      <w:tr w14:paraId="336624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11" w:type="dxa"/>
            <w:vAlign w:val="center"/>
          </w:tcPr>
          <w:p w14:paraId="6DBCE695">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1888" w:type="dxa"/>
            <w:vAlign w:val="center"/>
          </w:tcPr>
          <w:p w14:paraId="7D51176B">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采购项目名称/采购包名称</w:t>
            </w:r>
          </w:p>
        </w:tc>
        <w:tc>
          <w:tcPr>
            <w:tcW w:w="1937" w:type="dxa"/>
            <w:vAlign w:val="center"/>
          </w:tcPr>
          <w:p w14:paraId="35D83993">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投标报价</w:t>
            </w:r>
          </w:p>
          <w:p w14:paraId="3C7EAB36">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（元/%）</w:t>
            </w:r>
          </w:p>
        </w:tc>
        <w:tc>
          <w:tcPr>
            <w:tcW w:w="1275" w:type="dxa"/>
            <w:vAlign w:val="center"/>
          </w:tcPr>
          <w:p w14:paraId="0F9C693F">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交货或服务期</w:t>
            </w:r>
          </w:p>
        </w:tc>
        <w:tc>
          <w:tcPr>
            <w:tcW w:w="1250" w:type="dxa"/>
            <w:vAlign w:val="center"/>
          </w:tcPr>
          <w:p w14:paraId="0579F15B">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交货或服务地点</w:t>
            </w:r>
          </w:p>
        </w:tc>
        <w:tc>
          <w:tcPr>
            <w:tcW w:w="1159" w:type="dxa"/>
            <w:vAlign w:val="center"/>
          </w:tcPr>
          <w:p w14:paraId="4B8CE764">
            <w:pPr>
              <w:pStyle w:val="19"/>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备注</w:t>
            </w:r>
          </w:p>
        </w:tc>
      </w:tr>
      <w:tr w14:paraId="72C966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30" w:hRule="atLeast"/>
          <w:jc w:val="center"/>
        </w:trPr>
        <w:tc>
          <w:tcPr>
            <w:tcW w:w="1011" w:type="dxa"/>
          </w:tcPr>
          <w:p w14:paraId="5F877529">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w:t>
            </w:r>
          </w:p>
        </w:tc>
        <w:tc>
          <w:tcPr>
            <w:tcW w:w="1888" w:type="dxa"/>
          </w:tcPr>
          <w:p w14:paraId="503B6F7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937" w:type="dxa"/>
          </w:tcPr>
          <w:p w14:paraId="0A8FABC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275" w:type="dxa"/>
          </w:tcPr>
          <w:p w14:paraId="777D5DB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250" w:type="dxa"/>
          </w:tcPr>
          <w:p w14:paraId="6B30AC0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59" w:type="dxa"/>
          </w:tcPr>
          <w:p w14:paraId="75ED46C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7B8EF32F">
      <w:pPr>
        <w:numPr>
          <w:ilvl w:val="0"/>
          <w:numId w:val="0"/>
        </w:numPr>
        <w:tabs>
          <w:tab w:val="left" w:pos="1365"/>
        </w:tabs>
        <w:spacing w:line="360" w:lineRule="auto"/>
        <w:ind w:leftChars="0"/>
        <w:rPr>
          <w:rFonts w:hint="eastAsia" w:ascii="宋体" w:hAnsi="宋体"/>
          <w:bCs/>
          <w:color w:val="000000" w:themeColor="text1"/>
          <w:highlight w:val="none"/>
          <w:lang w:val="en-US" w:eastAsia="zh-CN"/>
          <w14:textFill>
            <w14:solidFill>
              <w14:schemeClr w14:val="tx1"/>
            </w14:solidFill>
          </w14:textFill>
        </w:rPr>
      </w:pPr>
    </w:p>
    <w:p w14:paraId="0C6F0EE3">
      <w:pPr>
        <w:numPr>
          <w:ilvl w:val="0"/>
          <w:numId w:val="0"/>
        </w:numPr>
        <w:tabs>
          <w:tab w:val="left" w:pos="1365"/>
        </w:tabs>
        <w:spacing w:line="360" w:lineRule="auto"/>
        <w:ind w:leftChars="0"/>
        <w:rPr>
          <w:rFonts w:hint="eastAsia" w:ascii="宋体" w:hAnsi="宋体" w:eastAsia="宋体"/>
          <w:bCs/>
          <w:color w:val="000000" w:themeColor="text1"/>
          <w:highlight w:val="none"/>
          <w:lang w:val="en-US" w:eastAsia="zh-CN"/>
          <w14:textFill>
            <w14:solidFill>
              <w14:schemeClr w14:val="tx1"/>
            </w14:solidFill>
          </w14:textFill>
        </w:rPr>
      </w:pPr>
      <w:r>
        <w:rPr>
          <w:rFonts w:hint="eastAsia" w:ascii="宋体" w:hAnsi="宋体"/>
          <w:bCs/>
          <w:color w:val="000000" w:themeColor="text1"/>
          <w:highlight w:val="none"/>
          <w:lang w:val="en-US" w:eastAsia="zh-CN"/>
          <w14:textFill>
            <w14:solidFill>
              <w14:schemeClr w14:val="tx1"/>
            </w14:solidFill>
          </w14:textFill>
        </w:rPr>
        <w:t>注：</w:t>
      </w:r>
    </w:p>
    <w:p w14:paraId="2262AA0D">
      <w:pPr>
        <w:numPr>
          <w:ilvl w:val="0"/>
          <w:numId w:val="3"/>
        </w:numPr>
        <w:tabs>
          <w:tab w:val="left" w:pos="1365"/>
        </w:tabs>
        <w:spacing w:line="360" w:lineRule="auto"/>
        <w:rPr>
          <w:rFonts w:ascii="宋体" w:hAnsi="宋体"/>
          <w:bCs/>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投标人填写此表时不得改变表格的形式。</w:t>
      </w:r>
    </w:p>
    <w:p w14:paraId="2C43B35C">
      <w:pPr>
        <w:numPr>
          <w:ilvl w:val="0"/>
          <w:numId w:val="3"/>
        </w:numPr>
        <w:tabs>
          <w:tab w:val="left" w:pos="1365"/>
        </w:tabs>
        <w:spacing w:line="360" w:lineRule="auto"/>
        <w:rPr>
          <w:rFonts w:ascii="宋体" w:hAnsi="宋体"/>
          <w:bCs/>
          <w:color w:val="000000" w:themeColor="text1"/>
          <w:highlight w:val="none"/>
          <w14:textFill>
            <w14:solidFill>
              <w14:schemeClr w14:val="tx1"/>
            </w14:solidFill>
          </w14:textFill>
        </w:rPr>
      </w:pPr>
      <w:r>
        <w:rPr>
          <w:rFonts w:hint="eastAsia"/>
          <w:bCs/>
          <w:color w:val="000000" w:themeColor="text1"/>
          <w:highlight w:val="none"/>
          <w14:textFill>
            <w14:solidFill>
              <w14:schemeClr w14:val="tx1"/>
            </w14:solidFill>
          </w14:textFill>
        </w:rPr>
        <w:t>如果投标人认为有应当说明而本表中无相应栏目的内容，请在“备注”栏中添加说明。</w:t>
      </w:r>
    </w:p>
    <w:p w14:paraId="65C142DA">
      <w:pPr>
        <w:numPr>
          <w:ilvl w:val="0"/>
          <w:numId w:val="3"/>
        </w:numPr>
        <w:tabs>
          <w:tab w:val="left" w:pos="1365"/>
        </w:tabs>
        <w:spacing w:line="360" w:lineRule="auto"/>
        <w:rPr>
          <w:rFonts w:ascii="宋体" w:hAnsi="宋体"/>
          <w:bCs/>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投标人应将 “开标一览表”，一份单独密封于一信封内，一份装订入投标文件正本。</w:t>
      </w:r>
    </w:p>
    <w:p w14:paraId="5BD009C5">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05BF2929">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239DC8A6">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258D8E4">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0A9D151">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8DD118B">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投标人签章：__________________</w:t>
      </w:r>
    </w:p>
    <w:p w14:paraId="190DC319">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日期： 年 月 日</w:t>
      </w:r>
    </w:p>
    <w:p w14:paraId="6D5F644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1FD495AC">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1E50609">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E8F2C06">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5DE8CF1">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5A9F480">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F1108C8">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CF292A1">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F7EB1DB">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04E1967">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94" w:name="_Toc14936"/>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格式三：分项报价表</w:t>
      </w:r>
      <w:bookmarkEnd w:id="94"/>
    </w:p>
    <w:p w14:paraId="37A6BA22">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310D23A">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分项报价表</w:t>
      </w:r>
    </w:p>
    <w:p w14:paraId="3F3B137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2588169E">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采购项目编号：</w:t>
      </w:r>
    </w:p>
    <w:p w14:paraId="1E3DE2E5">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项目名称：</w:t>
      </w:r>
    </w:p>
    <w:p w14:paraId="22540ED6">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投标人名称：</w:t>
      </w:r>
    </w:p>
    <w:p w14:paraId="78216295">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采购包：</w:t>
      </w:r>
    </w:p>
    <w:p w14:paraId="5BB12837">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货币及单位：人民币/元</w:t>
      </w:r>
    </w:p>
    <w:tbl>
      <w:tblPr>
        <w:tblStyle w:val="16"/>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07"/>
        <w:gridCol w:w="907"/>
        <w:gridCol w:w="907"/>
        <w:gridCol w:w="907"/>
        <w:gridCol w:w="907"/>
        <w:gridCol w:w="907"/>
        <w:gridCol w:w="907"/>
        <w:gridCol w:w="907"/>
        <w:gridCol w:w="907"/>
        <w:gridCol w:w="908"/>
      </w:tblGrid>
      <w:tr w14:paraId="79D9EA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31" w:type="dxa"/>
            <w:vAlign w:val="top"/>
          </w:tcPr>
          <w:p w14:paraId="31BD213A">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品目号</w:t>
            </w:r>
          </w:p>
        </w:tc>
        <w:tc>
          <w:tcPr>
            <w:tcW w:w="831" w:type="dxa"/>
            <w:vAlign w:val="top"/>
          </w:tcPr>
          <w:p w14:paraId="3A3594B5">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序号</w:t>
            </w:r>
          </w:p>
        </w:tc>
        <w:tc>
          <w:tcPr>
            <w:tcW w:w="831" w:type="dxa"/>
            <w:vAlign w:val="top"/>
          </w:tcPr>
          <w:p w14:paraId="39B54D94">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货物名称</w:t>
            </w:r>
          </w:p>
        </w:tc>
        <w:tc>
          <w:tcPr>
            <w:tcW w:w="831" w:type="dxa"/>
            <w:vAlign w:val="top"/>
          </w:tcPr>
          <w:p w14:paraId="76BB816D">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规格型号</w:t>
            </w:r>
          </w:p>
        </w:tc>
        <w:tc>
          <w:tcPr>
            <w:tcW w:w="831" w:type="dxa"/>
            <w:vAlign w:val="top"/>
          </w:tcPr>
          <w:p w14:paraId="642EBBAB">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品牌</w:t>
            </w:r>
          </w:p>
        </w:tc>
        <w:tc>
          <w:tcPr>
            <w:tcW w:w="831" w:type="dxa"/>
            <w:vAlign w:val="top"/>
          </w:tcPr>
          <w:p w14:paraId="3DB52DDD">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产地</w:t>
            </w:r>
          </w:p>
        </w:tc>
        <w:tc>
          <w:tcPr>
            <w:tcW w:w="831" w:type="dxa"/>
            <w:vAlign w:val="top"/>
          </w:tcPr>
          <w:p w14:paraId="4D6A3D48">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制造商名称</w:t>
            </w:r>
          </w:p>
        </w:tc>
        <w:tc>
          <w:tcPr>
            <w:tcW w:w="831" w:type="dxa"/>
            <w:vAlign w:val="top"/>
          </w:tcPr>
          <w:p w14:paraId="56F5585E">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单价</w:t>
            </w:r>
          </w:p>
        </w:tc>
        <w:tc>
          <w:tcPr>
            <w:tcW w:w="831" w:type="dxa"/>
            <w:vAlign w:val="top"/>
          </w:tcPr>
          <w:p w14:paraId="3681A876">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数量</w:t>
            </w:r>
          </w:p>
        </w:tc>
        <w:tc>
          <w:tcPr>
            <w:tcW w:w="831" w:type="dxa"/>
            <w:vAlign w:val="top"/>
          </w:tcPr>
          <w:p w14:paraId="06D7ECF4">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总价</w:t>
            </w:r>
          </w:p>
        </w:tc>
      </w:tr>
      <w:tr w14:paraId="4232AF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31" w:type="dxa"/>
            <w:vAlign w:val="top"/>
          </w:tcPr>
          <w:p w14:paraId="118089E9">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w:t>
            </w:r>
          </w:p>
        </w:tc>
        <w:tc>
          <w:tcPr>
            <w:tcW w:w="831" w:type="dxa"/>
            <w:vAlign w:val="top"/>
          </w:tcPr>
          <w:p w14:paraId="588EDB9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744CF0F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39B5971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43F060B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1DEB586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5F99BC3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715CE6B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71C072E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1A770C8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18B47CA2">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p>
    <w:tbl>
      <w:tblPr>
        <w:tblStyle w:val="16"/>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07"/>
        <w:gridCol w:w="907"/>
        <w:gridCol w:w="907"/>
        <w:gridCol w:w="907"/>
        <w:gridCol w:w="907"/>
        <w:gridCol w:w="907"/>
        <w:gridCol w:w="907"/>
        <w:gridCol w:w="907"/>
        <w:gridCol w:w="907"/>
        <w:gridCol w:w="908"/>
      </w:tblGrid>
      <w:tr w14:paraId="49C495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31" w:type="dxa"/>
            <w:vAlign w:val="top"/>
          </w:tcPr>
          <w:p w14:paraId="1FF91BC6">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品目号</w:t>
            </w:r>
          </w:p>
        </w:tc>
        <w:tc>
          <w:tcPr>
            <w:tcW w:w="831" w:type="dxa"/>
            <w:vAlign w:val="top"/>
          </w:tcPr>
          <w:p w14:paraId="13880D61">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序号</w:t>
            </w:r>
          </w:p>
        </w:tc>
        <w:tc>
          <w:tcPr>
            <w:tcW w:w="831" w:type="dxa"/>
            <w:vAlign w:val="top"/>
          </w:tcPr>
          <w:p w14:paraId="35FCB66F">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服务名称</w:t>
            </w:r>
          </w:p>
        </w:tc>
        <w:tc>
          <w:tcPr>
            <w:tcW w:w="831" w:type="dxa"/>
            <w:vAlign w:val="top"/>
          </w:tcPr>
          <w:p w14:paraId="71DF3F09">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服务范围</w:t>
            </w:r>
          </w:p>
        </w:tc>
        <w:tc>
          <w:tcPr>
            <w:tcW w:w="831" w:type="dxa"/>
            <w:vAlign w:val="top"/>
          </w:tcPr>
          <w:p w14:paraId="2563134C">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服务要求</w:t>
            </w:r>
          </w:p>
        </w:tc>
        <w:tc>
          <w:tcPr>
            <w:tcW w:w="831" w:type="dxa"/>
            <w:vAlign w:val="top"/>
          </w:tcPr>
          <w:p w14:paraId="18232B0F">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服务时间</w:t>
            </w:r>
          </w:p>
        </w:tc>
        <w:tc>
          <w:tcPr>
            <w:tcW w:w="831" w:type="dxa"/>
            <w:vAlign w:val="top"/>
          </w:tcPr>
          <w:p w14:paraId="65A2EAB8">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服务标准</w:t>
            </w:r>
          </w:p>
        </w:tc>
        <w:tc>
          <w:tcPr>
            <w:tcW w:w="831" w:type="dxa"/>
            <w:vAlign w:val="top"/>
          </w:tcPr>
          <w:p w14:paraId="5EA7B408">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单价</w:t>
            </w:r>
          </w:p>
        </w:tc>
        <w:tc>
          <w:tcPr>
            <w:tcW w:w="831" w:type="dxa"/>
            <w:vAlign w:val="top"/>
          </w:tcPr>
          <w:p w14:paraId="50FCD224">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数量</w:t>
            </w:r>
          </w:p>
        </w:tc>
        <w:tc>
          <w:tcPr>
            <w:tcW w:w="831" w:type="dxa"/>
            <w:vAlign w:val="top"/>
          </w:tcPr>
          <w:p w14:paraId="32AE6148">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总价</w:t>
            </w:r>
          </w:p>
        </w:tc>
      </w:tr>
      <w:tr w14:paraId="217D6B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831" w:type="dxa"/>
            <w:vAlign w:val="top"/>
          </w:tcPr>
          <w:p w14:paraId="7237AB0A">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w:t>
            </w:r>
          </w:p>
        </w:tc>
        <w:tc>
          <w:tcPr>
            <w:tcW w:w="831" w:type="dxa"/>
            <w:vAlign w:val="top"/>
          </w:tcPr>
          <w:p w14:paraId="7EDB831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36CB588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255E788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7439A61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2376D7B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11743CE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4819220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33C1C6D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831" w:type="dxa"/>
            <w:vAlign w:val="top"/>
          </w:tcPr>
          <w:p w14:paraId="3F9A962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1B0D79E6">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1ABAAF1">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DCE28D8">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投标人签章：__________________</w:t>
      </w:r>
    </w:p>
    <w:p w14:paraId="5A8923C0">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日期： 年 月 日</w:t>
      </w:r>
    </w:p>
    <w:p w14:paraId="6CB41F6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9FF21B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2C64944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70CFE9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99C900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9783547">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608ABB4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1EAA59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55B7C912">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8D8B926">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CF62014">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BD6E0D4">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C6983AB">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95" w:name="_Toc2643"/>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格式四：政策适用性说明</w:t>
      </w:r>
      <w:bookmarkEnd w:id="95"/>
    </w:p>
    <w:p w14:paraId="2FDF0954">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07941943">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政策适用性说明</w:t>
      </w:r>
    </w:p>
    <w:p w14:paraId="35D1C30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按照政府采购有关政策的要求，在本次的技术方案中，采用符合政策的小型或微型企业产品、节能产品、环境标志产品，主要产品与核心技术介绍说明如下：</w:t>
      </w:r>
    </w:p>
    <w:tbl>
      <w:tblPr>
        <w:tblStyle w:val="16"/>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33"/>
        <w:gridCol w:w="1134"/>
        <w:gridCol w:w="1134"/>
        <w:gridCol w:w="1134"/>
        <w:gridCol w:w="1134"/>
        <w:gridCol w:w="1134"/>
        <w:gridCol w:w="1134"/>
        <w:gridCol w:w="1134"/>
      </w:tblGrid>
      <w:tr w14:paraId="5AD0FA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38" w:type="dxa"/>
            <w:vAlign w:val="top"/>
          </w:tcPr>
          <w:p w14:paraId="29FB75A2">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序号</w:t>
            </w:r>
          </w:p>
        </w:tc>
        <w:tc>
          <w:tcPr>
            <w:tcW w:w="1038" w:type="dxa"/>
            <w:vAlign w:val="top"/>
          </w:tcPr>
          <w:p w14:paraId="0DAF4076">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主要产品/技术名称（规格型号、注册商标）</w:t>
            </w:r>
          </w:p>
        </w:tc>
        <w:tc>
          <w:tcPr>
            <w:tcW w:w="1038" w:type="dxa"/>
            <w:vAlign w:val="top"/>
          </w:tcPr>
          <w:p w14:paraId="5231385F">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制造商(开发商)</w:t>
            </w:r>
          </w:p>
        </w:tc>
        <w:tc>
          <w:tcPr>
            <w:tcW w:w="1038" w:type="dxa"/>
            <w:vAlign w:val="top"/>
          </w:tcPr>
          <w:p w14:paraId="1EA245E1">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制造商企业类型</w:t>
            </w:r>
          </w:p>
        </w:tc>
        <w:tc>
          <w:tcPr>
            <w:tcW w:w="1038" w:type="dxa"/>
            <w:vAlign w:val="top"/>
          </w:tcPr>
          <w:p w14:paraId="4EEF8593">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节能产品</w:t>
            </w:r>
          </w:p>
        </w:tc>
        <w:tc>
          <w:tcPr>
            <w:tcW w:w="1038" w:type="dxa"/>
            <w:vAlign w:val="top"/>
          </w:tcPr>
          <w:p w14:paraId="7EC28D75">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环境标志产品</w:t>
            </w:r>
          </w:p>
        </w:tc>
        <w:tc>
          <w:tcPr>
            <w:tcW w:w="1038" w:type="dxa"/>
            <w:vAlign w:val="top"/>
          </w:tcPr>
          <w:p w14:paraId="6E3BE31C">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认证证书编号</w:t>
            </w:r>
          </w:p>
        </w:tc>
        <w:tc>
          <w:tcPr>
            <w:tcW w:w="1038" w:type="dxa"/>
            <w:vAlign w:val="top"/>
          </w:tcPr>
          <w:p w14:paraId="2D71ABA6">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该产品报价在总报价中占比（%）</w:t>
            </w:r>
          </w:p>
        </w:tc>
      </w:tr>
      <w:tr w14:paraId="26725D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38" w:type="dxa"/>
            <w:vAlign w:val="top"/>
          </w:tcPr>
          <w:p w14:paraId="5DF1C23F">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w:t>
            </w:r>
          </w:p>
        </w:tc>
        <w:tc>
          <w:tcPr>
            <w:tcW w:w="1038" w:type="dxa"/>
            <w:vAlign w:val="top"/>
          </w:tcPr>
          <w:p w14:paraId="505E6A2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70D2134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4F83985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58E1C81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39A5908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3321A1F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3881D2F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358332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38" w:type="dxa"/>
            <w:vAlign w:val="top"/>
          </w:tcPr>
          <w:p w14:paraId="46F81A36">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w:t>
            </w:r>
          </w:p>
        </w:tc>
        <w:tc>
          <w:tcPr>
            <w:tcW w:w="1038" w:type="dxa"/>
            <w:vAlign w:val="top"/>
          </w:tcPr>
          <w:p w14:paraId="7DB2F74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1395701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14B28FC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523A858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237C066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75A193A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0972677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3A857C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38" w:type="dxa"/>
            <w:vAlign w:val="top"/>
          </w:tcPr>
          <w:p w14:paraId="5B27F58C">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3</w:t>
            </w:r>
          </w:p>
        </w:tc>
        <w:tc>
          <w:tcPr>
            <w:tcW w:w="1038" w:type="dxa"/>
            <w:vAlign w:val="top"/>
          </w:tcPr>
          <w:p w14:paraId="103BB76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3265231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58DD207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7D251BE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52D12E7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2B99D78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3724628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736316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38" w:type="dxa"/>
            <w:vAlign w:val="top"/>
          </w:tcPr>
          <w:p w14:paraId="7B3FBDFE">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4</w:t>
            </w:r>
          </w:p>
        </w:tc>
        <w:tc>
          <w:tcPr>
            <w:tcW w:w="1038" w:type="dxa"/>
            <w:vAlign w:val="top"/>
          </w:tcPr>
          <w:p w14:paraId="53F9F44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697F842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740718C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5964701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0194BF0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688E73A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1F65936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0C7570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38" w:type="dxa"/>
            <w:vAlign w:val="top"/>
          </w:tcPr>
          <w:p w14:paraId="69D053E9">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5</w:t>
            </w:r>
          </w:p>
        </w:tc>
        <w:tc>
          <w:tcPr>
            <w:tcW w:w="1038" w:type="dxa"/>
            <w:vAlign w:val="top"/>
          </w:tcPr>
          <w:p w14:paraId="62CF4E5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2BF9E3F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5AD515E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6366060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2B7442A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6DBD846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17954DB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628EE9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038" w:type="dxa"/>
            <w:vAlign w:val="top"/>
          </w:tcPr>
          <w:p w14:paraId="06F5DAFC">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tc>
        <w:tc>
          <w:tcPr>
            <w:tcW w:w="1038" w:type="dxa"/>
            <w:vAlign w:val="top"/>
          </w:tcPr>
          <w:p w14:paraId="18F6A3E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5990E1A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6BA7C25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5667B06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12BDBC6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6437CC7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038" w:type="dxa"/>
            <w:vAlign w:val="top"/>
          </w:tcPr>
          <w:p w14:paraId="529CB72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01ED359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注：1.制造商为小型或微型企业时才需要填“制造商企业类型”栏,填写内容为“小型”或“微型”；</w:t>
      </w:r>
    </w:p>
    <w:p w14:paraId="3CF4B4A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2.“节能产品、环境标志产品”须填写认证证书编号，并在对应“节能产品”、“环境标志产品”栏中勾选，同时提供有效期内的证书复印件（加盖投标人公章）</w:t>
      </w:r>
    </w:p>
    <w:p w14:paraId="5F79B48A">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投标人名称（盖章）：__________________</w:t>
      </w:r>
    </w:p>
    <w:p w14:paraId="01022CC1">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日期： 年 月 日</w:t>
      </w:r>
    </w:p>
    <w:p w14:paraId="7079D75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5B52259D">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8DEC89A">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A3D5269">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A4DBEFA">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DF47656">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53714BF">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A22AC9B">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1E34C6E">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45DD96C">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B9BA808">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96" w:name="_Toc27338"/>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格式五：关于符合本国产品标准的声明函等有关证明文件（如适用）</w:t>
      </w:r>
      <w:bookmarkEnd w:id="96"/>
    </w:p>
    <w:p w14:paraId="29AEDC4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注：</w:t>
      </w:r>
    </w:p>
    <w:p w14:paraId="24C64BBC">
      <w:pPr>
        <w:pStyle w:val="19"/>
        <w:keepNext w:val="0"/>
        <w:keepLines w:val="0"/>
        <w:pageBreakBefore w:val="0"/>
        <w:kinsoku/>
        <w:wordWrap/>
        <w:overflowPunct/>
        <w:topLinePunct w:val="0"/>
        <w:autoSpaceDE/>
        <w:autoSpaceDN/>
        <w:bidi w:val="0"/>
        <w:adjustRightInd/>
        <w:snapToGrid/>
        <w:spacing w:before="120" w:after="120"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 供应商提供本国产品应符合《国务院办公厅关于在政府采购中实施本国产品标准及相关政策的通知》（国办发〔2025〕34号），在投标文件中出具《关于符合本国产品标准的声明函》或财政部会同有关部门规定的有关证明文件；当采购项目或者采购包中含有多种产品的，供应商还应当提供《关于本国产品比例的承诺函》（见下附件3，格式内容仅供参考）</w:t>
      </w:r>
    </w:p>
    <w:p w14:paraId="560B213F">
      <w:pPr>
        <w:pStyle w:val="19"/>
        <w:keepNext w:val="0"/>
        <w:keepLines w:val="0"/>
        <w:pageBreakBefore w:val="0"/>
        <w:kinsoku/>
        <w:wordWrap/>
        <w:overflowPunct/>
        <w:topLinePunct w:val="0"/>
        <w:autoSpaceDE/>
        <w:autoSpaceDN/>
        <w:bidi w:val="0"/>
        <w:adjustRightInd/>
        <w:snapToGrid/>
        <w:spacing w:before="120" w:after="120"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 供应商提供虚假《声明函》、虚假证明文件谋取中标、成交的，依照政府采购法律法规规定追究相应责任。</w:t>
      </w:r>
    </w:p>
    <w:p w14:paraId="2FE3DB49">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B31E1C5">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B98273B">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89432FA">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AB45E5B">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D22439E">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C95D74D">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3F9261B">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945D784">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006D9EA">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C802E9E">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E2979D5">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262DCC4">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9CCCAC5">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72BDF0A">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D2E5204">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27F4E23">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A88DA17">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1900E4C">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FFB0D9A">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749CD3A">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7B87183">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9045178">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B90471A">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A2108A7">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C3D7C48">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附件1</w:t>
      </w:r>
    </w:p>
    <w:p w14:paraId="692840CC">
      <w:pPr>
        <w:pStyle w:val="19"/>
        <w:keepNext w:val="0"/>
        <w:keepLines w:val="0"/>
        <w:pageBreakBefore w:val="0"/>
        <w:kinsoku/>
        <w:wordWrap/>
        <w:overflowPunct/>
        <w:topLinePunct w:val="0"/>
        <w:autoSpaceDE/>
        <w:autoSpaceDN/>
        <w:bidi w:val="0"/>
        <w:adjustRightInd/>
        <w:snapToGrid/>
        <w:spacing w:before="120" w:after="240"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中国境内生产的组件成本核算基本规则</w:t>
      </w:r>
    </w:p>
    <w:p w14:paraId="6F7C472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555EDAD5">
      <w:pPr>
        <w:pStyle w:val="19"/>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 产品的一级组件是指直接组成产品的组件。产品的二级组件是指直接组成产品一级组件的组件。一级组件不可分解的，视同二级组件。</w:t>
      </w:r>
    </w:p>
    <w:p w14:paraId="6E82E612">
      <w:pPr>
        <w:pStyle w:val="19"/>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 二级组件在中国境内生产的，其全部成本计入中国境内生产的组件成本；二级组件不在中国境内生产的，其成本不计入中国境内生产的组件成本。</w:t>
      </w:r>
    </w:p>
    <w:p w14:paraId="7D5567BA">
      <w:pPr>
        <w:pStyle w:val="19"/>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 产品总成本和组件成本以相关会计核算数据、采购合同、进货记录等为基础进行计算。</w:t>
      </w:r>
    </w:p>
    <w:p w14:paraId="3D470070">
      <w:pPr>
        <w:pStyle w:val="19"/>
        <w:keepNext w:val="0"/>
        <w:keepLines w:val="0"/>
        <w:pageBreakBefore w:val="0"/>
        <w:kinsoku/>
        <w:wordWrap/>
        <w:overflowPunct/>
        <w:topLinePunct w:val="0"/>
        <w:autoSpaceDE/>
        <w:autoSpaceDN/>
        <w:bidi w:val="0"/>
        <w:adjustRightInd/>
        <w:snapToGrid/>
        <w:spacing w:before="120" w:after="120"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 需要对成本核算规则予以进一步明确的其他有关事项，由财政部会同有关部门另行规定。</w:t>
      </w:r>
    </w:p>
    <w:p w14:paraId="51E5AE4E">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4D44722">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F66D4F1">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C71B3D8">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C92AC55">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9DA872B">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5AB997E">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F6D1DEC">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B3C4CE4">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7CAAB6E">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4F56493">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E1A495B">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AAA6263">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2A29F58">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8B3C145">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FA5A8AC">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6F08155">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80B7340">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6A82652">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4E68DF3">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C90222C">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附件2</w:t>
      </w:r>
    </w:p>
    <w:p w14:paraId="5A417AAF">
      <w:pPr>
        <w:pStyle w:val="19"/>
        <w:keepNext w:val="0"/>
        <w:keepLines w:val="0"/>
        <w:pageBreakBefore w:val="0"/>
        <w:kinsoku/>
        <w:wordWrap/>
        <w:overflowPunct/>
        <w:topLinePunct w:val="0"/>
        <w:autoSpaceDE/>
        <w:autoSpaceDN/>
        <w:bidi w:val="0"/>
        <w:adjustRightInd/>
        <w:snapToGrid/>
        <w:spacing w:before="120" w:after="240"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关于符合本国产品标准的声明函</w:t>
      </w:r>
    </w:p>
    <w:p w14:paraId="0807FB0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724E6CC4">
      <w:pPr>
        <w:pStyle w:val="19"/>
        <w:keepNext w:val="0"/>
        <w:keepLines w:val="0"/>
        <w:pageBreakBefore w:val="0"/>
        <w:kinsoku/>
        <w:wordWrap/>
        <w:overflowPunct/>
        <w:topLinePunct w:val="0"/>
        <w:autoSpaceDE/>
        <w:autoSpaceDN/>
        <w:bidi w:val="0"/>
        <w:adjustRightInd/>
        <w:snapToGrid/>
        <w:spacing w:before="240" w:after="240" w:line="360" w:lineRule="auto"/>
        <w:ind w:firstLine="96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，生产厂为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（厂名）</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，厂址为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（生产厂址）</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的中国境内生产的组件成本占比≥</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（规定比例）</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（关键组件）</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在中国境内生产。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（关键工序）</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在中国境内完成。</w:t>
      </w:r>
    </w:p>
    <w:p w14:paraId="7CA04A87">
      <w:pPr>
        <w:pStyle w:val="19"/>
        <w:keepNext w:val="0"/>
        <w:keepLines w:val="0"/>
        <w:pageBreakBefore w:val="0"/>
        <w:kinsoku/>
        <w:wordWrap/>
        <w:overflowPunct/>
        <w:topLinePunct w:val="0"/>
        <w:autoSpaceDE/>
        <w:autoSpaceDN/>
        <w:bidi w:val="0"/>
        <w:adjustRightInd/>
        <w:snapToGrid/>
        <w:spacing w:before="240" w:after="240" w:line="360" w:lineRule="auto"/>
        <w:ind w:firstLine="96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（产品名称2）</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，生产厂为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（厂名）</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，厂址为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（生产厂址）</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（产品名称2）</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的中国境内生产的组件成本占比≥</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（规定比例）</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（产品名称2）</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（关键组件）</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在中国境内生产。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（产品名称2）</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（关键工序）</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在中国境内完成。</w:t>
      </w:r>
    </w:p>
    <w:p w14:paraId="21A4EC71">
      <w:pPr>
        <w:pStyle w:val="19"/>
        <w:keepNext w:val="0"/>
        <w:keepLines w:val="0"/>
        <w:pageBreakBefore w:val="0"/>
        <w:kinsoku/>
        <w:wordWrap/>
        <w:overflowPunct/>
        <w:topLinePunct w:val="0"/>
        <w:autoSpaceDE/>
        <w:autoSpaceDN/>
        <w:bidi w:val="0"/>
        <w:adjustRightInd/>
        <w:snapToGrid/>
        <w:spacing w:before="240" w:after="240" w:line="360" w:lineRule="auto"/>
        <w:ind w:firstLine="96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 ……</w:t>
      </w:r>
    </w:p>
    <w:p w14:paraId="0204E61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本公司（单位）对上述声明内容的真实性负责。如有虚假，愿承担相应法律责任。</w:t>
      </w:r>
    </w:p>
    <w:p w14:paraId="2F42D20E">
      <w:pPr>
        <w:pStyle w:val="19"/>
        <w:keepNext w:val="0"/>
        <w:keepLines w:val="0"/>
        <w:pageBreakBefore w:val="0"/>
        <w:kinsoku/>
        <w:wordWrap/>
        <w:overflowPunct/>
        <w:topLinePunct w:val="0"/>
        <w:autoSpaceDE/>
        <w:autoSpaceDN/>
        <w:bidi w:val="0"/>
        <w:adjustRightInd/>
        <w:snapToGrid/>
        <w:spacing w:before="720" w:line="360" w:lineRule="auto"/>
        <w:jc w:val="righ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公司（单位）名称（盖章）：</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__________________</w:t>
      </w:r>
    </w:p>
    <w:p w14:paraId="13727404">
      <w:pPr>
        <w:pStyle w:val="19"/>
        <w:keepNext w:val="0"/>
        <w:keepLines w:val="0"/>
        <w:pageBreakBefore w:val="0"/>
        <w:kinsoku/>
        <w:wordWrap/>
        <w:overflowPunct/>
        <w:topLinePunct w:val="0"/>
        <w:autoSpaceDE/>
        <w:autoSpaceDN/>
        <w:bidi w:val="0"/>
        <w:adjustRightInd/>
        <w:snapToGrid/>
        <w:spacing w:line="360" w:lineRule="auto"/>
        <w:jc w:val="righ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日期：</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______ 年 ______ 月 ______ 日</w:t>
      </w:r>
    </w:p>
    <w:p w14:paraId="2B5FF3FE">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注：</w:t>
      </w:r>
    </w:p>
    <w:p w14:paraId="70756702">
      <w:pPr>
        <w:pStyle w:val="19"/>
        <w:keepNext w:val="0"/>
        <w:keepLines w:val="0"/>
        <w:pageBreakBefore w:val="0"/>
        <w:kinsoku/>
        <w:wordWrap/>
        <w:overflowPunct/>
        <w:topLinePunct w:val="0"/>
        <w:autoSpaceDE/>
        <w:autoSpaceDN/>
        <w:bidi w:val="0"/>
        <w:adjustRightInd/>
        <w:snapToGrid/>
        <w:spacing w:before="120" w:after="120"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 产品如有型号，请在“产品名称”栏一并填写。</w:t>
      </w:r>
    </w:p>
    <w:p w14:paraId="054B8F90">
      <w:pPr>
        <w:pStyle w:val="19"/>
        <w:keepNext w:val="0"/>
        <w:keepLines w:val="0"/>
        <w:pageBreakBefore w:val="0"/>
        <w:kinsoku/>
        <w:wordWrap/>
        <w:overflowPunct/>
        <w:topLinePunct w:val="0"/>
        <w:autoSpaceDE/>
        <w:autoSpaceDN/>
        <w:bidi w:val="0"/>
        <w:adjustRightInd/>
        <w:snapToGrid/>
        <w:spacing w:before="120" w:after="120"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 生产厂名与厂址应与生产厂营业执照载明的相关信息保持一致。</w:t>
      </w:r>
    </w:p>
    <w:p w14:paraId="1DA666FD">
      <w:pPr>
        <w:pStyle w:val="19"/>
        <w:keepNext w:val="0"/>
        <w:keepLines w:val="0"/>
        <w:pageBreakBefore w:val="0"/>
        <w:kinsoku/>
        <w:wordWrap/>
        <w:overflowPunct/>
        <w:topLinePunct w:val="0"/>
        <w:autoSpaceDE/>
        <w:autoSpaceDN/>
        <w:bidi w:val="0"/>
        <w:adjustRightInd/>
        <w:snapToGrid/>
        <w:spacing w:before="120" w:after="120"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 该产品的中国境内生产的组件成本占比相关要求实施前，"规定比例"栏可不填，下同。</w:t>
      </w:r>
    </w:p>
    <w:p w14:paraId="7961092A">
      <w:pPr>
        <w:pStyle w:val="19"/>
        <w:keepNext w:val="0"/>
        <w:keepLines w:val="0"/>
        <w:pageBreakBefore w:val="0"/>
        <w:kinsoku/>
        <w:wordWrap/>
        <w:overflowPunct/>
        <w:topLinePunct w:val="0"/>
        <w:autoSpaceDE/>
        <w:autoSpaceDN/>
        <w:bidi w:val="0"/>
        <w:adjustRightInd/>
        <w:snapToGrid/>
        <w:spacing w:before="120" w:after="120"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 该产品的关键组件要求实施前，"关键组件"栏可不填，下同。</w:t>
      </w:r>
    </w:p>
    <w:p w14:paraId="54854190">
      <w:pPr>
        <w:pStyle w:val="19"/>
        <w:keepNext w:val="0"/>
        <w:keepLines w:val="0"/>
        <w:pageBreakBefore w:val="0"/>
        <w:kinsoku/>
        <w:wordWrap/>
        <w:overflowPunct/>
        <w:topLinePunct w:val="0"/>
        <w:autoSpaceDE/>
        <w:autoSpaceDN/>
        <w:bidi w:val="0"/>
        <w:adjustRightInd/>
        <w:snapToGrid/>
        <w:spacing w:before="120" w:after="120"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 该产品的关键工序要求实施前，"关键工序"栏可不填，下同。</w:t>
      </w:r>
    </w:p>
    <w:p w14:paraId="00CDD3F9">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F8CE310">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97D65A9">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C55A304">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F9F0F05">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EBEACE8">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附件3（当采购项目或者采购包中含有多种产品的，供应商还应当提供本承诺函，格式内容仅供参考）</w:t>
      </w:r>
    </w:p>
    <w:p w14:paraId="1328A733">
      <w:pPr>
        <w:pStyle w:val="19"/>
        <w:keepNext w:val="0"/>
        <w:keepLines w:val="0"/>
        <w:pageBreakBefore w:val="0"/>
        <w:kinsoku/>
        <w:wordWrap/>
        <w:overflowPunct/>
        <w:topLinePunct w:val="0"/>
        <w:autoSpaceDE/>
        <w:autoSpaceDN/>
        <w:bidi w:val="0"/>
        <w:adjustRightInd/>
        <w:snapToGrid/>
        <w:spacing w:before="120" w:after="240"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关于本国产品比例的承诺函（如适用）</w:t>
      </w:r>
    </w:p>
    <w:p w14:paraId="68E901EE">
      <w:pPr>
        <w:pStyle w:val="19"/>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公司（单位）郑重承诺，根据《国务院办公厅关于在政府采购中实施本国产品标准及相关政策的通知》（国办发〔2025〕34号）的规定，本公司（单位）提供的符合本国产品标准的产品成本之和占提供的全部产品成本之和的比例达到80%以上。</w:t>
      </w:r>
    </w:p>
    <w:p w14:paraId="43BDE0CE">
      <w:pPr>
        <w:pStyle w:val="19"/>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本公司（单位）对上述承诺内容的真实性负责。如有虚假，愿承担相应法律责任。</w:t>
      </w:r>
    </w:p>
    <w:p w14:paraId="063C4090">
      <w:pPr>
        <w:pStyle w:val="19"/>
        <w:keepNext w:val="0"/>
        <w:keepLines w:val="0"/>
        <w:pageBreakBefore w:val="0"/>
        <w:kinsoku/>
        <w:wordWrap/>
        <w:overflowPunct/>
        <w:topLinePunct w:val="0"/>
        <w:autoSpaceDE/>
        <w:autoSpaceDN/>
        <w:bidi w:val="0"/>
        <w:adjustRightInd/>
        <w:snapToGrid/>
        <w:spacing w:before="720" w:line="360" w:lineRule="auto"/>
        <w:jc w:val="right"/>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B00FC25">
      <w:pPr>
        <w:pStyle w:val="19"/>
        <w:keepNext w:val="0"/>
        <w:keepLines w:val="0"/>
        <w:pageBreakBefore w:val="0"/>
        <w:kinsoku/>
        <w:wordWrap/>
        <w:overflowPunct/>
        <w:topLinePunct w:val="0"/>
        <w:autoSpaceDE/>
        <w:autoSpaceDN/>
        <w:bidi w:val="0"/>
        <w:adjustRightInd/>
        <w:snapToGrid/>
        <w:spacing w:before="720" w:line="360" w:lineRule="auto"/>
        <w:jc w:val="righ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公司（单位）名称（盖章）：</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__________________</w:t>
      </w:r>
    </w:p>
    <w:p w14:paraId="200B4201">
      <w:pPr>
        <w:pStyle w:val="19"/>
        <w:keepNext w:val="0"/>
        <w:keepLines w:val="0"/>
        <w:pageBreakBefore w:val="0"/>
        <w:kinsoku/>
        <w:wordWrap/>
        <w:overflowPunct/>
        <w:topLinePunct w:val="0"/>
        <w:autoSpaceDE/>
        <w:autoSpaceDN/>
        <w:bidi w:val="0"/>
        <w:adjustRightInd/>
        <w:snapToGrid/>
        <w:spacing w:line="360" w:lineRule="auto"/>
        <w:jc w:val="right"/>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日期：</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______ 年 ______ 月 ______ 日</w:t>
      </w:r>
    </w:p>
    <w:p w14:paraId="4FE752F4">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7C06D7D">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7C46F0C">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854AFFA">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2AAC45A">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9247166">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3BDC218">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F02CE96">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F5B8D70">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325EA53">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103C7FD">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60F161F">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F2CA7D7">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7C4A417">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EBCF0A7">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819E4B3">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86386B7">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BC7FA05">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95109E2">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7737ED4">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附件4</w:t>
      </w:r>
    </w:p>
    <w:p w14:paraId="3EB8E87F">
      <w:pPr>
        <w:pStyle w:val="19"/>
        <w:keepNext w:val="0"/>
        <w:keepLines w:val="0"/>
        <w:pageBreakBefore w:val="0"/>
        <w:kinsoku/>
        <w:wordWrap/>
        <w:overflowPunct/>
        <w:topLinePunct w:val="0"/>
        <w:autoSpaceDE/>
        <w:autoSpaceDN/>
        <w:bidi w:val="0"/>
        <w:adjustRightInd/>
        <w:snapToGrid/>
        <w:spacing w:before="120" w:after="240"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本国产品标准有关证明材料（如适用）</w:t>
      </w:r>
    </w:p>
    <w:p w14:paraId="4A0B93DC">
      <w:pPr>
        <w:pStyle w:val="19"/>
        <w:keepNext w:val="0"/>
        <w:keepLines w:val="0"/>
        <w:pageBreakBefore w:val="0"/>
        <w:kinsoku/>
        <w:wordWrap/>
        <w:overflowPunct/>
        <w:topLinePunct w:val="0"/>
        <w:autoSpaceDE/>
        <w:autoSpaceDN/>
        <w:bidi w:val="0"/>
        <w:adjustRightInd/>
        <w:snapToGrid/>
        <w:spacing w:before="120" w:after="120" w:line="360" w:lineRule="auto"/>
        <w:ind w:firstLine="96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AF76FDD">
      <w:pPr>
        <w:pStyle w:val="19"/>
        <w:keepNext w:val="0"/>
        <w:keepLines w:val="0"/>
        <w:pageBreakBefore w:val="0"/>
        <w:kinsoku/>
        <w:wordWrap/>
        <w:overflowPunct/>
        <w:topLinePunct w:val="0"/>
        <w:autoSpaceDE/>
        <w:autoSpaceDN/>
        <w:bidi w:val="0"/>
        <w:adjustRightInd/>
        <w:snapToGrid/>
        <w:spacing w:before="120" w:after="120"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 供应商认为需提供的其他资料。</w:t>
      </w:r>
    </w:p>
    <w:p w14:paraId="610A9504">
      <w:pPr>
        <w:pStyle w:val="19"/>
        <w:keepNext w:val="0"/>
        <w:keepLines w:val="0"/>
        <w:pageBreakBefore w:val="0"/>
        <w:kinsoku/>
        <w:wordWrap/>
        <w:overflowPunct/>
        <w:topLinePunct w:val="0"/>
        <w:autoSpaceDE/>
        <w:autoSpaceDN/>
        <w:bidi w:val="0"/>
        <w:adjustRightInd/>
        <w:snapToGrid/>
        <w:spacing w:before="120" w:after="120"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 财政部会同有关部门规定的有关证明文件。</w:t>
      </w:r>
    </w:p>
    <w:p w14:paraId="001F5FA6">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1C28580">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82482FB">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3216AAB">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A203A98">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97BDDC5">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DEECC45">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A8870A4">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2AF2596">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810D042">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9E96325">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4AA2989">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FEB1E48">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31490A8">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1BA1820">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6D5BF3C">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C51E0F5">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84F3DBB">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601FB63">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8CFEFA2">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875AF1E">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E8446E9">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2FE9B85">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57B0D75">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662A5BE">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2FD036F">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AF780BE">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64943DC">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97" w:name="_Toc10016"/>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格式六：</w:t>
      </w: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证明书</w:t>
      </w:r>
      <w:bookmarkEnd w:id="97"/>
    </w:p>
    <w:p w14:paraId="56B74E4E">
      <w:pPr>
        <w:pStyle w:val="19"/>
        <w:keepNext w:val="0"/>
        <w:keepLines w:val="0"/>
        <w:pageBreakBefore w:val="0"/>
        <w:kinsoku/>
        <w:wordWrap/>
        <w:overflowPunct/>
        <w:topLinePunct w:val="0"/>
        <w:autoSpaceDE/>
        <w:autoSpaceDN/>
        <w:bidi w:val="0"/>
        <w:adjustRightInd/>
        <w:snapToGrid/>
        <w:spacing w:line="360" w:lineRule="auto"/>
        <w:ind w:firstLine="480"/>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7E8601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（投标人可使用下述格式，也可使用广东省工商行政管理局统一印制的法定代表人证明书格式）</w:t>
      </w:r>
    </w:p>
    <w:p w14:paraId="1EF3D3E5">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cstheme="minorEastAsia"/>
          <w:b/>
          <w:color w:val="000000" w:themeColor="text1"/>
          <w:sz w:val="28"/>
          <w:szCs w:val="28"/>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证明书</w:t>
      </w:r>
    </w:p>
    <w:p w14:paraId="5572478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_____________现任我单位_____________职务，为</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，特此证明。</w:t>
      </w:r>
    </w:p>
    <w:p w14:paraId="60315CB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有效期限：__________________</w:t>
      </w:r>
    </w:p>
    <w:p w14:paraId="6459E46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附：代表人性别：_____年龄：_________ 身份证号码：__________________</w:t>
      </w:r>
    </w:p>
    <w:p w14:paraId="1ACFCA8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注册号码：____________________企业类型：____________________________</w:t>
      </w:r>
    </w:p>
    <w:p w14:paraId="57C2B25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经营范围：__________________________</w:t>
      </w:r>
    </w:p>
    <w:p w14:paraId="092DBC58">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投标人名称（盖章）：__________________</w:t>
      </w:r>
    </w:p>
    <w:p w14:paraId="10D354C6">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地址：__________________</w:t>
      </w:r>
    </w:p>
    <w:p w14:paraId="2A1BDA88">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（签字或盖章）：__________________</w:t>
      </w:r>
    </w:p>
    <w:p w14:paraId="2BAB97E7">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职务：__________________</w:t>
      </w:r>
    </w:p>
    <w:p w14:paraId="751FC1D2">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64A542A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3C59251">
      <w:pPr>
        <w:spacing w:line="480" w:lineRule="exact"/>
        <w:rPr>
          <w:rFonts w:ascii="宋体" w:hAns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说明： 内容必须填写真实、清楚，涂改无效，不得转让、买卖。</w:t>
      </w:r>
    </w:p>
    <w:p w14:paraId="03AA5191">
      <w:pPr>
        <w:spacing w:line="480" w:lineRule="exact"/>
        <w:ind w:firstLine="420" w:firstLineChars="200"/>
        <w:rPr>
          <w:rFonts w:ascii="宋体" w:hAnsi="宋体"/>
          <w:color w:val="000000" w:themeColor="text1"/>
          <w:highlight w:val="none"/>
          <w14:textFill>
            <w14:solidFill>
              <w14:schemeClr w14:val="tx1"/>
            </w14:solidFill>
          </w14:textFill>
        </w:rPr>
      </w:pPr>
    </w:p>
    <w:p w14:paraId="033D00DE">
      <w:pPr>
        <w:pStyle w:val="6"/>
        <w:rPr>
          <w:rFonts w:hAnsi="宋体"/>
          <w:color w:val="000000" w:themeColor="text1"/>
          <w:sz w:val="21"/>
          <w:highlight w:val="none"/>
          <w14:textFill>
            <w14:solidFill>
              <w14:schemeClr w14:val="tx1"/>
            </w14:solidFill>
          </w14:textFill>
        </w:rPr>
      </w:pPr>
    </w:p>
    <w:p w14:paraId="3B3AC4AB">
      <w:pPr>
        <w:pStyle w:val="6"/>
        <w:rPr>
          <w:color w:val="000000" w:themeColor="text1"/>
          <w:highlight w:val="none"/>
          <w14:textFill>
            <w14:solidFill>
              <w14:schemeClr w14:val="tx1"/>
            </w14:solidFill>
          </w14:textFill>
        </w:rPr>
        <w:sectPr>
          <w:headerReference r:id="rId3" w:type="first"/>
          <w:footerReference r:id="rId5" w:type="first"/>
          <w:footerReference r:id="rId4" w:type="default"/>
          <w:pgSz w:w="11906" w:h="16838"/>
          <w:pgMar w:top="1474" w:right="1418" w:bottom="1474" w:left="1418" w:header="851" w:footer="851" w:gutter="0"/>
          <w:cols w:space="720" w:num="1"/>
          <w:titlePg/>
          <w:docGrid w:linePitch="312" w:charSpace="0"/>
        </w:sectPr>
      </w:pPr>
      <w:r>
        <w:rPr>
          <w:color w:val="000000" w:themeColor="text1"/>
          <w:highlight w:val="none"/>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318770</wp:posOffset>
                </wp:positionH>
                <wp:positionV relativeFrom="paragraph">
                  <wp:posOffset>346710</wp:posOffset>
                </wp:positionV>
                <wp:extent cx="4933950" cy="2294255"/>
                <wp:effectExtent l="4445" t="5080" r="14605" b="5715"/>
                <wp:wrapNone/>
                <wp:docPr id="3" name="自选图形 2"/>
                <wp:cNvGraphicFramePr/>
                <a:graphic xmlns:a="http://schemas.openxmlformats.org/drawingml/2006/main">
                  <a:graphicData uri="http://schemas.microsoft.com/office/word/2010/wordprocessingShape">
                    <wps:wsp>
                      <wps:cNvSpPr>
                        <a:spLocks noChangeArrowheads="1"/>
                      </wps:cNvSpPr>
                      <wps:spPr bwMode="auto">
                        <a:xfrm>
                          <a:off x="0" y="0"/>
                          <a:ext cx="4933950" cy="2294255"/>
                        </a:xfrm>
                        <a:prstGeom prst="flowChartAlternateProcess">
                          <a:avLst/>
                        </a:prstGeom>
                        <a:solidFill>
                          <a:srgbClr val="FFFFFF"/>
                        </a:solidFill>
                        <a:ln w="9525">
                          <a:solidFill>
                            <a:srgbClr val="000000"/>
                          </a:solidFill>
                          <a:miter lim="800000"/>
                        </a:ln>
                        <a:effectLst/>
                      </wps:spPr>
                      <wps:txbx>
                        <w:txbxContent>
                          <w:p w14:paraId="58FD5143"/>
                          <w:p w14:paraId="2A756232"/>
                          <w:p w14:paraId="14D61E7B">
                            <w:pPr>
                              <w:jc w:val="center"/>
                            </w:pPr>
                            <w:r>
                              <w:rPr>
                                <w:rFonts w:hint="eastAsia" w:asciiTheme="minorEastAsia" w:hAnsiTheme="minorEastAsia" w:eastAsiaTheme="minorEastAsia" w:cstheme="minorEastAsia"/>
                                <w:sz w:val="21"/>
                                <w:szCs w:val="21"/>
                              </w:rPr>
                              <w:t>法定代表人</w:t>
                            </w:r>
                            <w:r>
                              <w:rPr>
                                <w:rFonts w:hint="eastAsia"/>
                              </w:rPr>
                              <w:t>身份证正反面复印件</w:t>
                            </w:r>
                          </w:p>
                        </w:txbxContent>
                      </wps:txbx>
                      <wps:bodyPr rot="0" vert="horz" wrap="square" lIns="91440" tIns="45720" rIns="91440" bIns="45720" anchor="t" anchorCtr="0" upright="1">
                        <a:noAutofit/>
                      </wps:bodyPr>
                    </wps:wsp>
                  </a:graphicData>
                </a:graphic>
              </wp:anchor>
            </w:drawing>
          </mc:Choice>
          <mc:Fallback>
            <w:pict>
              <v:shape id="自选图形 2" o:spid="_x0000_s1026" o:spt="176" type="#_x0000_t176" style="position:absolute;left:0pt;margin-left:25.1pt;margin-top:27.3pt;height:180.65pt;width:388.5pt;z-index:251660288;mso-width-relative:page;mso-height-relative:page;" fillcolor="#FFFFFF" filled="t" stroked="t" coordsize="21600,21600" o:gfxdata="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ccew32AAA&#10;AAkBAAAPAAAAAAAAAAEAIAAAACIAAABkcnMvZG93bnJldi54bWxQSwECFAAUAAAACACHTuJAnCmQ&#10;rVcCAACkBAAADgAAAAAAAAABACAAAAAnAQAAZHJzL2Uyb0RvYy54bWxQSwUGAAAAAAYABgBZAQAA&#10;8AUAAAAA&#10;">
                <v:fill on="t" focussize="0,0"/>
                <v:stroke color="#000000" miterlimit="8" joinstyle="miter"/>
                <v:imagedata o:title=""/>
                <o:lock v:ext="edit" aspectratio="f"/>
                <v:textbox>
                  <w:txbxContent>
                    <w:p w14:paraId="58FD5143"/>
                    <w:p w14:paraId="2A756232"/>
                    <w:p w14:paraId="14D61E7B">
                      <w:pPr>
                        <w:jc w:val="center"/>
                      </w:pPr>
                      <w:r>
                        <w:rPr>
                          <w:rFonts w:hint="eastAsia" w:asciiTheme="minorEastAsia" w:hAnsiTheme="minorEastAsia" w:eastAsiaTheme="minorEastAsia" w:cstheme="minorEastAsia"/>
                          <w:sz w:val="21"/>
                          <w:szCs w:val="21"/>
                        </w:rPr>
                        <w:t>法定代表人</w:t>
                      </w:r>
                      <w:r>
                        <w:rPr>
                          <w:rFonts w:hint="eastAsia"/>
                        </w:rPr>
                        <w:t>身份证正反面复印件</w:t>
                      </w:r>
                    </w:p>
                  </w:txbxContent>
                </v:textbox>
              </v:shape>
            </w:pict>
          </mc:Fallback>
        </mc:AlternateContent>
      </w:r>
    </w:p>
    <w:p w14:paraId="003059D7">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98" w:name="_Toc11294"/>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格式七：</w:t>
      </w:r>
      <w:r>
        <w:rPr>
          <w:rFonts w:hint="eastAsia" w:asciiTheme="minorEastAsia" w:hAnsiTheme="minorEastAsia" w:eastAsiaTheme="minorEastAsia" w:cstheme="minorEastAsia"/>
          <w:b/>
          <w:color w:val="000000" w:themeColor="text1"/>
          <w:sz w:val="21"/>
          <w:szCs w:val="21"/>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授权书</w:t>
      </w:r>
      <w:bookmarkEnd w:id="98"/>
    </w:p>
    <w:p w14:paraId="202B1ADB">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09A847A8">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cstheme="minorEastAsia"/>
          <w:b/>
          <w:color w:val="000000" w:themeColor="text1"/>
          <w:sz w:val="28"/>
          <w:szCs w:val="28"/>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授权书格式</w:t>
      </w:r>
    </w:p>
    <w:p w14:paraId="6ECB4C8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（对于银行、保险、电信、邮政、铁路等行业以及获得总公司投标授权的分公司，可以提供投标分支机构负责人授权书）</w:t>
      </w:r>
    </w:p>
    <w:p w14:paraId="71BF3FC8">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cstheme="minorEastAsia"/>
          <w:b/>
          <w:color w:val="000000" w:themeColor="text1"/>
          <w:sz w:val="28"/>
          <w:szCs w:val="28"/>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授权书</w:t>
      </w:r>
    </w:p>
    <w:p w14:paraId="58AD744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致：</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p>
    <w:p w14:paraId="60FA6FD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本授权书声明：________是注册于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（国家或地区）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（投标人名称）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，现任________职务，有效证件号码：________________。现授权 </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（姓名、职务）</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作为我公司的全权代理人，就“</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阳江市阳东区合山镇第二小学食堂食材配送服务项目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”项目采购[采购项目编号为</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YXCG-20260711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]的投标和合同执行，以我方的名义处理一切与之有关的事宜。</w:t>
      </w:r>
    </w:p>
    <w:p w14:paraId="0A0A0D5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本授权书于________年________月________日签字生效，特此声明。</w:t>
      </w:r>
    </w:p>
    <w:p w14:paraId="4E512140">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投标人（盖章）：__________________</w:t>
      </w:r>
    </w:p>
    <w:p w14:paraId="29615F87">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地址：__________________</w:t>
      </w:r>
    </w:p>
    <w:p w14:paraId="4582433A">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法定代表人（负责人）</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（签字或盖章）：__________________</w:t>
      </w:r>
    </w:p>
    <w:p w14:paraId="4B9F6E1B">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职务：__________________</w:t>
      </w:r>
    </w:p>
    <w:p w14:paraId="1822B017">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被授权人（签字或盖章）：__________________</w:t>
      </w:r>
    </w:p>
    <w:p w14:paraId="03750311">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职务：__________________</w:t>
      </w:r>
    </w:p>
    <w:p w14:paraId="4A665BE2">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78B0494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13BAA14">
      <w:pPr>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注：投标人的投标文件为法定代表人（负责人）签署并由法定代表人（负责人）亲自递交投标文件和参加开标会的，不须提供该委托书，但需提供法定代表人（负责人）证明书及法定代表人（负责人）的身份证复印件。）</w:t>
      </w:r>
    </w:p>
    <w:p w14:paraId="5115ED6F">
      <w:pPr>
        <w:rPr>
          <w:color w:val="000000" w:themeColor="text1"/>
          <w:highlight w:val="none"/>
          <w14:textFill>
            <w14:solidFill>
              <w14:schemeClr w14:val="tx1"/>
            </w14:solidFill>
          </w14:textFill>
        </w:rPr>
      </w:pPr>
    </w:p>
    <w:p w14:paraId="15B53DA7">
      <w:pPr>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210820</wp:posOffset>
                </wp:positionH>
                <wp:positionV relativeFrom="paragraph">
                  <wp:posOffset>1270</wp:posOffset>
                </wp:positionV>
                <wp:extent cx="4933950" cy="2294255"/>
                <wp:effectExtent l="4445" t="5080" r="14605" b="5715"/>
                <wp:wrapNone/>
                <wp:docPr id="4" name="自选图形 2"/>
                <wp:cNvGraphicFramePr/>
                <a:graphic xmlns:a="http://schemas.openxmlformats.org/drawingml/2006/main">
                  <a:graphicData uri="http://schemas.microsoft.com/office/word/2010/wordprocessingShape">
                    <wps:wsp>
                      <wps:cNvSpPr>
                        <a:spLocks noChangeArrowheads="1"/>
                      </wps:cNvSpPr>
                      <wps:spPr bwMode="auto">
                        <a:xfrm>
                          <a:off x="0" y="0"/>
                          <a:ext cx="4933950" cy="2294255"/>
                        </a:xfrm>
                        <a:prstGeom prst="flowChartAlternateProcess">
                          <a:avLst/>
                        </a:prstGeom>
                        <a:solidFill>
                          <a:srgbClr val="FFFFFF"/>
                        </a:solidFill>
                        <a:ln w="9525">
                          <a:solidFill>
                            <a:srgbClr val="000000"/>
                          </a:solidFill>
                          <a:miter lim="800000"/>
                        </a:ln>
                        <a:effectLst/>
                      </wps:spPr>
                      <wps:txbx>
                        <w:txbxContent>
                          <w:p w14:paraId="7FC5D2BE"/>
                          <w:p w14:paraId="274E674B"/>
                          <w:p w14:paraId="5891A548">
                            <w:pPr>
                              <w:jc w:val="center"/>
                            </w:pPr>
                            <w:r>
                              <w:rPr>
                                <w:rFonts w:hint="eastAsia" w:asciiTheme="minorEastAsia" w:hAnsiTheme="minorEastAsia" w:eastAsiaTheme="minorEastAsia" w:cstheme="minorEastAsia"/>
                                <w:sz w:val="21"/>
                                <w:szCs w:val="21"/>
                              </w:rPr>
                              <w:t>授权</w:t>
                            </w:r>
                            <w:r>
                              <w:rPr>
                                <w:rFonts w:hint="eastAsia" w:asciiTheme="minorEastAsia" w:hAnsiTheme="minorEastAsia" w:eastAsiaTheme="minorEastAsia" w:cstheme="minorEastAsia"/>
                                <w:sz w:val="21"/>
                                <w:szCs w:val="21"/>
                                <w:lang w:val="en-US" w:eastAsia="zh-CN"/>
                              </w:rPr>
                              <w:t>人</w:t>
                            </w:r>
                            <w:r>
                              <w:rPr>
                                <w:rFonts w:hint="eastAsia"/>
                              </w:rPr>
                              <w:t>身份证正反面复印件</w:t>
                            </w:r>
                          </w:p>
                        </w:txbxContent>
                      </wps:txbx>
                      <wps:bodyPr rot="0" vert="horz" wrap="square" lIns="91440" tIns="45720" rIns="91440" bIns="45720" anchor="t" anchorCtr="0" upright="1">
                        <a:noAutofit/>
                      </wps:bodyPr>
                    </wps:wsp>
                  </a:graphicData>
                </a:graphic>
              </wp:anchor>
            </w:drawing>
          </mc:Choice>
          <mc:Fallback>
            <w:pict>
              <v:shape id="自选图形 2" o:spid="_x0000_s1026" o:spt="176" type="#_x0000_t176" style="position:absolute;left:0pt;margin-left:16.6pt;margin-top:0.1pt;height:180.65pt;width:388.5pt;z-index:251661312;mso-width-relative:page;mso-height-relative:page;" fillcolor="#FFFFFF" filled="t" stroked="t" coordsize="21600,21600" o:gfxdata="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E2+frPUAAAABwEA&#10;AA8AAAAAAAAAAQAgAAAAIgAAAGRycy9kb3ducmV2LnhtbFBLAQIUABQAAAAIAIdO4kAZT6w0VwIA&#10;AKQEAAAOAAAAAAAAAAEAIAAAACMBAABkcnMvZTJvRG9jLnhtbFBLBQYAAAAABgAGAFkBAADsBQAA&#10;AAA=&#10;">
                <v:fill on="t" focussize="0,0"/>
                <v:stroke color="#000000" miterlimit="8" joinstyle="miter"/>
                <v:imagedata o:title=""/>
                <o:lock v:ext="edit" aspectratio="f"/>
                <v:textbox>
                  <w:txbxContent>
                    <w:p w14:paraId="7FC5D2BE"/>
                    <w:p w14:paraId="274E674B"/>
                    <w:p w14:paraId="5891A548">
                      <w:pPr>
                        <w:jc w:val="center"/>
                      </w:pPr>
                      <w:r>
                        <w:rPr>
                          <w:rFonts w:hint="eastAsia" w:asciiTheme="minorEastAsia" w:hAnsiTheme="minorEastAsia" w:eastAsiaTheme="minorEastAsia" w:cstheme="minorEastAsia"/>
                          <w:sz w:val="21"/>
                          <w:szCs w:val="21"/>
                        </w:rPr>
                        <w:t>授权</w:t>
                      </w:r>
                      <w:r>
                        <w:rPr>
                          <w:rFonts w:hint="eastAsia" w:asciiTheme="minorEastAsia" w:hAnsiTheme="minorEastAsia" w:eastAsiaTheme="minorEastAsia" w:cstheme="minorEastAsia"/>
                          <w:sz w:val="21"/>
                          <w:szCs w:val="21"/>
                          <w:lang w:val="en-US" w:eastAsia="zh-CN"/>
                        </w:rPr>
                        <w:t>人</w:t>
                      </w:r>
                      <w:r>
                        <w:rPr>
                          <w:rFonts w:hint="eastAsia"/>
                        </w:rPr>
                        <w:t>身份证正反面复印件</w:t>
                      </w:r>
                    </w:p>
                  </w:txbxContent>
                </v:textbox>
              </v:shape>
            </w:pict>
          </mc:Fallback>
        </mc:AlternateContent>
      </w:r>
    </w:p>
    <w:p w14:paraId="7BB6F9F7">
      <w:pPr>
        <w:rPr>
          <w:color w:val="000000" w:themeColor="text1"/>
          <w:highlight w:val="none"/>
          <w14:textFill>
            <w14:solidFill>
              <w14:schemeClr w14:val="tx1"/>
            </w14:solidFill>
          </w14:textFill>
        </w:rPr>
      </w:pPr>
    </w:p>
    <w:p w14:paraId="4B046B1A">
      <w:pPr>
        <w:rPr>
          <w:color w:val="000000" w:themeColor="text1"/>
          <w:highlight w:val="none"/>
          <w14:textFill>
            <w14:solidFill>
              <w14:schemeClr w14:val="tx1"/>
            </w14:solidFill>
          </w14:textFill>
        </w:rPr>
      </w:pPr>
    </w:p>
    <w:p w14:paraId="5387BD6C">
      <w:pPr>
        <w:rPr>
          <w:color w:val="000000" w:themeColor="text1"/>
          <w:highlight w:val="none"/>
          <w14:textFill>
            <w14:solidFill>
              <w14:schemeClr w14:val="tx1"/>
            </w14:solidFill>
          </w14:textFill>
        </w:rPr>
      </w:pPr>
    </w:p>
    <w:p w14:paraId="0792B6E5">
      <w:pPr>
        <w:rPr>
          <w:color w:val="000000" w:themeColor="text1"/>
          <w:highlight w:val="none"/>
          <w14:textFill>
            <w14:solidFill>
              <w14:schemeClr w14:val="tx1"/>
            </w14:solidFill>
          </w14:textFill>
        </w:rPr>
      </w:pPr>
    </w:p>
    <w:p w14:paraId="7855A2DE">
      <w:pPr>
        <w:rPr>
          <w:color w:val="000000" w:themeColor="text1"/>
          <w:highlight w:val="none"/>
          <w14:textFill>
            <w14:solidFill>
              <w14:schemeClr w14:val="tx1"/>
            </w14:solidFill>
          </w14:textFill>
        </w:rPr>
      </w:pPr>
    </w:p>
    <w:p w14:paraId="2371E52F">
      <w:pPr>
        <w:rPr>
          <w:color w:val="000000" w:themeColor="text1"/>
          <w:highlight w:val="none"/>
          <w14:textFill>
            <w14:solidFill>
              <w14:schemeClr w14:val="tx1"/>
            </w14:solidFill>
          </w14:textFill>
        </w:rPr>
      </w:pPr>
    </w:p>
    <w:p w14:paraId="56CF39DD">
      <w:pPr>
        <w:rPr>
          <w:color w:val="000000" w:themeColor="text1"/>
          <w:highlight w:val="none"/>
          <w14:textFill>
            <w14:solidFill>
              <w14:schemeClr w14:val="tx1"/>
            </w14:solidFill>
          </w14:textFill>
        </w:rPr>
      </w:pPr>
    </w:p>
    <w:p w14:paraId="4CB46427">
      <w:pPr>
        <w:rPr>
          <w:color w:val="000000" w:themeColor="text1"/>
          <w:highlight w:val="none"/>
          <w14:textFill>
            <w14:solidFill>
              <w14:schemeClr w14:val="tx1"/>
            </w14:solidFill>
          </w14:textFill>
        </w:rPr>
      </w:pPr>
    </w:p>
    <w:p w14:paraId="151D4935">
      <w:pPr>
        <w:rPr>
          <w:color w:val="000000" w:themeColor="text1"/>
          <w:highlight w:val="none"/>
          <w14:textFill>
            <w14:solidFill>
              <w14:schemeClr w14:val="tx1"/>
            </w14:solidFill>
          </w14:textFill>
        </w:rPr>
      </w:pPr>
    </w:p>
    <w:p w14:paraId="63198AFD">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99" w:name="_Toc13717"/>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格式八：投标保证金</w:t>
      </w:r>
      <w:bookmarkEnd w:id="99"/>
    </w:p>
    <w:p w14:paraId="04F03F9C">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BBA277D">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bCs w:val="0"/>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28"/>
          <w:szCs w:val="28"/>
          <w:highlight w:val="none"/>
          <w14:textFill>
            <w14:solidFill>
              <w14:schemeClr w14:val="tx1"/>
            </w14:solidFill>
          </w14:textFill>
        </w:rPr>
        <w:t>投标保证金</w:t>
      </w:r>
    </w:p>
    <w:p w14:paraId="11ED823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采购文件要求递交投标保证金的，投标人应在此提供保证金的凭证的复印件。</w:t>
      </w:r>
    </w:p>
    <w:p w14:paraId="598F2FE7">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2DCD9D88">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60358DB">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E2AED59">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7FD137E">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00" w:name="_Toc15494"/>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格式九：提供具有独立承担民事责任的能力的证明材料</w:t>
      </w:r>
      <w:bookmarkEnd w:id="100"/>
    </w:p>
    <w:p w14:paraId="16417D35">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69BB1581">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提供具有独立承担民事责任的能力的证明材料</w:t>
      </w:r>
    </w:p>
    <w:p w14:paraId="4E89DF67">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4465B968">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71D670B">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EE51105">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D41B205">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01" w:name="_Toc14243"/>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格式十：资格性审查要求的其他资质证明文件</w:t>
      </w:r>
      <w:bookmarkEnd w:id="101"/>
    </w:p>
    <w:p w14:paraId="7A85E10D">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29E0ADD9">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资格性审查要求的其他资质证明文件</w:t>
      </w:r>
    </w:p>
    <w:p w14:paraId="55518FA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具有履行合同所必需的设备和专业技术能力</w:t>
      </w:r>
    </w:p>
    <w:p w14:paraId="75DBADCE">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6FDFBC05">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DEB6BD1">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CB4CD71">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4FDF2BB">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14561CF">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3C8E6B0">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BEDCDD0">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F99EEBA">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8212F19">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02" w:name="_Toc26800"/>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格式十一：承诺函</w:t>
      </w:r>
      <w:bookmarkEnd w:id="102"/>
    </w:p>
    <w:p w14:paraId="70BE8B75">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67F51F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（对于采购需求写明“提供承诺”的条款，供应商可参照以下格式提供承诺）</w:t>
      </w:r>
    </w:p>
    <w:p w14:paraId="5A558EDB">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承诺函</w:t>
      </w:r>
    </w:p>
    <w:p w14:paraId="38048E3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致：</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阳江市阳东区合山镇第二小学</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p>
    <w:p w14:paraId="7D389E7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对于__________________项目（项目编号：__________________），我方郑重承诺如下：</w:t>
      </w:r>
    </w:p>
    <w:p w14:paraId="31599EB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如中标/成交，我方承诺严格落实采购文件以下条款：(建议逐条复制采购文件相关条款原文)</w:t>
      </w:r>
    </w:p>
    <w:p w14:paraId="6BC7486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（一）星号条款</w:t>
      </w:r>
    </w:p>
    <w:p w14:paraId="560F0C6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p w14:paraId="6D3F2993">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p w14:paraId="075A431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p w14:paraId="275C3E6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3A21091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（二）三角号条款</w:t>
      </w:r>
    </w:p>
    <w:p w14:paraId="3D7536E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p w14:paraId="2E4AAB3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p w14:paraId="2C2A62E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p w14:paraId="163426F7">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120672F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（三）非星号、非三角号条款</w:t>
      </w:r>
    </w:p>
    <w:p w14:paraId="7EE59C7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p w14:paraId="3322B15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p w14:paraId="4CDE3BD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p w14:paraId="23873C0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br w:type="textWrapping"/>
      </w:r>
    </w:p>
    <w:p w14:paraId="3A9F369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特此承诺。</w:t>
      </w:r>
    </w:p>
    <w:p w14:paraId="3B6C0169">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供应商名称（盖章）：__________________</w:t>
      </w:r>
    </w:p>
    <w:p w14:paraId="417C9801">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5895CC18">
      <w:pP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br w:type="page"/>
      </w:r>
    </w:p>
    <w:p w14:paraId="7DF92050">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103" w:name="_Toc14285"/>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格式十二：中小企业声明函</w:t>
      </w:r>
      <w:bookmarkEnd w:id="103"/>
    </w:p>
    <w:p w14:paraId="44FF4C1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36BDDD9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中小企业声明函（所投产品制造商为中小企业时提交本函，所属行业应符合采购文件中明确的本项目所属行业）</w:t>
      </w:r>
    </w:p>
    <w:p w14:paraId="425EE5C5">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中小企业声明函（货物）</w:t>
      </w:r>
    </w:p>
    <w:p w14:paraId="72A3B67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本公司（联合体）郑重声明，根据《政府采购促进中小企业发展管理办法》（财库﹝2020﹞46 号）的规定，本公司（联合体）参加</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（单位名称）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（项目名称）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采购活动，提供的货物全部由符合政策要求的中小企业制造。相关企业（含联合体中的中小企业、签订分包意向协议的中小企业）的具体情况如下：</w:t>
      </w:r>
    </w:p>
    <w:p w14:paraId="5552D8E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（标的名称）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（采购文件中明确的所属行业）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行业；制造商为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（企业名称）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，从业人员__________________人，营业收入为__________________万元，资产总额为__________________万元1，属于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（中型企业、小型企业、微型企业）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43B9C54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（标的名称）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（采购文件中明确的所属行业）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行业；制造商为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（企业名称）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，从业人员__________________人，营业收入为__________________万元，资产总额为__________________万元1，属于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（中型企业、小型企业、微型企业）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65F6E0D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1602955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以上企业，不属于大企业的分支机构，不存在控股股东为大企业的情形，也不存在与大企业的负责人为同一人的情形。</w:t>
      </w:r>
    </w:p>
    <w:p w14:paraId="6F4AC98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本企业对上述声明内容的真实性负责。如有虚假，将依法承担相应责任。</w:t>
      </w:r>
    </w:p>
    <w:p w14:paraId="5460B0F3">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企业名称（盖章）：__________________</w:t>
      </w:r>
    </w:p>
    <w:p w14:paraId="7B08A8D2">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2CF64D9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1：从业人员、营业收入、资产总额填报上一年度数据，无上一年度数据的新成立企业可不填报</w:t>
      </w:r>
    </w:p>
    <w:p w14:paraId="44FA9B5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14:paraId="5C95CF7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6DEE2D8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中小企业声明函（承建本项目工程为中小企业或者承接本项目服务为中小企业时提交本函，所属行业应符合采购文件中明确的本项目所属行业）</w:t>
      </w:r>
    </w:p>
    <w:p w14:paraId="7C729F3E">
      <w:pP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pPr>
    </w:p>
    <w:p w14:paraId="2A3DABF7">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中小企业声明函（工程、服务）</w:t>
      </w:r>
    </w:p>
    <w:p w14:paraId="400D572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本公司（联合体）郑重声明，根据《政府采购促进中小企业发展管理办法》（财库﹝2020﹞46 号）的规定，本公司（联合体）参加</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（单位名称）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（项目名称）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采购活动，工程的施工单位全部为符合政策要求的中小企业（或者：服务全部由符合政策要求的中小企业承接）。相关企业（含联合体中的中小企业、签订分包意向协议的中小企业）的具体情况如下：</w:t>
      </w:r>
    </w:p>
    <w:p w14:paraId="622102B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（标的名称）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（采购文件中明确的所属行业）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行业；承建（承接）企业为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（企业名称）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，从业人员__________________人，营业收入为__________________万元，资产总额为__________________万元1，属于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（中型企业、小型企业、微型企业）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5BAAA3C9">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（标的名称）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（采购文件中明确的所属行业）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行业；承建（承接）企业为</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（企业名称）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，从业人员__________________人，营业收入为__________________万元，资产总额为__________________万元1，属于</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（中型企业、小型企业、微型企业）</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48F73FF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3231A06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以上企业，不属于大企业的分支机构，不存在控股股东为大企业的情形，也不存在与大企业的负责人为同一人的情形。</w:t>
      </w:r>
    </w:p>
    <w:p w14:paraId="1F8A43B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本企业对上述声明内容的真实性负责。如有虚假，将依法承担相应责任。</w:t>
      </w:r>
    </w:p>
    <w:p w14:paraId="34AF79E3">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企业名称（盖章）：__________________</w:t>
      </w:r>
    </w:p>
    <w:p w14:paraId="422B80B7">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405E062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1：从业人员、营业收入、资产总额填报上一年度数据，无上一年度数据的新成立企业可不填报。</w:t>
      </w:r>
    </w:p>
    <w:p w14:paraId="5001642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2：投标人应当自行核实是否属于小微企业，并认真填写声明函，若有虚假将追究其责任。</w:t>
      </w:r>
    </w:p>
    <w:p w14:paraId="5894684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50F9704F">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B36F547">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88F006D">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FF7E5F7">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6EB418F">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6082600">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04" w:name="_Toc1880"/>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格式十三：监狱企业</w:t>
      </w:r>
      <w:bookmarkEnd w:id="104"/>
    </w:p>
    <w:p w14:paraId="24D97FEC">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77BB8C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1124201E">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监狱企业</w:t>
      </w:r>
    </w:p>
    <w:p w14:paraId="6AD5909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提供由监狱管理局、戒毒管理局（含新疆生产建设兵团）出具的属于监狱企业的证明文件。</w:t>
      </w:r>
    </w:p>
    <w:p w14:paraId="67F2631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45CC167D">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EF8E0E2">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92C4D41">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518AAFF">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D5D3707">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BB7DBDB">
      <w:pP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br w:type="page"/>
      </w:r>
    </w:p>
    <w:p w14:paraId="356BCD42">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05" w:name="_Toc30469"/>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格式十四：残疾人福利性单位声明函</w:t>
      </w:r>
      <w:bookmarkEnd w:id="105"/>
    </w:p>
    <w:p w14:paraId="04DBCB83">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26C1E8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5766B78C">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残疾人福利性单位声明函</w:t>
      </w:r>
    </w:p>
    <w:p w14:paraId="6FB004D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64A93A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本单位对上述声明的真实性负责。如有虚假，将依法承担相应责任。</w:t>
      </w:r>
    </w:p>
    <w:p w14:paraId="674C9A9F">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单位名称（盖章）：__________________</w:t>
      </w:r>
    </w:p>
    <w:p w14:paraId="0641F506">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695A600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注：本函未填写或未勾选视作未做声明。</w:t>
      </w:r>
    </w:p>
    <w:p w14:paraId="0AE0D74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28D8F166">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D53AB39">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EB07A2E">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C14DBA1">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192E466">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BAC5C1F">
      <w:pP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br w:type="page"/>
      </w:r>
    </w:p>
    <w:p w14:paraId="71AE8D3D">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06" w:name="_Toc3651"/>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格式十五：联合体共同投标协议书</w:t>
      </w:r>
      <w:bookmarkEnd w:id="106"/>
    </w:p>
    <w:p w14:paraId="36149AF3">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5B84E5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1EF75AE4">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联合体共同投标协议书</w:t>
      </w:r>
    </w:p>
    <w:p w14:paraId="5749025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立约方：</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（甲公司全称）</w:t>
      </w:r>
    </w:p>
    <w:p w14:paraId="48C04FB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（乙公司全称）</w:t>
      </w:r>
    </w:p>
    <w:p w14:paraId="1D4C12A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（……公司全称）</w:t>
      </w:r>
    </w:p>
    <w:p w14:paraId="0986236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（甲公司全称）、（乙公司全称）、（……公司全称）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自愿组成联合体，以一个投标人的身份共同参加（采购项目名称）（采购项目编号）的响应活动。经各方充分协商一致，就项目的响应和合同实施阶段的有关事务协商一致订立协议如下：</w:t>
      </w:r>
    </w:p>
    <w:p w14:paraId="208FB81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一、联合体各方关系</w:t>
      </w:r>
    </w:p>
    <w:p w14:paraId="6779C30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（甲公司全称）、（乙公司全称）、（……公司全称）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共同组成一个联合体，以一个投标人的身份共同参加本项目的响应。（甲公司全称）、（乙公司全称）、（……公司全称）作为联合体成员，若中标，联合体各方共同与（采购人）签订政府采购合同。</w:t>
      </w:r>
    </w:p>
    <w:p w14:paraId="60746239">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二、联合体内部有关事项约定如下：</w:t>
      </w:r>
    </w:p>
    <w:p w14:paraId="7038DC7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1.（甲公司全称）作为联合体的牵头单位，代表联合体双方负责投标和合同实施阶段的主办、协调工作。</w:t>
      </w:r>
    </w:p>
    <w:p w14:paraId="222C44F3">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2.联合体将严格按照文件的各项要求，递交投标文件，切实执行一切合同文件，共同承担合同规定的一切义务和责任，同时按照内部职责的划分，承担自身所负的责任和风险，在法律上承担连带责任。</w:t>
      </w:r>
    </w:p>
    <w:p w14:paraId="32264A6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3.如果本联合体中标，</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（甲公司全称）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负责本项目___________部分，</w:t>
      </w:r>
      <w:r>
        <w:rPr>
          <w:rFonts w:hint="eastAsia" w:asciiTheme="minorEastAsia" w:hAnsiTheme="minorEastAsia" w:eastAsiaTheme="minorEastAsia" w:cstheme="minorEastAsia"/>
          <w:color w:val="000000" w:themeColor="text1"/>
          <w:sz w:val="21"/>
          <w:szCs w:val="21"/>
          <w:highlight w:val="none"/>
          <w:u w:val="single"/>
          <w14:textFill>
            <w14:solidFill>
              <w14:schemeClr w14:val="tx1"/>
            </w14:solidFill>
          </w14:textFill>
        </w:rPr>
        <w:t>（乙公司全称）</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负责本项目___________部分。</w:t>
      </w:r>
    </w:p>
    <w:p w14:paraId="161BCDA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4.如中标，联合体各方共同与（采购人）签订合同书，并就中标项目向采购人负责有连带的和各自的法律责任；</w:t>
      </w:r>
    </w:p>
    <w:p w14:paraId="2CF18DB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5.联合体成员（公司全称）为（请填写：小型、微型）企业，将承担合同总金额_____%的工作内容（联合体成员中有小型、微型企业时适用）。</w:t>
      </w:r>
    </w:p>
    <w:p w14:paraId="0EE5278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14:paraId="2FA3888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四、联合体如因违约过失责任而导致采购人经济损失或被索赔时，本联合体任何一方均同意无条件优先清偿采购人的一切债务和经济赔偿。</w:t>
      </w:r>
    </w:p>
    <w:p w14:paraId="0727F6A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五、本协议在自签署之日起生效，有效期内有效，如获中标资格，合同有效期延续至合同履行完毕之日。</w:t>
      </w:r>
    </w:p>
    <w:p w14:paraId="77B0297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六、本协议书正本一式_____份，随投标文件装订_____份，送采购人_____份，联合体成员各一份；副本一式_____份，联合体成员各执_____份。</w:t>
      </w:r>
    </w:p>
    <w:p w14:paraId="3E863059">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甲公司全称：____（盖章）________，乙公司全称：____（盖章）________，……公司全称：____（盖章）________，</w:t>
      </w:r>
    </w:p>
    <w:p w14:paraId="08A5D7E2">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____年____月 ____日，____年____月____日，____年____月____日</w:t>
      </w:r>
    </w:p>
    <w:p w14:paraId="02CA499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注：1．联合响应时需签本协议，联合体各方成员应在本协议上共同盖章确认。</w:t>
      </w:r>
    </w:p>
    <w:p w14:paraId="4396A63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2．本协议内容不得擅自修改。此协议将作为签订合同的附件之一。</w:t>
      </w:r>
    </w:p>
    <w:p w14:paraId="78CD737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1ED75AE7">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729BEBD">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8E2A4DB">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087A5F5">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9CE9E8A">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424E0D6">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7BB1B4B">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84210AB">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3A69795">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897369C">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B89E845">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6C6368C">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A69C872">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467E7D2">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F641646">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7826FEC">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3E76279">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C1FDC13">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AF0EA2D">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07" w:name="_Toc21035"/>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格式十六：投标人业绩情况表</w:t>
      </w:r>
      <w:bookmarkEnd w:id="107"/>
    </w:p>
    <w:p w14:paraId="6B5970F8">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07122D5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3070A8D9">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投标人业绩情况表</w:t>
      </w:r>
    </w:p>
    <w:tbl>
      <w:tblPr>
        <w:tblStyle w:val="16"/>
        <w:tblW w:w="9071"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511"/>
        <w:gridCol w:w="1512"/>
        <w:gridCol w:w="1512"/>
        <w:gridCol w:w="1512"/>
        <w:gridCol w:w="1512"/>
        <w:gridCol w:w="1512"/>
      </w:tblGrid>
      <w:tr w14:paraId="5A7D1C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top"/>
          </w:tcPr>
          <w:p w14:paraId="2C14C41F">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1384" w:type="dxa"/>
            <w:vAlign w:val="top"/>
          </w:tcPr>
          <w:p w14:paraId="03A7CA0C">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客户名称</w:t>
            </w:r>
          </w:p>
        </w:tc>
        <w:tc>
          <w:tcPr>
            <w:tcW w:w="1384" w:type="dxa"/>
            <w:vAlign w:val="top"/>
          </w:tcPr>
          <w:p w14:paraId="0510A9CE">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项目名称及合同金额（万元）</w:t>
            </w:r>
          </w:p>
        </w:tc>
        <w:tc>
          <w:tcPr>
            <w:tcW w:w="1384" w:type="dxa"/>
            <w:vAlign w:val="top"/>
          </w:tcPr>
          <w:p w14:paraId="45C6348A">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签订合同时间</w:t>
            </w:r>
          </w:p>
        </w:tc>
        <w:tc>
          <w:tcPr>
            <w:tcW w:w="1384" w:type="dxa"/>
            <w:vAlign w:val="top"/>
          </w:tcPr>
          <w:p w14:paraId="671566C7">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竣工验收报告时间</w:t>
            </w:r>
          </w:p>
        </w:tc>
        <w:tc>
          <w:tcPr>
            <w:tcW w:w="1384" w:type="dxa"/>
            <w:vAlign w:val="top"/>
          </w:tcPr>
          <w:p w14:paraId="7DA85975">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联系人及电话</w:t>
            </w:r>
          </w:p>
        </w:tc>
      </w:tr>
      <w:tr w14:paraId="5F812B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top"/>
          </w:tcPr>
          <w:p w14:paraId="15DA551C">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1384" w:type="dxa"/>
            <w:vAlign w:val="top"/>
          </w:tcPr>
          <w:p w14:paraId="7CD97DB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4DD9B77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5B72D09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5415082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39E1D0A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10E8AB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top"/>
          </w:tcPr>
          <w:p w14:paraId="2761FC39">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w:t>
            </w:r>
          </w:p>
        </w:tc>
        <w:tc>
          <w:tcPr>
            <w:tcW w:w="1384" w:type="dxa"/>
            <w:vAlign w:val="top"/>
          </w:tcPr>
          <w:p w14:paraId="0899256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5ADE0D0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0BAE9BC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0802E08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6063758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5006AC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top"/>
          </w:tcPr>
          <w:p w14:paraId="24D28C7B">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3</w:t>
            </w:r>
          </w:p>
        </w:tc>
        <w:tc>
          <w:tcPr>
            <w:tcW w:w="1384" w:type="dxa"/>
            <w:vAlign w:val="top"/>
          </w:tcPr>
          <w:p w14:paraId="4558FF3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326189D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3FA2A6B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67ECB39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09B945B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267B5A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top"/>
          </w:tcPr>
          <w:p w14:paraId="107F910E">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4</w:t>
            </w:r>
          </w:p>
        </w:tc>
        <w:tc>
          <w:tcPr>
            <w:tcW w:w="1384" w:type="dxa"/>
            <w:vAlign w:val="top"/>
          </w:tcPr>
          <w:p w14:paraId="062579A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12A4C4A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2596912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48B58F4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1BD1BC8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671725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top"/>
          </w:tcPr>
          <w:p w14:paraId="5C64A5DB">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tc>
        <w:tc>
          <w:tcPr>
            <w:tcW w:w="1384" w:type="dxa"/>
            <w:vAlign w:val="top"/>
          </w:tcPr>
          <w:p w14:paraId="37A4D09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2ECBCE6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4D9D2E6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4DBAD3F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384" w:type="dxa"/>
            <w:vAlign w:val="top"/>
          </w:tcPr>
          <w:p w14:paraId="522D5F0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7AF1758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根据上述业绩情况，按招标文件要求附销售或服务合同复印件及评审标准要求的证明材料。</w:t>
      </w:r>
    </w:p>
    <w:p w14:paraId="779783F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5E2C0687">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9F21742">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4B11C1D">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B7BA136">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6EFED6B">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59669D7">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A740952">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3F99991">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BB2EF35">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660BCFD">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41E95DD">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A1AAA9D">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62E7607">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88E81C9">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7561B17">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546BB51">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09BFBB2">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08" w:name="_Toc29754"/>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格式十七：《技术和服务要求响应表》</w:t>
      </w:r>
      <w:bookmarkEnd w:id="108"/>
    </w:p>
    <w:p w14:paraId="7D98AD53">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1B75D11">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《技术和服务要求响应表》</w:t>
      </w:r>
    </w:p>
    <w:tbl>
      <w:tblPr>
        <w:tblStyle w:val="16"/>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07"/>
        <w:gridCol w:w="1008"/>
        <w:gridCol w:w="1008"/>
        <w:gridCol w:w="1008"/>
        <w:gridCol w:w="1008"/>
        <w:gridCol w:w="1008"/>
        <w:gridCol w:w="1008"/>
        <w:gridCol w:w="1008"/>
        <w:gridCol w:w="1008"/>
      </w:tblGrid>
      <w:tr w14:paraId="10A667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6A05AAE6">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923" w:type="dxa"/>
            <w:vAlign w:val="top"/>
          </w:tcPr>
          <w:p w14:paraId="0260620A">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标的名称</w:t>
            </w:r>
          </w:p>
        </w:tc>
        <w:tc>
          <w:tcPr>
            <w:tcW w:w="923" w:type="dxa"/>
            <w:vAlign w:val="top"/>
          </w:tcPr>
          <w:p w14:paraId="5E5058CC">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参数性质</w:t>
            </w:r>
          </w:p>
        </w:tc>
        <w:tc>
          <w:tcPr>
            <w:tcW w:w="923" w:type="dxa"/>
            <w:vAlign w:val="top"/>
          </w:tcPr>
          <w:p w14:paraId="4A01D66F">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采购文件规定的技术和服务要求</w:t>
            </w:r>
          </w:p>
        </w:tc>
        <w:tc>
          <w:tcPr>
            <w:tcW w:w="923" w:type="dxa"/>
            <w:vAlign w:val="top"/>
          </w:tcPr>
          <w:p w14:paraId="11344E41">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投标文件响应的具体内容</w:t>
            </w:r>
          </w:p>
        </w:tc>
        <w:tc>
          <w:tcPr>
            <w:tcW w:w="923" w:type="dxa"/>
            <w:vAlign w:val="top"/>
          </w:tcPr>
          <w:p w14:paraId="69D8CF6D">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型号</w:t>
            </w:r>
          </w:p>
        </w:tc>
        <w:tc>
          <w:tcPr>
            <w:tcW w:w="923" w:type="dxa"/>
            <w:vAlign w:val="top"/>
          </w:tcPr>
          <w:p w14:paraId="420F6436">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是否偏离</w:t>
            </w:r>
          </w:p>
        </w:tc>
        <w:tc>
          <w:tcPr>
            <w:tcW w:w="923" w:type="dxa"/>
            <w:vAlign w:val="top"/>
          </w:tcPr>
          <w:p w14:paraId="48F45EC5">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证明文件所在位置</w:t>
            </w:r>
          </w:p>
        </w:tc>
        <w:tc>
          <w:tcPr>
            <w:tcW w:w="923" w:type="dxa"/>
            <w:vAlign w:val="top"/>
          </w:tcPr>
          <w:p w14:paraId="01787CEF">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备注</w:t>
            </w:r>
          </w:p>
        </w:tc>
      </w:tr>
      <w:tr w14:paraId="1C0C91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652B1FE9">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923" w:type="dxa"/>
            <w:vAlign w:val="top"/>
          </w:tcPr>
          <w:p w14:paraId="7D07B78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3CD64CE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170990C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3004876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5A7EF2F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64F86A5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00C8923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291CAD6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525EB7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18CF1E14">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tc>
        <w:tc>
          <w:tcPr>
            <w:tcW w:w="923" w:type="dxa"/>
            <w:vAlign w:val="top"/>
          </w:tcPr>
          <w:p w14:paraId="0EE8014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347E0BB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25C6A05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39F0699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9065C0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121095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60BB24A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4698CE4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161742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71C4FDA8">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tc>
        <w:tc>
          <w:tcPr>
            <w:tcW w:w="923" w:type="dxa"/>
            <w:vAlign w:val="top"/>
          </w:tcPr>
          <w:p w14:paraId="0F61C6F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19139D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401B6DB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A8E418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8ACCE3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05A4790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0DEE821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165BE83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7859EF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40581F7D">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w:t>
            </w:r>
          </w:p>
        </w:tc>
        <w:tc>
          <w:tcPr>
            <w:tcW w:w="923" w:type="dxa"/>
            <w:vAlign w:val="top"/>
          </w:tcPr>
          <w:p w14:paraId="67CE6F3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087B92C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6E5ECB6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29C67A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2F375DA1">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39064D6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3084A6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2B4492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43FA3D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74D94077">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w:t>
            </w:r>
          </w:p>
        </w:tc>
        <w:tc>
          <w:tcPr>
            <w:tcW w:w="923" w:type="dxa"/>
            <w:vAlign w:val="top"/>
          </w:tcPr>
          <w:p w14:paraId="0F06BAD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4AFEABE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38B0963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408EEAB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FECD5B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63FCAF8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1E1C629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4744A80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50BED8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2B05962F">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w:t>
            </w:r>
          </w:p>
        </w:tc>
        <w:tc>
          <w:tcPr>
            <w:tcW w:w="923" w:type="dxa"/>
            <w:vAlign w:val="top"/>
          </w:tcPr>
          <w:p w14:paraId="16E7607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53AB49F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23E243D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60FD194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5A0480E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6D5EC8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5D9CCA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259214E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6F6A5B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923" w:type="dxa"/>
            <w:vAlign w:val="top"/>
          </w:tcPr>
          <w:p w14:paraId="63D2AC33">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tc>
        <w:tc>
          <w:tcPr>
            <w:tcW w:w="923" w:type="dxa"/>
            <w:vAlign w:val="top"/>
          </w:tcPr>
          <w:p w14:paraId="108A934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15D8A33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738B2A9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4D761B2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176DC59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18E16B5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2E66744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923" w:type="dxa"/>
            <w:vAlign w:val="top"/>
          </w:tcPr>
          <w:p w14:paraId="23E8E5C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46D21393">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说明：</w:t>
      </w:r>
    </w:p>
    <w:p w14:paraId="1838461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14:paraId="2CEEA00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14:paraId="5D20F8B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 “是否偏离”项下应按下列规定填写：优于的，填写“正偏离”；符合的，填写“无偏离”；低于的，填写“负偏离”。</w:t>
      </w:r>
    </w:p>
    <w:p w14:paraId="03E36E3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4.“备注”处可填写偏离情况的说明。</w:t>
      </w:r>
    </w:p>
    <w:p w14:paraId="3EC6958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1C1A012D">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C230306">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09" w:name="_Toc25766"/>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格式十八：《商务条件响应表》</w:t>
      </w:r>
      <w:bookmarkEnd w:id="109"/>
    </w:p>
    <w:p w14:paraId="2E8288C5">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5C31EF5">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《商务条件响应表》</w:t>
      </w:r>
    </w:p>
    <w:tbl>
      <w:tblPr>
        <w:tblStyle w:val="16"/>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95"/>
        <w:gridCol w:w="1296"/>
        <w:gridCol w:w="1296"/>
        <w:gridCol w:w="1296"/>
        <w:gridCol w:w="1296"/>
        <w:gridCol w:w="1296"/>
        <w:gridCol w:w="1296"/>
      </w:tblGrid>
      <w:tr w14:paraId="73E7B2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3F69855D">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序号</w:t>
            </w:r>
          </w:p>
        </w:tc>
        <w:tc>
          <w:tcPr>
            <w:tcW w:w="1187" w:type="dxa"/>
            <w:vAlign w:val="top"/>
          </w:tcPr>
          <w:p w14:paraId="641AF8D2">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参数性质</w:t>
            </w:r>
          </w:p>
        </w:tc>
        <w:tc>
          <w:tcPr>
            <w:tcW w:w="1187" w:type="dxa"/>
            <w:vAlign w:val="top"/>
          </w:tcPr>
          <w:p w14:paraId="7B189195">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采购文件规定的商务条件</w:t>
            </w:r>
          </w:p>
        </w:tc>
        <w:tc>
          <w:tcPr>
            <w:tcW w:w="1187" w:type="dxa"/>
            <w:vAlign w:val="top"/>
          </w:tcPr>
          <w:p w14:paraId="56D6A0F0">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投标文件响应的具体内容</w:t>
            </w:r>
          </w:p>
        </w:tc>
        <w:tc>
          <w:tcPr>
            <w:tcW w:w="1187" w:type="dxa"/>
            <w:vAlign w:val="top"/>
          </w:tcPr>
          <w:p w14:paraId="17504B6B">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是否偏离</w:t>
            </w:r>
          </w:p>
        </w:tc>
        <w:tc>
          <w:tcPr>
            <w:tcW w:w="1187" w:type="dxa"/>
            <w:vAlign w:val="top"/>
          </w:tcPr>
          <w:p w14:paraId="7F05847A">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证明文件所在位置</w:t>
            </w:r>
          </w:p>
        </w:tc>
        <w:tc>
          <w:tcPr>
            <w:tcW w:w="1187" w:type="dxa"/>
            <w:vAlign w:val="top"/>
          </w:tcPr>
          <w:p w14:paraId="461AC48A">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备注</w:t>
            </w:r>
          </w:p>
        </w:tc>
      </w:tr>
      <w:tr w14:paraId="3E93BE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7D67B32F">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w:t>
            </w:r>
          </w:p>
        </w:tc>
        <w:tc>
          <w:tcPr>
            <w:tcW w:w="1187" w:type="dxa"/>
            <w:vAlign w:val="top"/>
          </w:tcPr>
          <w:p w14:paraId="46B8EDE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31CF0FB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3AF30A7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1249F3E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5009429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3082B00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040A83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22F572F8">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w:t>
            </w:r>
          </w:p>
        </w:tc>
        <w:tc>
          <w:tcPr>
            <w:tcW w:w="1187" w:type="dxa"/>
            <w:vAlign w:val="top"/>
          </w:tcPr>
          <w:p w14:paraId="391E69F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1FF04FE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19FEE68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50542A6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4885288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0A47E17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20DEC0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75B8F5DE">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w:t>
            </w:r>
          </w:p>
        </w:tc>
        <w:tc>
          <w:tcPr>
            <w:tcW w:w="1187" w:type="dxa"/>
            <w:vAlign w:val="top"/>
          </w:tcPr>
          <w:p w14:paraId="18BF886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11ADC51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F88A49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318EA2D3">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1C54C9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D2F658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5C516C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62383257">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w:t>
            </w:r>
          </w:p>
        </w:tc>
        <w:tc>
          <w:tcPr>
            <w:tcW w:w="1187" w:type="dxa"/>
            <w:vAlign w:val="top"/>
          </w:tcPr>
          <w:p w14:paraId="5D9E275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08FD81A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34C5D9E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1A3C82A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CF1CCE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53FF1BF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3F966B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4D95A4CE">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w:t>
            </w:r>
          </w:p>
        </w:tc>
        <w:tc>
          <w:tcPr>
            <w:tcW w:w="1187" w:type="dxa"/>
            <w:vAlign w:val="top"/>
          </w:tcPr>
          <w:p w14:paraId="3D18DF3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6F0C7F3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0E2522F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30E13BA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503855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4973BE1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149A2C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2F0902AE">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w:t>
            </w:r>
          </w:p>
        </w:tc>
        <w:tc>
          <w:tcPr>
            <w:tcW w:w="1187" w:type="dxa"/>
            <w:vAlign w:val="top"/>
          </w:tcPr>
          <w:p w14:paraId="78C7047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4CF21CC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170AB42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419601A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6E9D2DD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488D865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0D124F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5B401F3C">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7</w:t>
            </w:r>
          </w:p>
        </w:tc>
        <w:tc>
          <w:tcPr>
            <w:tcW w:w="1187" w:type="dxa"/>
            <w:vAlign w:val="top"/>
          </w:tcPr>
          <w:p w14:paraId="1063383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359F29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04E7AB7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6E62E21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239DA68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2690EC35">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26339C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1A0671B6">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8</w:t>
            </w:r>
          </w:p>
        </w:tc>
        <w:tc>
          <w:tcPr>
            <w:tcW w:w="1187" w:type="dxa"/>
            <w:vAlign w:val="top"/>
          </w:tcPr>
          <w:p w14:paraId="4697ED5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455CF9C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6DB81CB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5EB043F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29E54BF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07C1F15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36EABC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7863931D">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9</w:t>
            </w:r>
          </w:p>
        </w:tc>
        <w:tc>
          <w:tcPr>
            <w:tcW w:w="1187" w:type="dxa"/>
            <w:vAlign w:val="top"/>
          </w:tcPr>
          <w:p w14:paraId="57F19C7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2D8E15A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1C63914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01436D2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6437EAD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29CFF92A">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744068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1187" w:type="dxa"/>
            <w:vAlign w:val="top"/>
          </w:tcPr>
          <w:p w14:paraId="267B7013">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tc>
        <w:tc>
          <w:tcPr>
            <w:tcW w:w="1187" w:type="dxa"/>
            <w:vAlign w:val="top"/>
          </w:tcPr>
          <w:p w14:paraId="5EA89C0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5B2C182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75E4A78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63365C0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2764EB4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1187" w:type="dxa"/>
            <w:vAlign w:val="top"/>
          </w:tcPr>
          <w:p w14:paraId="5D39727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636A3587">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说明：</w:t>
      </w:r>
    </w:p>
    <w:p w14:paraId="7CDC4AD9">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 “采购文件规定的商务条件”项下填写的内容应与招标文件中采购需求的 “商务要求”的内容保持一致。</w:t>
      </w:r>
    </w:p>
    <w:p w14:paraId="30DC17A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 投标人应当如实填写上表“投标文件响应的具体内容”处内容，对采购文件规定的商务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14:paraId="73B2A2F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14:paraId="34467F3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 “是否偏离”项下应按下列规定填写：优于的，填写“正偏离”；符合的，填写“无偏离”；低于的，填写“负偏离”。</w:t>
      </w:r>
    </w:p>
    <w:p w14:paraId="67F0D95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5.“备注”处可填写偏离情况的说明。</w:t>
      </w:r>
    </w:p>
    <w:p w14:paraId="52E4F065">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10" w:name="_Toc28611"/>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格式十九：履约进度计划表</w:t>
      </w:r>
      <w:bookmarkEnd w:id="110"/>
    </w:p>
    <w:p w14:paraId="2ADA8905">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890D719">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381CC649">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履约进度计划表</w:t>
      </w:r>
    </w:p>
    <w:tbl>
      <w:tblPr>
        <w:tblStyle w:val="16"/>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267"/>
        <w:gridCol w:w="2268"/>
        <w:gridCol w:w="2268"/>
        <w:gridCol w:w="2268"/>
      </w:tblGrid>
      <w:tr w14:paraId="527D57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76" w:type="dxa"/>
            <w:vAlign w:val="top"/>
          </w:tcPr>
          <w:p w14:paraId="658D1BD9">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2076" w:type="dxa"/>
            <w:vAlign w:val="top"/>
          </w:tcPr>
          <w:p w14:paraId="1C97E9D2">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拟定时间安排</w:t>
            </w:r>
          </w:p>
        </w:tc>
        <w:tc>
          <w:tcPr>
            <w:tcW w:w="2076" w:type="dxa"/>
            <w:vAlign w:val="top"/>
          </w:tcPr>
          <w:p w14:paraId="46A12385">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计划完成的工作内容</w:t>
            </w:r>
          </w:p>
        </w:tc>
        <w:tc>
          <w:tcPr>
            <w:tcW w:w="2076" w:type="dxa"/>
            <w:vAlign w:val="top"/>
          </w:tcPr>
          <w:p w14:paraId="36F40E3A">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实施方建议或要求</w:t>
            </w:r>
          </w:p>
        </w:tc>
      </w:tr>
      <w:tr w14:paraId="1BE9B6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76" w:type="dxa"/>
            <w:vAlign w:val="top"/>
          </w:tcPr>
          <w:p w14:paraId="277A56E1">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w:t>
            </w:r>
          </w:p>
        </w:tc>
        <w:tc>
          <w:tcPr>
            <w:tcW w:w="2076" w:type="dxa"/>
            <w:vAlign w:val="top"/>
          </w:tcPr>
          <w:p w14:paraId="76828CA2">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拟定___年___月___日</w:t>
            </w:r>
          </w:p>
        </w:tc>
        <w:tc>
          <w:tcPr>
            <w:tcW w:w="2076" w:type="dxa"/>
            <w:vAlign w:val="top"/>
          </w:tcPr>
          <w:p w14:paraId="5F90CF75">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签订合同并生效</w:t>
            </w:r>
          </w:p>
        </w:tc>
        <w:tc>
          <w:tcPr>
            <w:tcW w:w="2076" w:type="dxa"/>
            <w:vAlign w:val="top"/>
          </w:tcPr>
          <w:p w14:paraId="2E8D75B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636A9F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76" w:type="dxa"/>
            <w:vAlign w:val="top"/>
          </w:tcPr>
          <w:p w14:paraId="487F17CF">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w:t>
            </w:r>
          </w:p>
        </w:tc>
        <w:tc>
          <w:tcPr>
            <w:tcW w:w="2076" w:type="dxa"/>
            <w:vAlign w:val="top"/>
          </w:tcPr>
          <w:p w14:paraId="5C2E52FB">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___月___日—___月___日</w:t>
            </w:r>
          </w:p>
        </w:tc>
        <w:tc>
          <w:tcPr>
            <w:tcW w:w="2076" w:type="dxa"/>
            <w:vAlign w:val="top"/>
          </w:tcPr>
          <w:p w14:paraId="76769577">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2076" w:type="dxa"/>
            <w:vAlign w:val="top"/>
          </w:tcPr>
          <w:p w14:paraId="14051E4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01CCAB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76" w:type="dxa"/>
            <w:vAlign w:val="top"/>
          </w:tcPr>
          <w:p w14:paraId="31933785">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3</w:t>
            </w:r>
          </w:p>
        </w:tc>
        <w:tc>
          <w:tcPr>
            <w:tcW w:w="2076" w:type="dxa"/>
            <w:vAlign w:val="top"/>
          </w:tcPr>
          <w:p w14:paraId="12FE7FEB">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___月___日—___月___日</w:t>
            </w:r>
          </w:p>
        </w:tc>
        <w:tc>
          <w:tcPr>
            <w:tcW w:w="2076" w:type="dxa"/>
            <w:vAlign w:val="top"/>
          </w:tcPr>
          <w:p w14:paraId="4D0D4939">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c>
          <w:tcPr>
            <w:tcW w:w="2076" w:type="dxa"/>
            <w:vAlign w:val="top"/>
          </w:tcPr>
          <w:p w14:paraId="1C2A653C">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504369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2076" w:type="dxa"/>
            <w:vAlign w:val="top"/>
          </w:tcPr>
          <w:p w14:paraId="05D1A834">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4</w:t>
            </w:r>
          </w:p>
        </w:tc>
        <w:tc>
          <w:tcPr>
            <w:tcW w:w="2076" w:type="dxa"/>
            <w:vAlign w:val="top"/>
          </w:tcPr>
          <w:p w14:paraId="54BAFAB2">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___月___日—___月___日</w:t>
            </w:r>
          </w:p>
        </w:tc>
        <w:tc>
          <w:tcPr>
            <w:tcW w:w="2076" w:type="dxa"/>
            <w:vAlign w:val="top"/>
          </w:tcPr>
          <w:p w14:paraId="4647645E">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质保期</w:t>
            </w:r>
          </w:p>
        </w:tc>
        <w:tc>
          <w:tcPr>
            <w:tcW w:w="2076" w:type="dxa"/>
            <w:vAlign w:val="top"/>
          </w:tcPr>
          <w:p w14:paraId="4EB475EF">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5CA58DD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2FFE9753">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78EE141">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0BC2639">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66A4173">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D6414C6">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11" w:name="_Toc22713"/>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格式二十：各类证明材料</w:t>
      </w:r>
      <w:bookmarkEnd w:id="111"/>
    </w:p>
    <w:p w14:paraId="680D6569">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04CFF80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344E6E7B">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各类证明材料</w:t>
      </w:r>
    </w:p>
    <w:p w14:paraId="690C057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1.招标文件要求提供的其他资料。</w:t>
      </w:r>
    </w:p>
    <w:p w14:paraId="4C000BA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2.投标人认为需提供的其他资料。</w:t>
      </w:r>
    </w:p>
    <w:p w14:paraId="03BC0F9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7DB9EAF3">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ABFAC86">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7A6C88A">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E569B07">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0BFB19F">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12" w:name="_Toc24738"/>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格式二十一：采购代理服务费支付承诺书</w:t>
      </w:r>
      <w:bookmarkEnd w:id="112"/>
    </w:p>
    <w:p w14:paraId="318DA6DC">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8798B7D">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采购代理服务费支付承诺书</w:t>
      </w:r>
    </w:p>
    <w:p w14:paraId="467F7B67">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致：</w:t>
      </w: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p>
    <w:p w14:paraId="66C8C5A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如果我方在贵采购代理机构组织的</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阳江市阳东区合山镇第二小学食堂食材配送服务项目</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招标中获中标（采购项目编号：</w:t>
      </w:r>
      <w:r>
        <w:rPr>
          <w:rFonts w:hint="eastAsia" w:asciiTheme="minorEastAsia" w:hAnsiTheme="minorEastAsia" w:cstheme="minorEastAsia"/>
          <w:color w:val="000000" w:themeColor="text1"/>
          <w:sz w:val="21"/>
          <w:szCs w:val="21"/>
          <w:highlight w:val="none"/>
          <w:lang w:eastAsia="zh-CN"/>
          <w14:textFill>
            <w14:solidFill>
              <w14:schemeClr w14:val="tx1"/>
            </w14:solidFill>
          </w14:textFill>
        </w:rPr>
        <w:t>YXCG-20260711</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），我方保证在收取《中标通知书》</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前</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，按招标文件对代理服务费支付方式的约定，承担本项目代理服务费。</w:t>
      </w:r>
    </w:p>
    <w:p w14:paraId="3528372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我方如违约，</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愿</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承担</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贵单位</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为维护权益向</w:t>
      </w:r>
      <w:r>
        <w:rPr>
          <w:rFonts w:hint="eastAsia" w:asciiTheme="minorEastAsia" w:hAnsiTheme="minorEastAsia" w:cstheme="minorEastAsia"/>
          <w:color w:val="000000" w:themeColor="text1"/>
          <w:sz w:val="21"/>
          <w:szCs w:val="21"/>
          <w:highlight w:val="none"/>
          <w:lang w:val="en-US" w:eastAsia="zh-CN"/>
          <w14:textFill>
            <w14:solidFill>
              <w14:schemeClr w14:val="tx1"/>
            </w14:solidFill>
          </w14:textFill>
        </w:rPr>
        <w:t>我</w:t>
      </w: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方追偿的一切费用（包括但不限于律师费、诉讼费、保全费、交通费、差旅费、鉴定费等）均由违约方承担。</w:t>
      </w:r>
    </w:p>
    <w:p w14:paraId="1480248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val="en-US" w:eastAsia="zh-CN"/>
          <w14:textFill>
            <w14:solidFill>
              <w14:schemeClr w14:val="tx1"/>
            </w14:solidFill>
          </w14:textFill>
        </w:rPr>
        <w:t>以下联系地址可作为送达催款函、对账单、法院送达诉讼文书的地址。因联系地址有误或未及时告知变更后的地址，导致相关文书及诉讼文书未能实际被接收或邮寄送达的，相关文书及诉讼文书退回之日即视为送达之日。</w:t>
      </w:r>
    </w:p>
    <w:p w14:paraId="5CEE59F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特此承诺！</w:t>
      </w:r>
    </w:p>
    <w:p w14:paraId="49C500A4">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投标人法定名称（公章）；_____________________</w:t>
      </w:r>
    </w:p>
    <w:p w14:paraId="36D19643">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投标人法定地址：_____________________</w:t>
      </w:r>
    </w:p>
    <w:p w14:paraId="2CA0898A">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投标人授权代表（签字或盖章）：_____________________</w:t>
      </w:r>
    </w:p>
    <w:p w14:paraId="671934E8">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电 话：_____________________</w:t>
      </w:r>
    </w:p>
    <w:p w14:paraId="7462B3D9">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传 真：_____________________</w:t>
      </w:r>
    </w:p>
    <w:p w14:paraId="050E88E6">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承诺日期：_____________________</w:t>
      </w:r>
    </w:p>
    <w:p w14:paraId="44E8E64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255A70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00B32F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0BE2235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7B13B9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3CDCD4F9">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0A53832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1ADC448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FAE2DA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7BF6B25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613650BA">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13" w:name="_Toc7034"/>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格式二十二：需要采购人提供的附加条件</w:t>
      </w:r>
      <w:bookmarkEnd w:id="113"/>
    </w:p>
    <w:p w14:paraId="7E0B9B4C">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5D892B83">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6A0EBEFD">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需要采购人提供的附加条件</w:t>
      </w:r>
    </w:p>
    <w:tbl>
      <w:tblPr>
        <w:tblStyle w:val="16"/>
        <w:tblW w:w="9071"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535"/>
        <w:gridCol w:w="4536"/>
      </w:tblGrid>
      <w:tr w14:paraId="0F2DBB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153" w:type="dxa"/>
            <w:vAlign w:val="top"/>
          </w:tcPr>
          <w:p w14:paraId="2FFE4CB6">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序号</w:t>
            </w:r>
          </w:p>
        </w:tc>
        <w:tc>
          <w:tcPr>
            <w:tcW w:w="4153" w:type="dxa"/>
            <w:vAlign w:val="top"/>
          </w:tcPr>
          <w:p w14:paraId="5E5AECF9">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投标人需要采购人提供的附加条件</w:t>
            </w:r>
          </w:p>
        </w:tc>
      </w:tr>
      <w:tr w14:paraId="6EB126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153" w:type="dxa"/>
            <w:vAlign w:val="top"/>
          </w:tcPr>
          <w:p w14:paraId="01DA34F7">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1</w:t>
            </w:r>
          </w:p>
        </w:tc>
        <w:tc>
          <w:tcPr>
            <w:tcW w:w="4153" w:type="dxa"/>
            <w:vAlign w:val="top"/>
          </w:tcPr>
          <w:p w14:paraId="0356A766">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129470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153" w:type="dxa"/>
            <w:vAlign w:val="top"/>
          </w:tcPr>
          <w:p w14:paraId="64BF4F3B">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w:t>
            </w:r>
          </w:p>
        </w:tc>
        <w:tc>
          <w:tcPr>
            <w:tcW w:w="4153" w:type="dxa"/>
            <w:vAlign w:val="top"/>
          </w:tcPr>
          <w:p w14:paraId="2278FB6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r w14:paraId="739B44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jc w:val="center"/>
        </w:trPr>
        <w:tc>
          <w:tcPr>
            <w:tcW w:w="4153" w:type="dxa"/>
            <w:vAlign w:val="top"/>
          </w:tcPr>
          <w:p w14:paraId="62B19BF0">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3</w:t>
            </w:r>
          </w:p>
        </w:tc>
        <w:tc>
          <w:tcPr>
            <w:tcW w:w="4153" w:type="dxa"/>
            <w:vAlign w:val="top"/>
          </w:tcPr>
          <w:p w14:paraId="10BC8752">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tc>
      </w:tr>
    </w:tbl>
    <w:p w14:paraId="342F17F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注：投标人完成本项目需要采购人配合或提供的条件必须在上表列出，否则将视为投标人同意按现有条件完成本项目。如上表所列附加条件含有采购人不能接受的，将被视为投标无效。</w:t>
      </w:r>
    </w:p>
    <w:p w14:paraId="39BCE1E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6FF8D32E">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81F5560">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116194A">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C096DBC">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61169F5D">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0293A54">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F64FC11">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4B66767">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8758A2F">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4EC1371">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69B8BB6">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47274EB">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405721E">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57F5ABC">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FD340F2">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88E2C47">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BAF0D30">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233F911">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4B8A73A9">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bookmarkStart w:id="114" w:name="_Toc25195"/>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格式二十三：询问函、质疑函、投诉书格式</w:t>
      </w:r>
      <w:bookmarkEnd w:id="114"/>
    </w:p>
    <w:p w14:paraId="433BE800">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p>
    <w:p w14:paraId="445FB1D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10643D9B">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询问函、质疑函、投诉书格式</w:t>
      </w:r>
    </w:p>
    <w:p w14:paraId="6E4A486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说明：本部分格式为投标人提交询问函、质疑函、投诉函时使用，不属于投标文件格式的组成部分。</w:t>
      </w:r>
    </w:p>
    <w:p w14:paraId="2B2C3D16">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询问函</w:t>
      </w:r>
    </w:p>
    <w:p w14:paraId="0DCE3861">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lang w:eastAsia="zh-CN"/>
          <w14:textFill>
            <w14:solidFill>
              <w14:schemeClr w14:val="tx1"/>
            </w14:solidFill>
          </w14:textFill>
        </w:rPr>
        <w:t>广东业信采购招标有限公司</w:t>
      </w:r>
    </w:p>
    <w:p w14:paraId="3E34DEB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我单位已登记并准备参与“</w:t>
      </w:r>
      <w:r>
        <w:rPr>
          <w:rFonts w:hint="eastAsia" w:asciiTheme="minorEastAsia" w:hAnsiTheme="minorEastAsia" w:cstheme="minorEastAsia"/>
          <w:color w:val="000000" w:themeColor="text1"/>
          <w:sz w:val="21"/>
          <w:szCs w:val="21"/>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”项目（采购项目编号：</w:t>
      </w:r>
      <w:r>
        <w:rPr>
          <w:rFonts w:hint="eastAsia" w:asciiTheme="minorEastAsia" w:hAnsiTheme="minorEastAsia" w:cstheme="minorEastAsia"/>
          <w:color w:val="000000" w:themeColor="text1"/>
          <w:sz w:val="21"/>
          <w:szCs w:val="21"/>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）的投标活动，现有以下几个内容（或条款）存在疑问（或无法理解），特提出询问。</w:t>
      </w:r>
    </w:p>
    <w:p w14:paraId="089A892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一、_____________________（事项一）</w:t>
      </w:r>
    </w:p>
    <w:p w14:paraId="3435C8E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（1）____________________（问题或条款内容）</w:t>
      </w:r>
    </w:p>
    <w:p w14:paraId="37D68282">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（2）____________________（说明疑问或无法理解原因）</w:t>
      </w:r>
    </w:p>
    <w:p w14:paraId="2F159E5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（3）____________________（建议）</w:t>
      </w:r>
    </w:p>
    <w:p w14:paraId="0668558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二、_____________________（事项二）</w:t>
      </w:r>
    </w:p>
    <w:p w14:paraId="10722D9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56BFAB9C">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随附相关证明材料如下：（目录）</w:t>
      </w:r>
    </w:p>
    <w:p w14:paraId="074D9459">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询问人（公章）：_____________________</w:t>
      </w:r>
    </w:p>
    <w:p w14:paraId="6186A9A2">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法定代表人或授权代表（签字或盖章）：_____________________</w:t>
      </w:r>
    </w:p>
    <w:p w14:paraId="3A0321E7">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地址/邮编：_____________________</w:t>
      </w:r>
    </w:p>
    <w:p w14:paraId="2DBAC336">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电话/传真：_____________________</w:t>
      </w:r>
    </w:p>
    <w:p w14:paraId="777FB67E">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044E94D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641F9BA1">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00E3BAC3">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0DA2A8D">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A549E8F">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164F8B5">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36D6C8EA">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54B8C7C">
      <w:pPr>
        <w:pStyle w:val="19"/>
        <w:keepNext w:val="0"/>
        <w:keepLines w:val="0"/>
        <w:pageBreakBefore w:val="0"/>
        <w:kinsoku/>
        <w:wordWrap/>
        <w:overflowPunct/>
        <w:topLinePunct w:val="0"/>
        <w:autoSpaceDE/>
        <w:autoSpaceDN/>
        <w:bidi w:val="0"/>
        <w:adjustRightInd/>
        <w:snapToGrid/>
        <w:spacing w:line="360" w:lineRule="auto"/>
        <w:jc w:val="center"/>
        <w:textAlignment w:val="auto"/>
        <w:outlineLvl w:val="3"/>
        <w:rPr>
          <w:rFonts w:hint="eastAsia" w:asciiTheme="minorEastAsia" w:hAnsiTheme="minorEastAsia" w:eastAsiaTheme="minorEastAsia" w:cs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8"/>
          <w:highlight w:val="none"/>
          <w14:textFill>
            <w14:solidFill>
              <w14:schemeClr w14:val="tx1"/>
            </w14:solidFill>
          </w14:textFill>
        </w:rPr>
        <w:t>质疑函</w:t>
      </w:r>
    </w:p>
    <w:p w14:paraId="7E5B99F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一、质疑供应商基本信息</w:t>
      </w:r>
    </w:p>
    <w:p w14:paraId="0A671E75">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质疑供应商：</w:t>
      </w:r>
    </w:p>
    <w:p w14:paraId="7469D32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地址：_____________________邮编：_____________________</w:t>
      </w:r>
    </w:p>
    <w:p w14:paraId="4CFC3373">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联系：_____________________联系电话：_____________________</w:t>
      </w:r>
    </w:p>
    <w:p w14:paraId="041073C9">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授权代表：_____________________</w:t>
      </w:r>
    </w:p>
    <w:p w14:paraId="1A1BCCB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联系电话：_____________________</w:t>
      </w:r>
    </w:p>
    <w:p w14:paraId="5940BAA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地址：_____________________邮编：_____________________</w:t>
      </w:r>
    </w:p>
    <w:p w14:paraId="65156543">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二、质疑项目基本情况</w:t>
      </w:r>
    </w:p>
    <w:p w14:paraId="57E227F9">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质疑项目的名称：_____________________</w:t>
      </w:r>
    </w:p>
    <w:p w14:paraId="4E94A4F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质疑项目的编号：_____________________ 包号：_____________________</w:t>
      </w:r>
    </w:p>
    <w:p w14:paraId="180BF71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采购人名称：_____________________</w:t>
      </w:r>
    </w:p>
    <w:p w14:paraId="548A5F3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采购文件获取日期：_____________________</w:t>
      </w:r>
    </w:p>
    <w:p w14:paraId="0B7BC2B9">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三、质疑事项具体内容</w:t>
      </w:r>
    </w:p>
    <w:p w14:paraId="47B7DC8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质疑事项1：_____________________</w:t>
      </w:r>
    </w:p>
    <w:p w14:paraId="5F8F559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事实依据：_____________________</w:t>
      </w:r>
    </w:p>
    <w:p w14:paraId="4E3EA1FD">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法律依据：_____________________</w:t>
      </w:r>
    </w:p>
    <w:p w14:paraId="1730463B">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质疑事项2：_____________________</w:t>
      </w:r>
    </w:p>
    <w:p w14:paraId="34382F3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w:t>
      </w:r>
    </w:p>
    <w:p w14:paraId="5F79725F">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四、与质疑事项相关的质疑请求</w:t>
      </w:r>
    </w:p>
    <w:p w14:paraId="6AA6DFA8">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请求：__________________________________________</w:t>
      </w:r>
    </w:p>
    <w:p w14:paraId="40E11EB5">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签字(签章)：_____________________ 公章：_____________________</w:t>
      </w:r>
    </w:p>
    <w:p w14:paraId="1B482472">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日期： 年 月 日</w:t>
      </w:r>
    </w:p>
    <w:p w14:paraId="10B51D8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质疑函制作说明：</w:t>
      </w:r>
    </w:p>
    <w:p w14:paraId="575A6287">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1.供应商提出质疑时，应提交质疑函和必要的证明材料。</w:t>
      </w:r>
    </w:p>
    <w:p w14:paraId="432D4374">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6A66F9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3.质疑供应商若对项目的某一分包进行质疑，质疑函中应列明具体采购包号。</w:t>
      </w:r>
    </w:p>
    <w:p w14:paraId="14C4A32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4.质疑函的质疑事项应具体、明确，并有必要的事实依据和法律依据。</w:t>
      </w:r>
    </w:p>
    <w:p w14:paraId="07EF5A8A">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5.质疑函的质疑请求应与质疑事项相关。</w:t>
      </w:r>
    </w:p>
    <w:p w14:paraId="2738688E">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0AF9B3B6">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1931245F">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18DCC14C">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7C8AF0A">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49E5149">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2925723A">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43A9294">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69EA163">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7F356E5E">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p>
    <w:p w14:paraId="5EBAE932">
      <w:pP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br w:type="page"/>
      </w:r>
    </w:p>
    <w:p w14:paraId="2278F227">
      <w:pPr>
        <w:pStyle w:val="19"/>
        <w:keepNext w:val="0"/>
        <w:keepLines w:val="0"/>
        <w:pageBreakBefore w:val="0"/>
        <w:kinsoku/>
        <w:wordWrap/>
        <w:overflowPunct/>
        <w:topLinePunct w:val="0"/>
        <w:autoSpaceDE/>
        <w:autoSpaceDN/>
        <w:bidi w:val="0"/>
        <w:adjustRightInd/>
        <w:snapToGrid/>
        <w:spacing w:line="360" w:lineRule="auto"/>
        <w:textAlignment w:val="auto"/>
        <w:outlineLvl w:val="2"/>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bookmarkStart w:id="115" w:name="_Toc6556"/>
      <w:r>
        <w:rPr>
          <w:rFonts w:hint="eastAsia" w:asciiTheme="minorEastAsia" w:hAnsiTheme="minorEastAsia" w:eastAsiaTheme="minorEastAsia" w:cstheme="minorEastAsia"/>
          <w:b/>
          <w:color w:val="000000" w:themeColor="text1"/>
          <w:sz w:val="21"/>
          <w:szCs w:val="21"/>
          <w:highlight w:val="none"/>
          <w14:textFill>
            <w14:solidFill>
              <w14:schemeClr w14:val="tx1"/>
            </w14:solidFill>
          </w14:textFill>
        </w:rPr>
        <w:t>格式二十四：项目实施方案、质量保证及售后服务承诺等内容和格式自拟</w:t>
      </w:r>
      <w:bookmarkEnd w:id="115"/>
    </w:p>
    <w:p w14:paraId="0E4751E3">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（以下格式文件由供应商根据需要选用）</w:t>
      </w:r>
    </w:p>
    <w:p w14:paraId="488286C0">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项目实施方案、质量保证及售后服务承诺等内容和格式自拟。</w:t>
      </w:r>
    </w:p>
    <w:p w14:paraId="2D201C31">
      <w:pPr>
        <w:pStyle w:val="19"/>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 w:val="21"/>
          <w:szCs w:val="21"/>
          <w:highlight w:val="none"/>
          <w14:textFill>
            <w14:solidFill>
              <w14:schemeClr w14:val="tx1"/>
            </w14:solidFill>
          </w14:textFill>
        </w:rPr>
        <w:t xml:space="preserve">  </w:t>
      </w:r>
    </w:p>
    <w:p w14:paraId="6CD069BC">
      <w:pPr>
        <w:pStyle w:val="19"/>
        <w:rPr>
          <w:rFonts w:hint="eastAsia"/>
          <w:color w:val="000000" w:themeColor="text1"/>
          <w:highlight w:val="none"/>
          <w:lang w:val="en-US" w:eastAsia="zh-Hans"/>
          <w14:textFill>
            <w14:solidFill>
              <w14:schemeClr w14:val="tx1"/>
            </w14:solidFill>
          </w14:textFill>
        </w:rPr>
      </w:pPr>
    </w:p>
    <w:p w14:paraId="708D0FA9">
      <w:pPr>
        <w:pStyle w:val="19"/>
        <w:rPr>
          <w:rFonts w:hint="eastAsia"/>
          <w:color w:val="000000" w:themeColor="text1"/>
          <w:highlight w:val="none"/>
          <w:lang w:val="en-US" w:eastAsia="zh-Hans"/>
          <w14:textFill>
            <w14:solidFill>
              <w14:schemeClr w14:val="tx1"/>
            </w14:solidFill>
          </w14:textFill>
        </w:rPr>
      </w:pPr>
    </w:p>
    <w:p w14:paraId="334AC9EE">
      <w:pPr>
        <w:pStyle w:val="19"/>
        <w:rPr>
          <w:rFonts w:hint="eastAsia"/>
          <w:color w:val="000000" w:themeColor="text1"/>
          <w:highlight w:val="none"/>
          <w:lang w:val="en-US" w:eastAsia="zh-Hans"/>
          <w14:textFill>
            <w14:solidFill>
              <w14:schemeClr w14:val="tx1"/>
            </w14:solidFill>
          </w14:textFill>
        </w:rPr>
      </w:pPr>
    </w:p>
    <w:p w14:paraId="1CE47668">
      <w:pPr>
        <w:pStyle w:val="19"/>
        <w:rPr>
          <w:rFonts w:hint="eastAsia"/>
          <w:color w:val="000000" w:themeColor="text1"/>
          <w:highlight w:val="none"/>
          <w:lang w:val="en-US" w:eastAsia="zh-Hans"/>
          <w14:textFill>
            <w14:solidFill>
              <w14:schemeClr w14:val="tx1"/>
            </w14:solidFill>
          </w14:textFill>
        </w:rPr>
      </w:pPr>
    </w:p>
    <w:p w14:paraId="1BC77DC0">
      <w:pPr>
        <w:pStyle w:val="19"/>
        <w:rPr>
          <w:rFonts w:hint="eastAsia"/>
          <w:color w:val="000000" w:themeColor="text1"/>
          <w:highlight w:val="none"/>
          <w:lang w:val="en-US" w:eastAsia="zh-Hans"/>
          <w14:textFill>
            <w14:solidFill>
              <w14:schemeClr w14:val="tx1"/>
            </w14:solidFill>
          </w14:textFill>
        </w:rPr>
      </w:pPr>
    </w:p>
    <w:p w14:paraId="0DD684D0">
      <w:pPr>
        <w:pStyle w:val="19"/>
        <w:rPr>
          <w:rFonts w:hint="eastAsia"/>
          <w:color w:val="000000" w:themeColor="text1"/>
          <w:highlight w:val="none"/>
          <w:lang w:val="en-US" w:eastAsia="zh-Hans"/>
          <w14:textFill>
            <w14:solidFill>
              <w14:schemeClr w14:val="tx1"/>
            </w14:solidFill>
          </w14:textFill>
        </w:rPr>
      </w:pPr>
    </w:p>
    <w:p w14:paraId="23118824">
      <w:pPr>
        <w:pStyle w:val="19"/>
        <w:rPr>
          <w:rFonts w:hint="eastAsia"/>
          <w:color w:val="000000" w:themeColor="text1"/>
          <w:highlight w:val="none"/>
          <w:lang w:val="en-US" w:eastAsia="zh-Hans"/>
          <w14:textFill>
            <w14:solidFill>
              <w14:schemeClr w14:val="tx1"/>
            </w14:solidFill>
          </w14:textFill>
        </w:rPr>
      </w:pPr>
    </w:p>
    <w:p w14:paraId="39A3EB57">
      <w:pPr>
        <w:pStyle w:val="19"/>
        <w:rPr>
          <w:rFonts w:hint="eastAsia"/>
          <w:color w:val="000000" w:themeColor="text1"/>
          <w:highlight w:val="none"/>
          <w:lang w:val="en-US" w:eastAsia="zh-Hans"/>
          <w14:textFill>
            <w14:solidFill>
              <w14:schemeClr w14:val="tx1"/>
            </w14:solidFill>
          </w14:textFill>
        </w:rPr>
      </w:pPr>
    </w:p>
    <w:p w14:paraId="3A82B74E">
      <w:pPr>
        <w:pStyle w:val="19"/>
        <w:rPr>
          <w:rFonts w:hint="eastAsia"/>
          <w:color w:val="000000" w:themeColor="text1"/>
          <w:highlight w:val="none"/>
          <w:lang w:val="en-US" w:eastAsia="zh-Hans"/>
          <w14:textFill>
            <w14:solidFill>
              <w14:schemeClr w14:val="tx1"/>
            </w14:solidFill>
          </w14:textFill>
        </w:rPr>
      </w:pPr>
    </w:p>
    <w:p w14:paraId="5D04EF79">
      <w:pPr>
        <w:pStyle w:val="19"/>
        <w:rPr>
          <w:rFonts w:hint="eastAsia"/>
          <w:color w:val="000000" w:themeColor="text1"/>
          <w:highlight w:val="none"/>
          <w:lang w:val="en-US" w:eastAsia="zh-Hans"/>
          <w14:textFill>
            <w14:solidFill>
              <w14:schemeClr w14:val="tx1"/>
            </w14:solidFill>
          </w14:textFill>
        </w:rPr>
      </w:pPr>
    </w:p>
    <w:p w14:paraId="740D9E95">
      <w:pPr>
        <w:pStyle w:val="19"/>
        <w:rPr>
          <w:rFonts w:hint="eastAsia"/>
          <w:color w:val="000000" w:themeColor="text1"/>
          <w:highlight w:val="none"/>
          <w:lang w:val="en-US" w:eastAsia="zh-Hans"/>
          <w14:textFill>
            <w14:solidFill>
              <w14:schemeClr w14:val="tx1"/>
            </w14:solidFill>
          </w14:textFill>
        </w:rPr>
      </w:pPr>
    </w:p>
    <w:p w14:paraId="6F2EADD6">
      <w:pPr>
        <w:pStyle w:val="19"/>
        <w:rPr>
          <w:rFonts w:hint="eastAsia"/>
          <w:color w:val="000000" w:themeColor="text1"/>
          <w:highlight w:val="none"/>
          <w:lang w:val="en-US" w:eastAsia="zh-Hans"/>
          <w14:textFill>
            <w14:solidFill>
              <w14:schemeClr w14:val="tx1"/>
            </w14:solidFill>
          </w14:textFill>
        </w:rPr>
      </w:pPr>
    </w:p>
    <w:p w14:paraId="237296C9">
      <w:pPr>
        <w:pStyle w:val="19"/>
        <w:rPr>
          <w:rFonts w:hint="eastAsia"/>
          <w:color w:val="000000" w:themeColor="text1"/>
          <w:highlight w:val="none"/>
          <w:lang w:val="en-US" w:eastAsia="zh-Hans"/>
          <w14:textFill>
            <w14:solidFill>
              <w14:schemeClr w14:val="tx1"/>
            </w14:solidFill>
          </w14:textFill>
        </w:rPr>
      </w:pPr>
    </w:p>
    <w:p w14:paraId="6F7079CA">
      <w:pPr>
        <w:pStyle w:val="19"/>
        <w:rPr>
          <w:rFonts w:hint="eastAsia"/>
          <w:color w:val="000000" w:themeColor="text1"/>
          <w:highlight w:val="none"/>
          <w:lang w:val="en-US" w:eastAsia="zh-Hans"/>
          <w14:textFill>
            <w14:solidFill>
              <w14:schemeClr w14:val="tx1"/>
            </w14:solidFill>
          </w14:textFill>
        </w:rPr>
      </w:pPr>
    </w:p>
    <w:p w14:paraId="25E036EE">
      <w:pPr>
        <w:pStyle w:val="19"/>
        <w:rPr>
          <w:rFonts w:hint="eastAsia"/>
          <w:color w:val="000000" w:themeColor="text1"/>
          <w:highlight w:val="none"/>
          <w:lang w:val="en-US" w:eastAsia="zh-Hans"/>
          <w14:textFill>
            <w14:solidFill>
              <w14:schemeClr w14:val="tx1"/>
            </w14:solidFill>
          </w14:textFill>
        </w:rPr>
      </w:pPr>
    </w:p>
    <w:p w14:paraId="1AE79E39">
      <w:pPr>
        <w:pStyle w:val="19"/>
        <w:rPr>
          <w:rFonts w:hint="eastAsia"/>
          <w:color w:val="000000" w:themeColor="text1"/>
          <w:highlight w:val="none"/>
          <w:lang w:val="en-US" w:eastAsia="zh-Hans"/>
          <w14:textFill>
            <w14:solidFill>
              <w14:schemeClr w14:val="tx1"/>
            </w14:solidFill>
          </w14:textFill>
        </w:rPr>
      </w:pPr>
    </w:p>
    <w:p w14:paraId="2D455EC8">
      <w:pPr>
        <w:pStyle w:val="19"/>
        <w:rPr>
          <w:rFonts w:hint="eastAsia"/>
          <w:color w:val="000000" w:themeColor="text1"/>
          <w:highlight w:val="none"/>
          <w:lang w:val="en-US" w:eastAsia="zh-Hans"/>
          <w14:textFill>
            <w14:solidFill>
              <w14:schemeClr w14:val="tx1"/>
            </w14:solidFill>
          </w14:textFill>
        </w:rPr>
      </w:pPr>
    </w:p>
    <w:p w14:paraId="4ADD1D89">
      <w:pPr>
        <w:pStyle w:val="19"/>
        <w:rPr>
          <w:rFonts w:hint="eastAsia"/>
          <w:color w:val="000000" w:themeColor="text1"/>
          <w:highlight w:val="none"/>
          <w:lang w:val="en-US" w:eastAsia="zh-Hans"/>
          <w14:textFill>
            <w14:solidFill>
              <w14:schemeClr w14:val="tx1"/>
            </w14:solidFill>
          </w14:textFill>
        </w:rPr>
      </w:pPr>
    </w:p>
    <w:p w14:paraId="4EFF1FE8">
      <w:pPr>
        <w:pStyle w:val="19"/>
        <w:rPr>
          <w:rFonts w:hint="eastAsia"/>
          <w:color w:val="000000" w:themeColor="text1"/>
          <w:highlight w:val="none"/>
          <w:lang w:val="en-US" w:eastAsia="zh-Hans"/>
          <w14:textFill>
            <w14:solidFill>
              <w14:schemeClr w14:val="tx1"/>
            </w14:solidFill>
          </w14:textFill>
        </w:rPr>
      </w:pPr>
    </w:p>
    <w:p w14:paraId="6ED66D9A">
      <w:pPr>
        <w:rPr>
          <w:rFonts w:hint="eastAsia"/>
          <w:color w:val="000000" w:themeColor="text1"/>
          <w:sz w:val="32"/>
          <w:szCs w:val="20"/>
          <w:highlight w:val="none"/>
          <w14:textFill>
            <w14:solidFill>
              <w14:schemeClr w14:val="tx1"/>
            </w14:solidFill>
          </w14:textFill>
        </w:rPr>
      </w:pPr>
      <w:r>
        <w:rPr>
          <w:rFonts w:hint="eastAsia"/>
          <w:color w:val="000000" w:themeColor="text1"/>
          <w:sz w:val="32"/>
          <w:szCs w:val="20"/>
          <w:highlight w:val="none"/>
          <w14:textFill>
            <w14:solidFill>
              <w14:schemeClr w14:val="tx1"/>
            </w14:solidFill>
          </w14:textFill>
        </w:rPr>
        <w:br w:type="page"/>
      </w:r>
    </w:p>
    <w:p w14:paraId="74F96EEC">
      <w:pPr>
        <w:keepNext w:val="0"/>
        <w:keepLines w:val="0"/>
        <w:pageBreakBefore w:val="0"/>
        <w:widowControl w:val="0"/>
        <w:kinsoku/>
        <w:wordWrap/>
        <w:overflowPunct/>
        <w:topLinePunct w:val="0"/>
        <w:autoSpaceDE/>
        <w:autoSpaceDN/>
        <w:bidi w:val="0"/>
        <w:adjustRightInd/>
        <w:snapToGrid/>
        <w:textAlignment w:val="auto"/>
        <w:outlineLvl w:val="0"/>
        <w:rPr>
          <w:rFonts w:hint="eastAsia"/>
          <w:b/>
          <w:bCs/>
          <w:color w:val="000000" w:themeColor="text1"/>
          <w:sz w:val="28"/>
          <w:szCs w:val="28"/>
          <w:highlight w:val="none"/>
          <w14:textFill>
            <w14:solidFill>
              <w14:schemeClr w14:val="tx1"/>
            </w14:solidFill>
          </w14:textFill>
        </w:rPr>
      </w:pPr>
      <w:bookmarkStart w:id="116" w:name="_Toc14513"/>
      <w:r>
        <w:rPr>
          <w:rFonts w:hint="eastAsia"/>
          <w:b/>
          <w:bCs/>
          <w:color w:val="000000" w:themeColor="text1"/>
          <w:sz w:val="28"/>
          <w:szCs w:val="28"/>
          <w:highlight w:val="none"/>
          <w14:textFill>
            <w14:solidFill>
              <w14:schemeClr w14:val="tx1"/>
            </w14:solidFill>
          </w14:textFill>
        </w:rPr>
        <w:t>附件</w:t>
      </w:r>
      <w:bookmarkEnd w:id="116"/>
    </w:p>
    <w:p w14:paraId="29047022">
      <w:pPr>
        <w:keepNext w:val="0"/>
        <w:keepLines w:val="0"/>
        <w:pageBreakBefore w:val="0"/>
        <w:widowControl w:val="0"/>
        <w:kinsoku/>
        <w:wordWrap/>
        <w:overflowPunct/>
        <w:topLinePunct w:val="0"/>
        <w:autoSpaceDE/>
        <w:autoSpaceDN/>
        <w:bidi w:val="0"/>
        <w:adjustRightInd/>
        <w:snapToGrid/>
        <w:jc w:val="center"/>
        <w:textAlignment w:val="auto"/>
        <w:outlineLvl w:val="1"/>
        <w:rPr>
          <w:rFonts w:ascii="宋体" w:hAnsi="宋体" w:cs="宋体"/>
          <w:b/>
          <w:bCs/>
          <w:color w:val="000000" w:themeColor="text1"/>
          <w:kern w:val="0"/>
          <w:sz w:val="32"/>
          <w:szCs w:val="32"/>
          <w:highlight w:val="none"/>
          <w14:textFill>
            <w14:solidFill>
              <w14:schemeClr w14:val="tx1"/>
            </w14:solidFill>
          </w14:textFill>
        </w:rPr>
      </w:pPr>
      <w:bookmarkStart w:id="117" w:name="_Toc4968"/>
      <w:r>
        <w:rPr>
          <w:rFonts w:hint="eastAsia" w:ascii="宋体" w:hAnsi="宋体" w:cs="宋体"/>
          <w:b/>
          <w:bCs/>
          <w:color w:val="000000" w:themeColor="text1"/>
          <w:kern w:val="0"/>
          <w:sz w:val="32"/>
          <w:szCs w:val="32"/>
          <w:highlight w:val="none"/>
          <w14:textFill>
            <w14:solidFill>
              <w14:schemeClr w14:val="tx1"/>
            </w14:solidFill>
          </w14:textFill>
        </w:rPr>
        <w:t>阳江市政府采购供应商资格信用承诺函</w:t>
      </w:r>
      <w:bookmarkEnd w:id="117"/>
    </w:p>
    <w:p w14:paraId="7B77D1B2">
      <w:pPr>
        <w:jc w:val="center"/>
        <w:rPr>
          <w:rFonts w:ascii="仿宋" w:hAnsi="仿宋" w:eastAsia="仿宋" w:cs="仿宋"/>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kern w:val="0"/>
          <w:sz w:val="32"/>
          <w:szCs w:val="32"/>
          <w:highlight w:val="none"/>
          <w14:textFill>
            <w14:solidFill>
              <w14:schemeClr w14:val="tx1"/>
            </w14:solidFill>
          </w14:textFill>
        </w:rPr>
        <w:t>(样本)</w:t>
      </w:r>
    </w:p>
    <w:p w14:paraId="6B00B6A2">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我 方 自 愿 参 加    ( 项 目 名 称 )    项 目 ( 项 目 编 号：        )的政府采购活动，并郑重承诺符合《中华人民共和国政府采购法》第二十二条第一款第(二)项、第(三)项、第(四)项、第(五)项规定条件，具体包括:</w:t>
      </w:r>
    </w:p>
    <w:p w14:paraId="31979689">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1.具有良好的商业信誉和健全的财务会计制度;</w:t>
      </w:r>
    </w:p>
    <w:p w14:paraId="6CFD6170">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2.具有履行合同所必需的设备和专业技术能力;</w:t>
      </w:r>
    </w:p>
    <w:p w14:paraId="6A97A64D">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3.具有依法缴纳税收和社会保障资金的良好记录;</w:t>
      </w:r>
    </w:p>
    <w:p w14:paraId="4CB32EE3">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4.参加政府采购活动前三年内，在经营活动中没有重大违法记录。</w:t>
      </w:r>
    </w:p>
    <w:p w14:paraId="5E364361">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我方对上述承诺的真实性负责，在评审环节结束后，自愿接受采购单位(采购代理机构)的检查核验，配合提供相关证明材料，证明符合《中华人民共和国政府采购法》规定的供应商基本资格条件。如有虚假，将依法承担相应法律责任。</w:t>
      </w:r>
    </w:p>
    <w:p w14:paraId="405ED2E8">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特此承诺。</w:t>
      </w:r>
    </w:p>
    <w:p w14:paraId="75E8CE58">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供应商名称(公章):</w:t>
      </w:r>
    </w:p>
    <w:p w14:paraId="3E913E2E">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统一社会信用代码:</w:t>
      </w:r>
    </w:p>
    <w:p w14:paraId="08FEBD3C">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法定代表人或授权代表(签名):</w:t>
      </w:r>
    </w:p>
    <w:p w14:paraId="25536BC7">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日期:   年  月  日</w:t>
      </w:r>
    </w:p>
    <w:p w14:paraId="622F7ECE">
      <w:pPr>
        <w:keepNext w:val="0"/>
        <w:keepLines w:val="0"/>
        <w:pageBreakBefore w:val="0"/>
        <w:widowControl w:val="0"/>
        <w:kinsoku/>
        <w:wordWrap/>
        <w:overflowPunct/>
        <w:topLinePunct w:val="0"/>
        <w:autoSpaceDE/>
        <w:autoSpaceDN/>
        <w:bidi w:val="0"/>
        <w:adjustRightInd/>
        <w:snapToGrid/>
        <w:spacing w:line="600" w:lineRule="exact"/>
        <w:ind w:right="-168" w:rightChars="-80"/>
        <w:jc w:val="left"/>
        <w:textAlignment w:val="auto"/>
        <w:rPr>
          <w:rFonts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color w:val="000000" w:themeColor="text1"/>
          <w:kern w:val="0"/>
          <w:sz w:val="28"/>
          <w:szCs w:val="28"/>
          <w:highlight w:val="none"/>
          <w14:textFill>
            <w14:solidFill>
              <w14:schemeClr w14:val="tx1"/>
            </w14:solidFill>
          </w14:textFill>
        </w:rPr>
        <w:t>注:供应商的法定代表人(其他组织的为负责人)或者授权代表的签名或盖章应真实、有效，如由授权代表签名或盖章的，应提供“法定代表人授权书”</w:t>
      </w:r>
    </w:p>
    <w:p w14:paraId="04C2C2D7">
      <w:pPr>
        <w:rPr>
          <w:rFonts w:ascii="宋体" w:hAnsi="宋体"/>
          <w:color w:val="000000" w:themeColor="text1"/>
          <w:highlight w:val="none"/>
          <w14:textFill>
            <w14:solidFill>
              <w14:schemeClr w14:val="tx1"/>
            </w14:solidFill>
          </w14:textFill>
        </w:rPr>
      </w:pPr>
    </w:p>
    <w:p w14:paraId="0EF0C47A">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b/>
          <w:bCs/>
          <w:color w:val="000000" w:themeColor="text1"/>
          <w:sz w:val="44"/>
          <w:szCs w:val="44"/>
          <w:highlight w:val="none"/>
          <w14:textFill>
            <w14:solidFill>
              <w14:schemeClr w14:val="tx1"/>
            </w14:solidFill>
          </w14:textFill>
        </w:rPr>
      </w:pPr>
      <w:bookmarkStart w:id="118" w:name="_Toc2450"/>
      <w:bookmarkStart w:id="119" w:name="_Hlk534184791"/>
      <w:r>
        <w:rPr>
          <w:rFonts w:hint="eastAsia"/>
          <w:b/>
          <w:bCs/>
          <w:color w:val="000000" w:themeColor="text1"/>
          <w:sz w:val="44"/>
          <w:szCs w:val="44"/>
          <w:highlight w:val="none"/>
          <w14:textFill>
            <w14:solidFill>
              <w14:schemeClr w14:val="tx1"/>
            </w14:solidFill>
          </w14:textFill>
        </w:rPr>
        <w:t>购买标书登记表</w:t>
      </w:r>
      <w:bookmarkEnd w:id="118"/>
    </w:p>
    <w:p w14:paraId="359A8C7E">
      <w:pPr>
        <w:jc w:val="center"/>
        <w:rPr>
          <w:rFonts w:hint="eastAsia"/>
          <w:b/>
          <w:bCs/>
          <w:color w:val="000000" w:themeColor="text1"/>
          <w:sz w:val="44"/>
          <w:szCs w:val="44"/>
          <w:highlight w:val="none"/>
          <w14:textFill>
            <w14:solidFill>
              <w14:schemeClr w14:val="tx1"/>
            </w14:solidFill>
          </w14:textFill>
        </w:rPr>
      </w:pPr>
    </w:p>
    <w:p w14:paraId="3C975B75">
      <w:pPr>
        <w:jc w:val="center"/>
        <w:rPr>
          <w:color w:val="000000" w:themeColor="text1"/>
          <w:szCs w:val="21"/>
          <w:highlight w:val="none"/>
          <w14:textFill>
            <w14:solidFill>
              <w14:schemeClr w14:val="tx1"/>
            </w14:solidFill>
          </w14:textFill>
        </w:rPr>
      </w:pPr>
    </w:p>
    <w:tbl>
      <w:tblPr>
        <w:tblStyle w:val="16"/>
        <w:tblW w:w="936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5"/>
        <w:gridCol w:w="1940"/>
        <w:gridCol w:w="1940"/>
        <w:gridCol w:w="2895"/>
      </w:tblGrid>
      <w:tr w14:paraId="27C40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419F2228">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项目名称</w:t>
            </w:r>
          </w:p>
        </w:tc>
        <w:tc>
          <w:tcPr>
            <w:tcW w:w="6775" w:type="dxa"/>
            <w:gridSpan w:val="3"/>
            <w:noWrap/>
          </w:tcPr>
          <w:p w14:paraId="5FE17FD7">
            <w:pPr>
              <w:rPr>
                <w:color w:val="000000" w:themeColor="text1"/>
                <w:sz w:val="28"/>
                <w:szCs w:val="28"/>
                <w:highlight w:val="none"/>
                <w14:textFill>
                  <w14:solidFill>
                    <w14:schemeClr w14:val="tx1"/>
                  </w14:solidFill>
                </w14:textFill>
              </w:rPr>
            </w:pPr>
          </w:p>
        </w:tc>
      </w:tr>
      <w:tr w14:paraId="2ABAB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5A26CF89">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项目编号</w:t>
            </w:r>
          </w:p>
        </w:tc>
        <w:tc>
          <w:tcPr>
            <w:tcW w:w="1940" w:type="dxa"/>
            <w:noWrap/>
          </w:tcPr>
          <w:p w14:paraId="2971D77F">
            <w:pPr>
              <w:rPr>
                <w:color w:val="000000" w:themeColor="text1"/>
                <w:sz w:val="28"/>
                <w:szCs w:val="28"/>
                <w:highlight w:val="none"/>
                <w14:textFill>
                  <w14:solidFill>
                    <w14:schemeClr w14:val="tx1"/>
                  </w14:solidFill>
                </w14:textFill>
              </w:rPr>
            </w:pPr>
          </w:p>
        </w:tc>
        <w:tc>
          <w:tcPr>
            <w:tcW w:w="1940" w:type="dxa"/>
            <w:noWrap/>
            <w:vAlign w:val="center"/>
          </w:tcPr>
          <w:p w14:paraId="2A2B72AB">
            <w:pPr>
              <w:jc w:val="center"/>
              <w:rPr>
                <w:rFonts w:hint="default" w:eastAsia="宋体"/>
                <w:color w:val="000000" w:themeColor="text1"/>
                <w:sz w:val="28"/>
                <w:szCs w:val="28"/>
                <w:highlight w:val="none"/>
                <w:lang w:val="en-US" w:eastAsia="zh-CN"/>
                <w14:textFill>
                  <w14:solidFill>
                    <w14:schemeClr w14:val="tx1"/>
                  </w14:solidFill>
                </w14:textFill>
              </w:rPr>
            </w:pPr>
            <w:r>
              <w:rPr>
                <w:rFonts w:hint="eastAsia"/>
                <w:color w:val="000000" w:themeColor="text1"/>
                <w:sz w:val="28"/>
                <w:szCs w:val="28"/>
                <w:highlight w:val="none"/>
                <w:lang w:val="en-US" w:eastAsia="zh-CN"/>
                <w14:textFill>
                  <w14:solidFill>
                    <w14:schemeClr w14:val="tx1"/>
                  </w14:solidFill>
                </w14:textFill>
              </w:rPr>
              <w:t>采购包</w:t>
            </w:r>
          </w:p>
        </w:tc>
        <w:tc>
          <w:tcPr>
            <w:tcW w:w="2895" w:type="dxa"/>
            <w:noWrap/>
          </w:tcPr>
          <w:p w14:paraId="0D06D1B3">
            <w:pPr>
              <w:rPr>
                <w:color w:val="000000" w:themeColor="text1"/>
                <w:sz w:val="28"/>
                <w:szCs w:val="28"/>
                <w:highlight w:val="none"/>
                <w14:textFill>
                  <w14:solidFill>
                    <w14:schemeClr w14:val="tx1"/>
                  </w14:solidFill>
                </w14:textFill>
              </w:rPr>
            </w:pPr>
          </w:p>
        </w:tc>
      </w:tr>
      <w:tr w14:paraId="02785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00D55FA1">
            <w:pPr>
              <w:jc w:val="center"/>
              <w:rPr>
                <w:rFonts w:hint="eastAsia"/>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购买时间</w:t>
            </w:r>
          </w:p>
        </w:tc>
        <w:tc>
          <w:tcPr>
            <w:tcW w:w="6775" w:type="dxa"/>
            <w:gridSpan w:val="3"/>
            <w:noWrap/>
          </w:tcPr>
          <w:p w14:paraId="47C4C458">
            <w:pPr>
              <w:rPr>
                <w:color w:val="000000" w:themeColor="text1"/>
                <w:sz w:val="28"/>
                <w:szCs w:val="28"/>
                <w:highlight w:val="none"/>
                <w14:textFill>
                  <w14:solidFill>
                    <w14:schemeClr w14:val="tx1"/>
                  </w14:solidFill>
                </w14:textFill>
              </w:rPr>
            </w:pPr>
          </w:p>
        </w:tc>
      </w:tr>
      <w:tr w14:paraId="49C9F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1C9168E3">
            <w:pPr>
              <w:jc w:val="center"/>
              <w:rPr>
                <w:rFonts w:hint="eastAsia"/>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投标</w:t>
            </w:r>
            <w:r>
              <w:rPr>
                <w:rFonts w:hint="eastAsia"/>
                <w:color w:val="000000" w:themeColor="text1"/>
                <w:sz w:val="28"/>
                <w:szCs w:val="28"/>
                <w:highlight w:val="none"/>
                <w:lang w:val="en-US" w:eastAsia="zh-CN"/>
                <w14:textFill>
                  <w14:solidFill>
                    <w14:schemeClr w14:val="tx1"/>
                  </w14:solidFill>
                </w14:textFill>
              </w:rPr>
              <w:t>人</w:t>
            </w:r>
            <w:r>
              <w:rPr>
                <w:rFonts w:hint="eastAsia"/>
                <w:color w:val="000000" w:themeColor="text1"/>
                <w:sz w:val="28"/>
                <w:szCs w:val="28"/>
                <w:highlight w:val="none"/>
                <w14:textFill>
                  <w14:solidFill>
                    <w14:schemeClr w14:val="tx1"/>
                  </w14:solidFill>
                </w14:textFill>
              </w:rPr>
              <w:t>名称</w:t>
            </w:r>
          </w:p>
          <w:p w14:paraId="771427FC">
            <w:pPr>
              <w:jc w:val="center"/>
              <w:rPr>
                <w:rFonts w:hint="default" w:eastAsia="宋体"/>
                <w:color w:val="000000" w:themeColor="text1"/>
                <w:sz w:val="28"/>
                <w:szCs w:val="28"/>
                <w:highlight w:val="none"/>
                <w:lang w:val="en-US" w:eastAsia="zh-CN"/>
                <w14:textFill>
                  <w14:solidFill>
                    <w14:schemeClr w14:val="tx1"/>
                  </w14:solidFill>
                </w14:textFill>
              </w:rPr>
            </w:pPr>
            <w:r>
              <w:rPr>
                <w:rFonts w:hint="eastAsia"/>
                <w:color w:val="000000" w:themeColor="text1"/>
                <w:sz w:val="28"/>
                <w:szCs w:val="28"/>
                <w:highlight w:val="none"/>
                <w:lang w:val="en-US" w:eastAsia="zh-CN"/>
                <w14:textFill>
                  <w14:solidFill>
                    <w14:schemeClr w14:val="tx1"/>
                  </w14:solidFill>
                </w14:textFill>
              </w:rPr>
              <w:t>(加盖公章)</w:t>
            </w:r>
          </w:p>
        </w:tc>
        <w:tc>
          <w:tcPr>
            <w:tcW w:w="6775" w:type="dxa"/>
            <w:gridSpan w:val="3"/>
            <w:noWrap/>
          </w:tcPr>
          <w:p w14:paraId="7BF9CC45">
            <w:pPr>
              <w:rPr>
                <w:color w:val="000000" w:themeColor="text1"/>
                <w:sz w:val="28"/>
                <w:szCs w:val="28"/>
                <w:highlight w:val="none"/>
                <w14:textFill>
                  <w14:solidFill>
                    <w14:schemeClr w14:val="tx1"/>
                  </w14:solidFill>
                </w14:textFill>
              </w:rPr>
            </w:pPr>
          </w:p>
        </w:tc>
      </w:tr>
      <w:tr w14:paraId="79D77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355C3487">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地址</w:t>
            </w:r>
          </w:p>
        </w:tc>
        <w:tc>
          <w:tcPr>
            <w:tcW w:w="6775" w:type="dxa"/>
            <w:gridSpan w:val="3"/>
            <w:noWrap/>
          </w:tcPr>
          <w:p w14:paraId="5917F4B9">
            <w:pPr>
              <w:rPr>
                <w:color w:val="000000" w:themeColor="text1"/>
                <w:sz w:val="28"/>
                <w:szCs w:val="28"/>
                <w:highlight w:val="none"/>
                <w14:textFill>
                  <w14:solidFill>
                    <w14:schemeClr w14:val="tx1"/>
                  </w14:solidFill>
                </w14:textFill>
              </w:rPr>
            </w:pPr>
          </w:p>
        </w:tc>
      </w:tr>
      <w:tr w14:paraId="22D1F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0B374ACA">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电话</w:t>
            </w:r>
          </w:p>
        </w:tc>
        <w:tc>
          <w:tcPr>
            <w:tcW w:w="1940" w:type="dxa"/>
            <w:noWrap/>
          </w:tcPr>
          <w:p w14:paraId="5CF72C9C">
            <w:pPr>
              <w:rPr>
                <w:color w:val="000000" w:themeColor="text1"/>
                <w:sz w:val="28"/>
                <w:szCs w:val="28"/>
                <w:highlight w:val="none"/>
                <w14:textFill>
                  <w14:solidFill>
                    <w14:schemeClr w14:val="tx1"/>
                  </w14:solidFill>
                </w14:textFill>
              </w:rPr>
            </w:pPr>
          </w:p>
        </w:tc>
        <w:tc>
          <w:tcPr>
            <w:tcW w:w="1940" w:type="dxa"/>
            <w:noWrap/>
            <w:vAlign w:val="center"/>
          </w:tcPr>
          <w:p w14:paraId="3397B553">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传真</w:t>
            </w:r>
          </w:p>
        </w:tc>
        <w:tc>
          <w:tcPr>
            <w:tcW w:w="2895" w:type="dxa"/>
            <w:noWrap/>
          </w:tcPr>
          <w:p w14:paraId="6767A134">
            <w:pPr>
              <w:rPr>
                <w:color w:val="000000" w:themeColor="text1"/>
                <w:sz w:val="28"/>
                <w:szCs w:val="28"/>
                <w:highlight w:val="none"/>
                <w14:textFill>
                  <w14:solidFill>
                    <w14:schemeClr w14:val="tx1"/>
                  </w14:solidFill>
                </w14:textFill>
              </w:rPr>
            </w:pPr>
          </w:p>
        </w:tc>
      </w:tr>
      <w:tr w14:paraId="40480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50B0B41B">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联系人</w:t>
            </w:r>
          </w:p>
        </w:tc>
        <w:tc>
          <w:tcPr>
            <w:tcW w:w="1940" w:type="dxa"/>
            <w:noWrap/>
          </w:tcPr>
          <w:p w14:paraId="4A227F16">
            <w:pPr>
              <w:rPr>
                <w:color w:val="000000" w:themeColor="text1"/>
                <w:sz w:val="28"/>
                <w:szCs w:val="28"/>
                <w:highlight w:val="none"/>
                <w14:textFill>
                  <w14:solidFill>
                    <w14:schemeClr w14:val="tx1"/>
                  </w14:solidFill>
                </w14:textFill>
              </w:rPr>
            </w:pPr>
          </w:p>
        </w:tc>
        <w:tc>
          <w:tcPr>
            <w:tcW w:w="1940" w:type="dxa"/>
            <w:noWrap/>
            <w:vAlign w:val="center"/>
          </w:tcPr>
          <w:p w14:paraId="5DEF7FED">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手机</w:t>
            </w:r>
          </w:p>
        </w:tc>
        <w:tc>
          <w:tcPr>
            <w:tcW w:w="2895" w:type="dxa"/>
            <w:noWrap/>
          </w:tcPr>
          <w:p w14:paraId="2179FACC">
            <w:pPr>
              <w:rPr>
                <w:color w:val="000000" w:themeColor="text1"/>
                <w:sz w:val="28"/>
                <w:szCs w:val="28"/>
                <w:highlight w:val="none"/>
                <w14:textFill>
                  <w14:solidFill>
                    <w14:schemeClr w14:val="tx1"/>
                  </w14:solidFill>
                </w14:textFill>
              </w:rPr>
            </w:pPr>
          </w:p>
        </w:tc>
      </w:tr>
      <w:tr w14:paraId="1C712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585" w:type="dxa"/>
            <w:noWrap/>
            <w:vAlign w:val="center"/>
          </w:tcPr>
          <w:p w14:paraId="2C26389B">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职务</w:t>
            </w:r>
          </w:p>
        </w:tc>
        <w:tc>
          <w:tcPr>
            <w:tcW w:w="1940" w:type="dxa"/>
            <w:noWrap/>
          </w:tcPr>
          <w:p w14:paraId="0D5ACAD6">
            <w:pPr>
              <w:rPr>
                <w:color w:val="000000" w:themeColor="text1"/>
                <w:sz w:val="28"/>
                <w:szCs w:val="28"/>
                <w:highlight w:val="none"/>
                <w14:textFill>
                  <w14:solidFill>
                    <w14:schemeClr w14:val="tx1"/>
                  </w14:solidFill>
                </w14:textFill>
              </w:rPr>
            </w:pPr>
          </w:p>
        </w:tc>
        <w:tc>
          <w:tcPr>
            <w:tcW w:w="1940" w:type="dxa"/>
            <w:noWrap/>
            <w:vAlign w:val="center"/>
          </w:tcPr>
          <w:p w14:paraId="400AAADA">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电子邮件</w:t>
            </w:r>
          </w:p>
        </w:tc>
        <w:tc>
          <w:tcPr>
            <w:tcW w:w="2895" w:type="dxa"/>
            <w:noWrap/>
          </w:tcPr>
          <w:p w14:paraId="08AEF493">
            <w:pPr>
              <w:rPr>
                <w:color w:val="000000" w:themeColor="text1"/>
                <w:sz w:val="28"/>
                <w:szCs w:val="28"/>
                <w:highlight w:val="none"/>
                <w14:textFill>
                  <w14:solidFill>
                    <w14:schemeClr w14:val="tx1"/>
                  </w14:solidFill>
                </w14:textFill>
              </w:rPr>
            </w:pPr>
          </w:p>
        </w:tc>
      </w:tr>
      <w:tr w14:paraId="590B3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2" w:hRule="atLeast"/>
        </w:trPr>
        <w:tc>
          <w:tcPr>
            <w:tcW w:w="2585" w:type="dxa"/>
            <w:noWrap/>
            <w:vAlign w:val="center"/>
          </w:tcPr>
          <w:p w14:paraId="2D0222F7">
            <w:pPr>
              <w:jc w:val="center"/>
              <w:rPr>
                <w:color w:val="000000" w:themeColor="text1"/>
                <w:sz w:val="28"/>
                <w:szCs w:val="28"/>
                <w:highlight w:val="none"/>
                <w14:textFill>
                  <w14:solidFill>
                    <w14:schemeClr w14:val="tx1"/>
                  </w14:solidFill>
                </w14:textFill>
              </w:rPr>
            </w:pPr>
            <w:r>
              <w:rPr>
                <w:rFonts w:hint="eastAsia"/>
                <w:color w:val="000000" w:themeColor="text1"/>
                <w:sz w:val="28"/>
                <w:szCs w:val="28"/>
                <w:highlight w:val="none"/>
                <w14:textFill>
                  <w14:solidFill>
                    <w14:schemeClr w14:val="tx1"/>
                  </w14:solidFill>
                </w14:textFill>
              </w:rPr>
              <w:t>经营范围</w:t>
            </w:r>
          </w:p>
        </w:tc>
        <w:tc>
          <w:tcPr>
            <w:tcW w:w="6775" w:type="dxa"/>
            <w:gridSpan w:val="3"/>
            <w:noWrap/>
          </w:tcPr>
          <w:p w14:paraId="5DCB87D1">
            <w:pPr>
              <w:rPr>
                <w:color w:val="000000" w:themeColor="text1"/>
                <w:sz w:val="28"/>
                <w:szCs w:val="28"/>
                <w:highlight w:val="none"/>
                <w14:textFill>
                  <w14:solidFill>
                    <w14:schemeClr w14:val="tx1"/>
                  </w14:solidFill>
                </w14:textFill>
              </w:rPr>
            </w:pPr>
          </w:p>
        </w:tc>
      </w:tr>
      <w:bookmarkEnd w:id="119"/>
    </w:tbl>
    <w:p w14:paraId="0A6D332E">
      <w:pPr>
        <w:spacing w:line="360" w:lineRule="auto"/>
        <w:jc w:val="center"/>
        <w:rPr>
          <w:rFonts w:hint="eastAsia" w:ascii="宋体" w:hAnsi="宋体"/>
          <w:b/>
          <w:color w:val="000000" w:themeColor="text1"/>
          <w:sz w:val="24"/>
          <w:highlight w:val="none"/>
          <w:lang w:val="en-US" w:eastAsia="zh-Hans"/>
          <w14:textFill>
            <w14:solidFill>
              <w14:schemeClr w14:val="tx1"/>
            </w14:solidFill>
          </w14:textFill>
        </w:rPr>
      </w:pPr>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ì.">
    <w:altName w:val="宋体"/>
    <w:panose1 w:val="00000000000000000000"/>
    <w:charset w:val="86"/>
    <w:family w:val="roman"/>
    <w:pitch w:val="default"/>
    <w:sig w:usb0="00000000" w:usb1="00000000" w:usb2="00000010" w:usb3="00000000" w:csb0="00040000" w:csb1="00000000"/>
  </w:font>
  <w:font w:name="MingLiU">
    <w:altName w:val="PMingLiU-ExtB"/>
    <w:panose1 w:val="020203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9F89B">
    <w:pPr>
      <w:pStyle w:val="11"/>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52</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52</w:t>
    </w:r>
    <w:r>
      <w:rPr>
        <w:kern w:val="0"/>
        <w:szCs w:val="21"/>
      </w:rPr>
      <w:fldChar w:fldCharType="end"/>
    </w:r>
    <w:r>
      <w:rPr>
        <w:rFonts w:hint="eastAsia"/>
        <w:kern w:val="0"/>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E2E23">
    <w:pPr>
      <w:pStyle w:val="11"/>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F473A">
    <w:pPr>
      <w:pStyle w:val="12"/>
      <w:jc w:val="center"/>
    </w:pPr>
    <w:r>
      <w:rPr>
        <w:rFonts w:hint="eastAsia" w:eastAsia="宋体"/>
        <w:lang w:eastAsia="zh-CN"/>
      </w:rPr>
      <w:drawing>
        <wp:anchor distT="0" distB="0" distL="114300" distR="114300" simplePos="0" relativeHeight="251659264" behindDoc="0" locked="0" layoutInCell="1" allowOverlap="1">
          <wp:simplePos x="0" y="0"/>
          <wp:positionH relativeFrom="column">
            <wp:posOffset>1308100</wp:posOffset>
          </wp:positionH>
          <wp:positionV relativeFrom="paragraph">
            <wp:posOffset>178435</wp:posOffset>
          </wp:positionV>
          <wp:extent cx="3128010" cy="427355"/>
          <wp:effectExtent l="0" t="0" r="15240" b="10795"/>
          <wp:wrapNone/>
          <wp:docPr id="1" name="图片 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
                  <pic:cNvPicPr>
                    <a:picLocks noChangeAspect="1"/>
                  </pic:cNvPicPr>
                </pic:nvPicPr>
                <pic:blipFill>
                  <a:blip r:embed="rId1"/>
                  <a:srcRect b="32498"/>
                  <a:stretch>
                    <a:fillRect/>
                  </a:stretch>
                </pic:blipFill>
                <pic:spPr>
                  <a:xfrm>
                    <a:off x="0" y="0"/>
                    <a:ext cx="3128010" cy="42735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C"/>
    <w:multiLevelType w:val="singleLevel"/>
    <w:tmpl w:val="0000001C"/>
    <w:lvl w:ilvl="0" w:tentative="0">
      <w:start w:val="1"/>
      <w:numFmt w:val="decimal"/>
      <w:lvlText w:val="%1."/>
      <w:lvlJc w:val="left"/>
      <w:pPr>
        <w:tabs>
          <w:tab w:val="left" w:pos="425"/>
        </w:tabs>
        <w:ind w:left="425" w:hanging="425"/>
      </w:pPr>
      <w:rPr>
        <w:rFonts w:hint="eastAsia"/>
      </w:rPr>
    </w:lvl>
  </w:abstractNum>
  <w:abstractNum w:abstractNumId="1">
    <w:nsid w:val="0000002B"/>
    <w:multiLevelType w:val="multilevel"/>
    <w:tmpl w:val="0000002B"/>
    <w:lvl w:ilvl="0" w:tentative="0">
      <w:start w:val="1"/>
      <w:numFmt w:val="upperRoman"/>
      <w:lvlText w:val="第 %1 条"/>
      <w:lvlJc w:val="left"/>
      <w:pPr>
        <w:tabs>
          <w:tab w:val="left" w:pos="1440"/>
        </w:tabs>
        <w:ind w:left="0" w:firstLine="0"/>
      </w:pPr>
    </w:lvl>
    <w:lvl w:ilvl="1" w:tentative="0">
      <w:start w:val="1"/>
      <w:numFmt w:val="decimalZero"/>
      <w:pStyle w:val="4"/>
      <w:isLgl/>
      <w:lvlText w:val="节 %1.%2"/>
      <w:lvlJc w:val="left"/>
      <w:pPr>
        <w:tabs>
          <w:tab w:val="left" w:pos="720"/>
        </w:tabs>
        <w:ind w:left="0" w:firstLine="0"/>
      </w:pPr>
      <w:rPr>
        <w:lang w:val="en-US"/>
      </w:rPr>
    </w:lvl>
    <w:lvl w:ilvl="2" w:tentative="0">
      <w:start w:val="1"/>
      <w:numFmt w:val="lowerLetter"/>
      <w:pStyle w:val="5"/>
      <w:lvlText w:val="(%3)"/>
      <w:lvlJc w:val="left"/>
      <w:pPr>
        <w:tabs>
          <w:tab w:val="left" w:pos="432"/>
        </w:tabs>
        <w:ind w:left="432" w:hanging="432"/>
      </w:pPr>
    </w:lvl>
    <w:lvl w:ilvl="3" w:tentative="0">
      <w:start w:val="1"/>
      <w:numFmt w:val="lowerRoman"/>
      <w:lvlText w:val="(%4)"/>
      <w:lvlJc w:val="right"/>
      <w:pPr>
        <w:tabs>
          <w:tab w:val="left" w:pos="864"/>
        </w:tabs>
        <w:ind w:left="864" w:hanging="144"/>
      </w:pPr>
    </w:lvl>
    <w:lvl w:ilvl="4" w:tentative="0">
      <w:start w:val="1"/>
      <w:numFmt w:val="decimal"/>
      <w:lvlText w:val="%5)"/>
      <w:lvlJc w:val="left"/>
      <w:pPr>
        <w:tabs>
          <w:tab w:val="left" w:pos="1008"/>
        </w:tabs>
        <w:ind w:left="1008" w:hanging="432"/>
      </w:pPr>
    </w:lvl>
    <w:lvl w:ilvl="5" w:tentative="0">
      <w:start w:val="1"/>
      <w:numFmt w:val="lowerLetter"/>
      <w:lvlText w:val="%6)"/>
      <w:lvlJc w:val="left"/>
      <w:pPr>
        <w:tabs>
          <w:tab w:val="left" w:pos="1152"/>
        </w:tabs>
        <w:ind w:left="1152" w:hanging="432"/>
      </w:pPr>
    </w:lvl>
    <w:lvl w:ilvl="6" w:tentative="0">
      <w:start w:val="1"/>
      <w:numFmt w:val="lowerRoman"/>
      <w:lvlText w:val="%7)"/>
      <w:lvlJc w:val="right"/>
      <w:pPr>
        <w:tabs>
          <w:tab w:val="left" w:pos="1296"/>
        </w:tabs>
        <w:ind w:left="1296" w:hanging="288"/>
      </w:pPr>
    </w:lvl>
    <w:lvl w:ilvl="7" w:tentative="0">
      <w:start w:val="1"/>
      <w:numFmt w:val="lowerLetter"/>
      <w:lvlText w:val="%8."/>
      <w:lvlJc w:val="left"/>
      <w:pPr>
        <w:tabs>
          <w:tab w:val="left" w:pos="1440"/>
        </w:tabs>
        <w:ind w:left="1440" w:hanging="432"/>
      </w:pPr>
    </w:lvl>
    <w:lvl w:ilvl="8" w:tentative="0">
      <w:start w:val="1"/>
      <w:numFmt w:val="lowerRoman"/>
      <w:lvlText w:val="%9."/>
      <w:lvlJc w:val="right"/>
      <w:pPr>
        <w:tabs>
          <w:tab w:val="left" w:pos="1584"/>
        </w:tabs>
        <w:ind w:left="1584" w:hanging="144"/>
      </w:pPr>
    </w:lvl>
  </w:abstractNum>
  <w:abstractNum w:abstractNumId="2">
    <w:nsid w:val="39316B08"/>
    <w:multiLevelType w:val="singleLevel"/>
    <w:tmpl w:val="39316B08"/>
    <w:lvl w:ilvl="0" w:tentative="0">
      <w:start w:val="3"/>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001D7D62"/>
    <w:rsid w:val="00661709"/>
    <w:rsid w:val="009810B3"/>
    <w:rsid w:val="02331ABF"/>
    <w:rsid w:val="024261A6"/>
    <w:rsid w:val="025832D3"/>
    <w:rsid w:val="035148F2"/>
    <w:rsid w:val="039D04CA"/>
    <w:rsid w:val="042172CF"/>
    <w:rsid w:val="0425335F"/>
    <w:rsid w:val="045F4DED"/>
    <w:rsid w:val="048C13FC"/>
    <w:rsid w:val="04D05CEB"/>
    <w:rsid w:val="04EF55C4"/>
    <w:rsid w:val="05096B07"/>
    <w:rsid w:val="05F15F19"/>
    <w:rsid w:val="063D4CBA"/>
    <w:rsid w:val="06FA07EB"/>
    <w:rsid w:val="070E313E"/>
    <w:rsid w:val="075838FA"/>
    <w:rsid w:val="07B45450"/>
    <w:rsid w:val="09EF276F"/>
    <w:rsid w:val="0A5E78F5"/>
    <w:rsid w:val="0B3A5C6C"/>
    <w:rsid w:val="0B495EAF"/>
    <w:rsid w:val="0C28640C"/>
    <w:rsid w:val="0C3B7EEE"/>
    <w:rsid w:val="0C7A48B8"/>
    <w:rsid w:val="0C8C24F7"/>
    <w:rsid w:val="0CC41D6A"/>
    <w:rsid w:val="0D660F9A"/>
    <w:rsid w:val="0E464928"/>
    <w:rsid w:val="0E4F1A2E"/>
    <w:rsid w:val="0E556903"/>
    <w:rsid w:val="0E7771D7"/>
    <w:rsid w:val="0F9811B3"/>
    <w:rsid w:val="108865E6"/>
    <w:rsid w:val="10E7693A"/>
    <w:rsid w:val="1105322F"/>
    <w:rsid w:val="11230F50"/>
    <w:rsid w:val="11A07096"/>
    <w:rsid w:val="1283439D"/>
    <w:rsid w:val="12E36BE9"/>
    <w:rsid w:val="14467430"/>
    <w:rsid w:val="14C940E6"/>
    <w:rsid w:val="153320AA"/>
    <w:rsid w:val="15D942D4"/>
    <w:rsid w:val="162163A6"/>
    <w:rsid w:val="16760717"/>
    <w:rsid w:val="177F50ED"/>
    <w:rsid w:val="18463EA2"/>
    <w:rsid w:val="18B52DD6"/>
    <w:rsid w:val="19B92850"/>
    <w:rsid w:val="1AA66E7A"/>
    <w:rsid w:val="1ABD5F72"/>
    <w:rsid w:val="1BAA0BEC"/>
    <w:rsid w:val="1BF81957"/>
    <w:rsid w:val="1C580648"/>
    <w:rsid w:val="1C6A3ED7"/>
    <w:rsid w:val="1C7A4CA4"/>
    <w:rsid w:val="1C936A0C"/>
    <w:rsid w:val="1D0B1216"/>
    <w:rsid w:val="1D21234A"/>
    <w:rsid w:val="1D9B2B44"/>
    <w:rsid w:val="1DBC4C07"/>
    <w:rsid w:val="207B2D2A"/>
    <w:rsid w:val="208539D6"/>
    <w:rsid w:val="20CE1D41"/>
    <w:rsid w:val="21B21B9E"/>
    <w:rsid w:val="22CA6173"/>
    <w:rsid w:val="23156E23"/>
    <w:rsid w:val="23FB55E8"/>
    <w:rsid w:val="24C30629"/>
    <w:rsid w:val="250F7D12"/>
    <w:rsid w:val="255F2A47"/>
    <w:rsid w:val="257007B0"/>
    <w:rsid w:val="26025181"/>
    <w:rsid w:val="26105AEF"/>
    <w:rsid w:val="2613754D"/>
    <w:rsid w:val="26154EB4"/>
    <w:rsid w:val="26415CA9"/>
    <w:rsid w:val="268E2D52"/>
    <w:rsid w:val="2694227D"/>
    <w:rsid w:val="27167136"/>
    <w:rsid w:val="27B241AD"/>
    <w:rsid w:val="27C070A1"/>
    <w:rsid w:val="27C546B8"/>
    <w:rsid w:val="287C121A"/>
    <w:rsid w:val="288F5AD7"/>
    <w:rsid w:val="28920A3E"/>
    <w:rsid w:val="28DA4193"/>
    <w:rsid w:val="28E62B38"/>
    <w:rsid w:val="290556B4"/>
    <w:rsid w:val="298F5A8D"/>
    <w:rsid w:val="29935E30"/>
    <w:rsid w:val="299747E3"/>
    <w:rsid w:val="29DB5F49"/>
    <w:rsid w:val="2ADB6C0C"/>
    <w:rsid w:val="2B2A092C"/>
    <w:rsid w:val="2B51698E"/>
    <w:rsid w:val="2B844FB6"/>
    <w:rsid w:val="2B9D6077"/>
    <w:rsid w:val="2BB313F7"/>
    <w:rsid w:val="2C7E2617"/>
    <w:rsid w:val="2D346567"/>
    <w:rsid w:val="2D97230E"/>
    <w:rsid w:val="2DB71F51"/>
    <w:rsid w:val="2E7D5CEC"/>
    <w:rsid w:val="2E8A3192"/>
    <w:rsid w:val="2ECB1B24"/>
    <w:rsid w:val="2ED51684"/>
    <w:rsid w:val="2F6404B7"/>
    <w:rsid w:val="30A80613"/>
    <w:rsid w:val="31E367AE"/>
    <w:rsid w:val="326A6587"/>
    <w:rsid w:val="32C43EEA"/>
    <w:rsid w:val="335C05C6"/>
    <w:rsid w:val="337551E4"/>
    <w:rsid w:val="33C51F02"/>
    <w:rsid w:val="340B78F6"/>
    <w:rsid w:val="34F565DC"/>
    <w:rsid w:val="34FA4631"/>
    <w:rsid w:val="35270760"/>
    <w:rsid w:val="355552CD"/>
    <w:rsid w:val="357A4D33"/>
    <w:rsid w:val="35BC3464"/>
    <w:rsid w:val="36A93B22"/>
    <w:rsid w:val="37775337"/>
    <w:rsid w:val="378555CE"/>
    <w:rsid w:val="3795163A"/>
    <w:rsid w:val="384855BD"/>
    <w:rsid w:val="38DD7AB3"/>
    <w:rsid w:val="396226AE"/>
    <w:rsid w:val="398048E2"/>
    <w:rsid w:val="39D87235"/>
    <w:rsid w:val="3A83468A"/>
    <w:rsid w:val="3C425ABB"/>
    <w:rsid w:val="3C77021F"/>
    <w:rsid w:val="3C850B8E"/>
    <w:rsid w:val="3CBD0327"/>
    <w:rsid w:val="3D6D517E"/>
    <w:rsid w:val="3E24689A"/>
    <w:rsid w:val="3E2A590C"/>
    <w:rsid w:val="3E9C5D1B"/>
    <w:rsid w:val="3EA42E21"/>
    <w:rsid w:val="3F035D9A"/>
    <w:rsid w:val="3F9A2A03"/>
    <w:rsid w:val="40774C91"/>
    <w:rsid w:val="409500FD"/>
    <w:rsid w:val="41166258"/>
    <w:rsid w:val="415428DD"/>
    <w:rsid w:val="42075BA1"/>
    <w:rsid w:val="429F5DD9"/>
    <w:rsid w:val="42BE1A30"/>
    <w:rsid w:val="437305D7"/>
    <w:rsid w:val="43CA332A"/>
    <w:rsid w:val="43E228FB"/>
    <w:rsid w:val="44435C86"/>
    <w:rsid w:val="44623562"/>
    <w:rsid w:val="450D7972"/>
    <w:rsid w:val="451C4E7E"/>
    <w:rsid w:val="454D32DD"/>
    <w:rsid w:val="45A54CE6"/>
    <w:rsid w:val="45C53DA9"/>
    <w:rsid w:val="46690BD8"/>
    <w:rsid w:val="474653BD"/>
    <w:rsid w:val="47932CA1"/>
    <w:rsid w:val="47CB0DD4"/>
    <w:rsid w:val="47F70466"/>
    <w:rsid w:val="487344BE"/>
    <w:rsid w:val="488C1626"/>
    <w:rsid w:val="491D5CAA"/>
    <w:rsid w:val="49B303BC"/>
    <w:rsid w:val="49BE157C"/>
    <w:rsid w:val="49D217F6"/>
    <w:rsid w:val="4A340EAF"/>
    <w:rsid w:val="4A62250E"/>
    <w:rsid w:val="4A8C30E7"/>
    <w:rsid w:val="4AEE2B5A"/>
    <w:rsid w:val="4B086B5A"/>
    <w:rsid w:val="4B0D06CC"/>
    <w:rsid w:val="4B3317B5"/>
    <w:rsid w:val="4D7C5695"/>
    <w:rsid w:val="4DAB1AD6"/>
    <w:rsid w:val="4DD12071"/>
    <w:rsid w:val="4E0F475B"/>
    <w:rsid w:val="4E5C1022"/>
    <w:rsid w:val="4F147E17"/>
    <w:rsid w:val="4FB56C3C"/>
    <w:rsid w:val="50155430"/>
    <w:rsid w:val="509B4084"/>
    <w:rsid w:val="51D610EC"/>
    <w:rsid w:val="52471049"/>
    <w:rsid w:val="52927709"/>
    <w:rsid w:val="53913478"/>
    <w:rsid w:val="53B316E5"/>
    <w:rsid w:val="53B52B8D"/>
    <w:rsid w:val="53C102A5"/>
    <w:rsid w:val="54B42188"/>
    <w:rsid w:val="568C47D3"/>
    <w:rsid w:val="56D61007"/>
    <w:rsid w:val="56DD6EDF"/>
    <w:rsid w:val="56F75D8C"/>
    <w:rsid w:val="571D28A3"/>
    <w:rsid w:val="575925A3"/>
    <w:rsid w:val="57D460CD"/>
    <w:rsid w:val="58B02697"/>
    <w:rsid w:val="58BA6D2D"/>
    <w:rsid w:val="594B6520"/>
    <w:rsid w:val="5A0343A1"/>
    <w:rsid w:val="5A7E2464"/>
    <w:rsid w:val="5AD07020"/>
    <w:rsid w:val="5B01367D"/>
    <w:rsid w:val="5B3945F0"/>
    <w:rsid w:val="5C9306BD"/>
    <w:rsid w:val="5D5F6439"/>
    <w:rsid w:val="5D6D0B56"/>
    <w:rsid w:val="5E0F1C0D"/>
    <w:rsid w:val="5E8C14B0"/>
    <w:rsid w:val="5EB90EE3"/>
    <w:rsid w:val="606D2D49"/>
    <w:rsid w:val="60AC0895"/>
    <w:rsid w:val="60BA7F29"/>
    <w:rsid w:val="636E5628"/>
    <w:rsid w:val="63807109"/>
    <w:rsid w:val="63B079EF"/>
    <w:rsid w:val="63B76FCA"/>
    <w:rsid w:val="63C74D38"/>
    <w:rsid w:val="63D556A7"/>
    <w:rsid w:val="63DD630A"/>
    <w:rsid w:val="64F658D5"/>
    <w:rsid w:val="66613222"/>
    <w:rsid w:val="67086130"/>
    <w:rsid w:val="67452B44"/>
    <w:rsid w:val="685E5C6B"/>
    <w:rsid w:val="68C33D20"/>
    <w:rsid w:val="68D0643D"/>
    <w:rsid w:val="68E465BF"/>
    <w:rsid w:val="69117181"/>
    <w:rsid w:val="693966D8"/>
    <w:rsid w:val="69524E67"/>
    <w:rsid w:val="69AB49DB"/>
    <w:rsid w:val="69F34AD9"/>
    <w:rsid w:val="6A554E4C"/>
    <w:rsid w:val="6AAB53B4"/>
    <w:rsid w:val="6ACA5484"/>
    <w:rsid w:val="6B7632CC"/>
    <w:rsid w:val="6BAE1FE0"/>
    <w:rsid w:val="6BD64493"/>
    <w:rsid w:val="6C0703C8"/>
    <w:rsid w:val="6CCB2A08"/>
    <w:rsid w:val="6CF546C4"/>
    <w:rsid w:val="6D0C2FBA"/>
    <w:rsid w:val="6D1A412B"/>
    <w:rsid w:val="6D513E38"/>
    <w:rsid w:val="6D544E73"/>
    <w:rsid w:val="6E6733A0"/>
    <w:rsid w:val="6EAD34A8"/>
    <w:rsid w:val="6F305E87"/>
    <w:rsid w:val="6F834209"/>
    <w:rsid w:val="6FD9207B"/>
    <w:rsid w:val="70595806"/>
    <w:rsid w:val="70C1148D"/>
    <w:rsid w:val="717A70B8"/>
    <w:rsid w:val="71B96608"/>
    <w:rsid w:val="71CF3736"/>
    <w:rsid w:val="71D505DE"/>
    <w:rsid w:val="71E73175"/>
    <w:rsid w:val="725231E8"/>
    <w:rsid w:val="72A963E6"/>
    <w:rsid w:val="73027B3B"/>
    <w:rsid w:val="74081181"/>
    <w:rsid w:val="740D2C3B"/>
    <w:rsid w:val="74BD5781"/>
    <w:rsid w:val="74BF4858"/>
    <w:rsid w:val="74FC02A2"/>
    <w:rsid w:val="75CC75E6"/>
    <w:rsid w:val="76143E0D"/>
    <w:rsid w:val="7621652A"/>
    <w:rsid w:val="77F42148"/>
    <w:rsid w:val="77F79321"/>
    <w:rsid w:val="78056103"/>
    <w:rsid w:val="78670B6C"/>
    <w:rsid w:val="78972AD3"/>
    <w:rsid w:val="78A56B5E"/>
    <w:rsid w:val="79FF4DD4"/>
    <w:rsid w:val="7A2860D9"/>
    <w:rsid w:val="7A3C3932"/>
    <w:rsid w:val="7A5E1AFB"/>
    <w:rsid w:val="7AD85D51"/>
    <w:rsid w:val="7AEA5A84"/>
    <w:rsid w:val="7B890DF9"/>
    <w:rsid w:val="7BBD0AA3"/>
    <w:rsid w:val="7BC8448F"/>
    <w:rsid w:val="7E696CC0"/>
    <w:rsid w:val="7E7A7402"/>
    <w:rsid w:val="7EA81482"/>
    <w:rsid w:val="7EE011E6"/>
    <w:rsid w:val="7F412E62"/>
    <w:rsid w:val="7F7C4879"/>
    <w:rsid w:val="7FDB599C"/>
    <w:rsid w:val="7FFDAA95"/>
    <w:rsid w:val="BBBF7779"/>
    <w:rsid w:val="FAF3070D"/>
    <w:rsid w:val="FBD72E15"/>
    <w:rsid w:val="FBF94665"/>
    <w:rsid w:val="FDF97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qFormat/>
    <w:uiPriority w:val="0"/>
    <w:pPr>
      <w:keepNext/>
      <w:keepLines/>
      <w:widowControl/>
      <w:numPr>
        <w:ilvl w:val="1"/>
        <w:numId w:val="1"/>
      </w:numPr>
      <w:autoSpaceDE w:val="0"/>
      <w:autoSpaceDN w:val="0"/>
      <w:adjustRightInd w:val="0"/>
      <w:snapToGrid w:val="0"/>
      <w:spacing w:before="260" w:after="260"/>
      <w:jc w:val="center"/>
      <w:textAlignment w:val="baseline"/>
      <w:outlineLvl w:val="1"/>
    </w:pPr>
    <w:rPr>
      <w:rFonts w:ascii="黑体" w:hAnsi="宋体" w:eastAsia="黑体"/>
      <w:bCs/>
      <w:kern w:val="44"/>
    </w:rPr>
  </w:style>
  <w:style w:type="paragraph" w:styleId="5">
    <w:name w:val="heading 3"/>
    <w:basedOn w:val="1"/>
    <w:next w:val="1"/>
    <w:qFormat/>
    <w:uiPriority w:val="0"/>
    <w:pPr>
      <w:keepNext/>
      <w:keepLines/>
      <w:widowControl/>
      <w:numPr>
        <w:ilvl w:val="2"/>
        <w:numId w:val="1"/>
      </w:numPr>
      <w:tabs>
        <w:tab w:val="left" w:pos="753"/>
      </w:tabs>
      <w:autoSpaceDE w:val="0"/>
      <w:autoSpaceDN w:val="0"/>
      <w:adjustRightInd w:val="0"/>
      <w:snapToGrid w:val="0"/>
      <w:spacing w:before="260" w:after="260" w:line="360" w:lineRule="auto"/>
      <w:textAlignment w:val="baseline"/>
      <w:outlineLvl w:val="2"/>
    </w:pPr>
    <w:rPr>
      <w:rFonts w:ascii="黑体" w:eastAsia="黑体"/>
      <w:bCs/>
      <w:color w:val="000000"/>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2"/>
    <w:basedOn w:val="1"/>
    <w:qFormat/>
    <w:uiPriority w:val="0"/>
    <w:pPr>
      <w:widowControl/>
      <w:spacing w:after="120" w:afterLines="0" w:line="480" w:lineRule="auto"/>
      <w:jc w:val="left"/>
    </w:pPr>
    <w:rPr>
      <w:kern w:val="0"/>
      <w:szCs w:val="20"/>
    </w:rPr>
  </w:style>
  <w:style w:type="paragraph" w:styleId="6">
    <w:name w:val="Normal Indent"/>
    <w:basedOn w:val="1"/>
    <w:qFormat/>
    <w:uiPriority w:val="0"/>
    <w:pPr>
      <w:autoSpaceDE w:val="0"/>
      <w:autoSpaceDN w:val="0"/>
      <w:adjustRightInd w:val="0"/>
      <w:ind w:firstLine="420"/>
      <w:jc w:val="left"/>
      <w:textAlignment w:val="baseline"/>
    </w:pPr>
    <w:rPr>
      <w:rFonts w:ascii="宋体"/>
      <w:kern w:val="0"/>
      <w:sz w:val="34"/>
      <w:szCs w:val="20"/>
    </w:rPr>
  </w:style>
  <w:style w:type="paragraph" w:styleId="7">
    <w:name w:val="index 5"/>
    <w:basedOn w:val="1"/>
    <w:next w:val="1"/>
    <w:qFormat/>
    <w:uiPriority w:val="0"/>
    <w:pPr>
      <w:ind w:left="1680"/>
    </w:pPr>
  </w:style>
  <w:style w:type="paragraph" w:styleId="8">
    <w:name w:val="Body Text"/>
    <w:basedOn w:val="1"/>
    <w:qFormat/>
    <w:uiPriority w:val="0"/>
    <w:pPr>
      <w:spacing w:after="120"/>
    </w:pPr>
  </w:style>
  <w:style w:type="paragraph" w:styleId="9">
    <w:name w:val="toc 3"/>
    <w:basedOn w:val="1"/>
    <w:next w:val="1"/>
    <w:qFormat/>
    <w:uiPriority w:val="0"/>
    <w:pPr>
      <w:ind w:left="840" w:leftChars="400"/>
    </w:pPr>
  </w:style>
  <w:style w:type="paragraph" w:styleId="10">
    <w:name w:val="Plain Text"/>
    <w:basedOn w:val="1"/>
    <w:qFormat/>
    <w:uiPriority w:val="0"/>
    <w:rPr>
      <w:rFonts w:ascii="宋体" w:hAnsi="Courier New"/>
      <w:szCs w:val="20"/>
    </w:rPr>
  </w:style>
  <w:style w:type="paragraph" w:styleId="11">
    <w:name w:val="footer"/>
    <w:basedOn w:val="1"/>
    <w:next w:val="7"/>
    <w:qFormat/>
    <w:uiPriority w:val="0"/>
    <w:pPr>
      <w:tabs>
        <w:tab w:val="center" w:pos="4153"/>
        <w:tab w:val="right" w:pos="8306"/>
      </w:tabs>
      <w:snapToGrid w:val="0"/>
      <w:jc w:val="left"/>
    </w:pPr>
    <w:rPr>
      <w:sz w:val="18"/>
      <w:szCs w:val="20"/>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paragraph" w:styleId="15">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8">
    <w:name w:val="Strong"/>
    <w:qFormat/>
    <w:uiPriority w:val="22"/>
    <w:rPr>
      <w:b/>
      <w:bCs/>
    </w:rPr>
  </w:style>
  <w:style w:type="paragraph" w:customStyle="1" w:styleId="19">
    <w:name w:val="null3"/>
    <w:hidden/>
    <w:qFormat/>
    <w:uiPriority w:val="0"/>
    <w:rPr>
      <w:rFonts w:hint="eastAsia" w:asciiTheme="minorHAnsi" w:hAnsiTheme="minorHAnsi" w:eastAsiaTheme="minorEastAsia" w:cstheme="minorBidi"/>
      <w:lang w:val="en-US" w:eastAsia="zh-Hans"/>
    </w:rPr>
  </w:style>
  <w:style w:type="character" w:styleId="20">
    <w:name w:val="Placeholder Text"/>
    <w:basedOn w:val="17"/>
    <w:semiHidden/>
    <w:qFormat/>
    <w:uiPriority w:val="99"/>
    <w:rPr>
      <w:color w:val="808080"/>
    </w:rPr>
  </w:style>
  <w:style w:type="paragraph" w:customStyle="1" w:styleId="21">
    <w:name w:val="Default"/>
    <w:qFormat/>
    <w:uiPriority w:val="0"/>
    <w:pPr>
      <w:widowControl w:val="0"/>
      <w:autoSpaceDE w:val="0"/>
      <w:autoSpaceDN w:val="0"/>
      <w:adjustRightInd w:val="0"/>
    </w:pPr>
    <w:rPr>
      <w:rFonts w:ascii="..ì." w:hAnsi="Times New Roman" w:eastAsia="..ì." w:cs="..ì."/>
      <w:color w:val="000000"/>
      <w:sz w:val="24"/>
      <w:szCs w:val="24"/>
      <w:lang w:val="en-US" w:eastAsia="zh-CN" w:bidi="ar-SA"/>
    </w:rPr>
  </w:style>
  <w:style w:type="paragraph" w:styleId="22">
    <w:name w:val="List Paragraph"/>
    <w:basedOn w:val="1"/>
    <w:qFormat/>
    <w:uiPriority w:val="34"/>
    <w:pPr>
      <w:ind w:firstLine="420" w:firstLineChars="200"/>
    </w:pPr>
  </w:style>
  <w:style w:type="paragraph" w:customStyle="1" w:styleId="23">
    <w:name w:val="首行缩进"/>
    <w:basedOn w:val="1"/>
    <w:autoRedefine/>
    <w:qFormat/>
    <w:uiPriority w:val="0"/>
    <w:pPr>
      <w:spacing w:line="360" w:lineRule="auto"/>
      <w:ind w:firstLine="480" w:firstLineChars="200"/>
    </w:pPr>
    <w:rPr>
      <w:rFonts w:ascii="宋体" w:hAnsi="宋体" w:cs="宋体"/>
      <w:kern w:val="0"/>
      <w:sz w:val="24"/>
    </w:rPr>
  </w:style>
  <w:style w:type="paragraph" w:customStyle="1" w:styleId="24">
    <w:name w:val="Table Paragraph"/>
    <w:basedOn w:val="1"/>
    <w:qFormat/>
    <w:uiPriority w:val="1"/>
    <w:pPr>
      <w:spacing w:before="70"/>
    </w:pPr>
    <w:rPr>
      <w:rFonts w:ascii="宋体" w:hAnsi="宋体" w:eastAsia="宋体" w:cs="宋体"/>
      <w:lang w:val="zh-CN" w:eastAsia="zh-CN" w:bidi="zh-CN"/>
    </w:rPr>
  </w:style>
  <w:style w:type="paragraph" w:customStyle="1" w:styleId="25">
    <w:name w:val="_Style 22"/>
    <w:basedOn w:val="1"/>
    <w:next w:val="22"/>
    <w:qFormat/>
    <w:uiPriority w:val="34"/>
    <w:pPr>
      <w:ind w:firstLine="420" w:firstLineChars="200"/>
    </w:pPr>
    <w:rPr>
      <w:rFonts w:ascii="Times New Roman" w:hAnsi="Times New Roman" w:cs="Times New Roman"/>
      <w:kern w:val="0"/>
      <w:sz w:val="20"/>
      <w:szCs w:val="24"/>
    </w:rPr>
  </w:style>
  <w:style w:type="paragraph" w:customStyle="1" w:styleId="26">
    <w:name w:val="其他"/>
    <w:basedOn w:val="1"/>
    <w:qFormat/>
    <w:uiPriority w:val="0"/>
    <w:pPr>
      <w:widowControl w:val="0"/>
      <w:shd w:val="clear" w:color="auto" w:fill="FFFFFF"/>
      <w:spacing w:after="100" w:line="468" w:lineRule="auto"/>
      <w:ind w:firstLine="400"/>
    </w:pPr>
    <w:rPr>
      <w:rFonts w:ascii="MingLiU" w:hAnsi="MingLiU" w:eastAsia="MingLiU" w:cs="MingLiU"/>
      <w:sz w:val="20"/>
      <w:szCs w:val="20"/>
      <w:u w:val="none"/>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e06b179-ff53-448b-b9eb-3ff6c55a5c19}"/>
        <w:style w:val=""/>
        <w:category>
          <w:name w:val="常规"/>
          <w:gallery w:val="placeholder"/>
        </w:category>
        <w:types>
          <w:type w:val="bbPlcHdr"/>
        </w:types>
        <w:behaviors>
          <w:behavior w:val="content"/>
        </w:behaviors>
        <w:description w:val=""/>
        <w:guid w:val="{3e06b179-ff53-448b-b9eb-3ff6c55a5c19}"/>
      </w:docPartPr>
      <w:docPartBody>
        <w:p w14:paraId="5499F061">
          <w:pPr>
            <w:pStyle w:val="5"/>
          </w:pPr>
          <w:r>
            <w:rPr>
              <w:rStyle w:val="3"/>
              <w:rFonts w:hint="eastAsia"/>
              <w:color w:val="000000" w:themeColor="text1"/>
              <w14:textFill>
                <w14:solidFill>
                  <w14:schemeClr w14:val="tx1"/>
                </w14:solidFill>
              </w14:textFill>
            </w:rPr>
            <w:t>年  月  日</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1" w:name="Default Paragraph Font"/>
    <w:lsdException w:qFormat="1" w:unhideWhenUsed="0" w:uiPriority="99" w:name="Placeholder Text"/>
  </w:latentStyles>
  <w:style w:type="character" w:default="1" w:styleId="1">
    <w:name w:val="Default Paragraph Font"/>
    <w:semiHidden/>
    <w:unhideWhenUsed/>
    <w:qFormat/>
    <w:uiPriority w:val="1"/>
  </w:style>
  <w:style w:type="paragraph" w:customStyle="1" w:styleId="2">
    <w:name w:val="2FAC1DDF9F13492398C64F996A4FE0B05"/>
    <w:qFormat/>
    <w:uiPriority w:val="0"/>
    <w:pPr>
      <w:widowControl w:val="0"/>
      <w:jc w:val="both"/>
    </w:pPr>
    <w:rPr>
      <w:rFonts w:ascii="Times New Roman" w:hAnsi="Times New Roman" w:eastAsia="宋体" w:cs="Times New Roman"/>
      <w:kern w:val="2"/>
      <w:sz w:val="21"/>
      <w:szCs w:val="24"/>
      <w:lang w:val="en-US" w:eastAsia="zh-CN" w:bidi="ar-SA"/>
    </w:rPr>
  </w:style>
  <w:style w:type="character" w:styleId="3">
    <w:name w:val="Placeholder Text"/>
    <w:basedOn w:val="1"/>
    <w:semiHidden/>
    <w:qFormat/>
    <w:uiPriority w:val="99"/>
    <w:rPr>
      <w:color w:val="808080"/>
    </w:rPr>
  </w:style>
  <w:style w:type="paragraph" w:customStyle="1" w:styleId="4">
    <w:name w:val="5AD39ACF3C0B4BD88CFA70B400768517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
    <w:name w:val="EA96D7F7CF1A4A5297711D2BFC5C5079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
    <w:name w:val="5BB15160A6374FA780ABA93A091EAFCA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
    <w:name w:val="27DA420926AA423E8F10E6D506FD3242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
    <w:name w:val="D635DE0BC0DC4DBBBE530E11BDB6916D3"/>
    <w:qFormat/>
    <w:uiPriority w:val="0"/>
    <w:pPr>
      <w:widowControl w:val="0"/>
      <w:jc w:val="both"/>
    </w:pPr>
    <w:rPr>
      <w:rFonts w:ascii="Times New Roman" w:hAnsi="Times New Roman" w:eastAsia="宋体" w:cs="Times New Roman"/>
      <w:kern w:val="2"/>
      <w:sz w:val="21"/>
      <w:szCs w:val="24"/>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86</Pages>
  <Words>9083</Words>
  <Characters>9633</Characters>
  <Lines>0</Lines>
  <Paragraphs>0</Paragraphs>
  <TotalTime>28</TotalTime>
  <ScaleCrop>false</ScaleCrop>
  <LinksUpToDate>false</LinksUpToDate>
  <CharactersWithSpaces>9759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2022-04-10T11:57:00Z</dcterms:created>
  <dc:creator>广东政府采购智慧云平台</dc:creator>
  <cp:lastModifiedBy>Administrator</cp:lastModifiedBy>
  <cp:lastPrinted>2026-07-14T01:13:00Z</cp:lastPrinted>
  <dcterms:modified xsi:type="dcterms:W3CDTF">2026-07-22T06:33:54Z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84AAD3F223FF2AC521F59E68BCC7017B_42</vt:lpwstr>
  </property>
  <property fmtid="{D5CDD505-2E9C-101B-9397-08002B2CF9AE}" pid="4" name="KSOTemplateDocerSaveRecord">
    <vt:lpwstr>eyJoZGlkIjoiNjRhODA0MGJlYjkwYzhjNWY3NDVmZDZhNTM4ODVlZmIiLCJ1c2VySWQiOiI0MzkwMDY1NTEifQ==</vt:lpwstr>
  </property>
</Properties>
</file>