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8684A">
      <w:pPr>
        <w:jc w:val="center"/>
        <w:rPr>
          <w:rFonts w:ascii="宋体"/>
          <w:b/>
          <w:bCs/>
          <w:color w:val="auto"/>
          <w:sz w:val="52"/>
          <w:szCs w:val="52"/>
          <w:highlight w:val="none"/>
        </w:rPr>
      </w:pPr>
    </w:p>
    <w:p w14:paraId="725FCFE7">
      <w:pPr>
        <w:jc w:val="center"/>
        <w:rPr>
          <w:rFonts w:ascii="宋体"/>
          <w:b/>
          <w:bCs/>
          <w:color w:val="auto"/>
          <w:sz w:val="52"/>
          <w:szCs w:val="52"/>
          <w:highlight w:val="none"/>
        </w:rPr>
      </w:pPr>
    </w:p>
    <w:p w14:paraId="16CC9476">
      <w:pPr>
        <w:jc w:val="center"/>
        <w:rPr>
          <w:rFonts w:hint="eastAsia" w:ascii="宋体" w:eastAsia="宋体"/>
          <w:b/>
          <w:bCs/>
          <w:color w:val="auto"/>
          <w:sz w:val="72"/>
          <w:szCs w:val="72"/>
          <w:highlight w:val="none"/>
          <w:lang w:eastAsia="zh-CN"/>
        </w:rPr>
      </w:pPr>
      <w:r>
        <w:rPr>
          <w:rFonts w:hint="eastAsia" w:ascii="宋体" w:eastAsia="宋体"/>
          <w:b/>
          <w:bCs/>
          <w:color w:val="auto"/>
          <w:sz w:val="72"/>
          <w:szCs w:val="72"/>
          <w:highlight w:val="none"/>
          <w:lang w:eastAsia="zh-CN"/>
        </w:rPr>
        <w:t>阳江海关2026-2027年度食堂食材配送服务采购项目</w:t>
      </w:r>
    </w:p>
    <w:p w14:paraId="4658A0D5">
      <w:pPr>
        <w:jc w:val="center"/>
        <w:rPr>
          <w:rFonts w:hint="eastAsia" w:ascii="宋体" w:eastAsia="宋体"/>
          <w:b/>
          <w:bCs/>
          <w:color w:val="auto"/>
          <w:sz w:val="72"/>
          <w:szCs w:val="72"/>
          <w:highlight w:val="none"/>
          <w:lang w:eastAsia="zh-CN"/>
        </w:rPr>
      </w:pPr>
    </w:p>
    <w:p w14:paraId="103267E9">
      <w:pPr>
        <w:jc w:val="center"/>
        <w:rPr>
          <w:rFonts w:ascii="宋体"/>
          <w:b/>
          <w:bCs/>
          <w:color w:val="auto"/>
          <w:sz w:val="72"/>
          <w:szCs w:val="72"/>
          <w:highlight w:val="none"/>
        </w:rPr>
      </w:pPr>
      <w:r>
        <w:rPr>
          <w:rFonts w:hint="eastAsia" w:ascii="宋体"/>
          <w:b/>
          <w:bCs/>
          <w:color w:val="auto"/>
          <w:sz w:val="72"/>
          <w:szCs w:val="72"/>
          <w:highlight w:val="none"/>
        </w:rPr>
        <w:t>竞争性磋商文件</w:t>
      </w:r>
    </w:p>
    <w:p w14:paraId="3DBBDDE9">
      <w:pPr>
        <w:spacing w:before="360"/>
        <w:rPr>
          <w:rFonts w:ascii="宋体"/>
          <w:b/>
          <w:bCs/>
          <w:color w:val="auto"/>
          <w:highlight w:val="none"/>
        </w:rPr>
      </w:pPr>
    </w:p>
    <w:p w14:paraId="477A8473">
      <w:pPr>
        <w:spacing w:before="360"/>
        <w:rPr>
          <w:rFonts w:ascii="宋体"/>
          <w:b/>
          <w:bCs/>
          <w:color w:val="auto"/>
          <w:highlight w:val="none"/>
        </w:rPr>
      </w:pPr>
    </w:p>
    <w:p w14:paraId="173847DF">
      <w:pPr>
        <w:jc w:val="center"/>
        <w:rPr>
          <w:rFonts w:ascii="宋体"/>
          <w:b/>
          <w:bCs/>
          <w:color w:val="auto"/>
          <w:sz w:val="32"/>
          <w:szCs w:val="32"/>
          <w:highlight w:val="none"/>
        </w:rPr>
      </w:pPr>
    </w:p>
    <w:p w14:paraId="414E3D9A">
      <w:pPr>
        <w:jc w:val="center"/>
        <w:rPr>
          <w:rFonts w:hint="eastAsia" w:ascii="宋体" w:eastAsia="宋体"/>
          <w:b/>
          <w:bCs/>
          <w:color w:val="auto"/>
          <w:sz w:val="36"/>
          <w:szCs w:val="36"/>
          <w:highlight w:val="none"/>
          <w:lang w:eastAsia="zh-CN"/>
        </w:rPr>
      </w:pPr>
      <w:r>
        <w:rPr>
          <w:rFonts w:hint="eastAsia" w:ascii="宋体"/>
          <w:b/>
          <w:bCs/>
          <w:color w:val="auto"/>
          <w:sz w:val="36"/>
          <w:szCs w:val="36"/>
          <w:highlight w:val="none"/>
        </w:rPr>
        <w:t>项目编号：</w:t>
      </w:r>
      <w:r>
        <w:rPr>
          <w:rFonts w:hint="eastAsia" w:ascii="宋体"/>
          <w:b/>
          <w:bCs/>
          <w:color w:val="auto"/>
          <w:sz w:val="36"/>
          <w:szCs w:val="36"/>
          <w:highlight w:val="none"/>
          <w:lang w:eastAsia="zh-CN"/>
        </w:rPr>
        <w:t>YXCG-20260717</w:t>
      </w:r>
    </w:p>
    <w:p w14:paraId="205AB5B1">
      <w:pPr>
        <w:jc w:val="center"/>
        <w:rPr>
          <w:rFonts w:ascii="宋体"/>
          <w:b/>
          <w:bCs/>
          <w:color w:val="auto"/>
          <w:sz w:val="32"/>
          <w:szCs w:val="32"/>
          <w:highlight w:val="none"/>
        </w:rPr>
      </w:pPr>
    </w:p>
    <w:p w14:paraId="0B28D67E">
      <w:pPr>
        <w:jc w:val="center"/>
        <w:rPr>
          <w:rFonts w:ascii="宋体"/>
          <w:color w:val="auto"/>
          <w:highlight w:val="none"/>
        </w:rPr>
      </w:pPr>
    </w:p>
    <w:p w14:paraId="44C3E360">
      <w:pPr>
        <w:jc w:val="center"/>
        <w:rPr>
          <w:rFonts w:ascii="宋体"/>
          <w:b/>
          <w:bCs/>
          <w:color w:val="auto"/>
          <w:sz w:val="32"/>
          <w:szCs w:val="32"/>
          <w:highlight w:val="none"/>
        </w:rPr>
      </w:pPr>
    </w:p>
    <w:p w14:paraId="33237821">
      <w:pPr>
        <w:jc w:val="center"/>
        <w:rPr>
          <w:rFonts w:ascii="宋体"/>
          <w:b/>
          <w:bCs/>
          <w:color w:val="auto"/>
          <w:sz w:val="32"/>
          <w:szCs w:val="32"/>
          <w:highlight w:val="none"/>
        </w:rPr>
      </w:pPr>
    </w:p>
    <w:p w14:paraId="550C9988">
      <w:pPr>
        <w:jc w:val="center"/>
        <w:rPr>
          <w:rFonts w:ascii="宋体"/>
          <w:b/>
          <w:bCs/>
          <w:color w:val="auto"/>
          <w:sz w:val="32"/>
          <w:szCs w:val="32"/>
          <w:highlight w:val="none"/>
        </w:rPr>
      </w:pPr>
    </w:p>
    <w:p w14:paraId="255F3734">
      <w:pPr>
        <w:jc w:val="center"/>
        <w:rPr>
          <w:rFonts w:ascii="宋体"/>
          <w:b/>
          <w:bCs/>
          <w:color w:val="auto"/>
          <w:sz w:val="32"/>
          <w:szCs w:val="32"/>
          <w:highlight w:val="none"/>
        </w:rPr>
      </w:pPr>
    </w:p>
    <w:p w14:paraId="7E0321F3">
      <w:pPr>
        <w:jc w:val="center"/>
        <w:rPr>
          <w:rFonts w:ascii="宋体"/>
          <w:b/>
          <w:bCs/>
          <w:color w:val="auto"/>
          <w:sz w:val="32"/>
          <w:szCs w:val="32"/>
          <w:highlight w:val="none"/>
        </w:rPr>
      </w:pPr>
    </w:p>
    <w:p w14:paraId="1E88D165">
      <w:pPr>
        <w:jc w:val="center"/>
        <w:rPr>
          <w:rFonts w:ascii="宋体"/>
          <w:b/>
          <w:bCs/>
          <w:color w:val="auto"/>
          <w:sz w:val="32"/>
          <w:szCs w:val="32"/>
          <w:highlight w:val="none"/>
        </w:rPr>
      </w:pPr>
    </w:p>
    <w:p w14:paraId="2CBB8D72">
      <w:pPr>
        <w:jc w:val="both"/>
        <w:rPr>
          <w:rFonts w:ascii="宋体"/>
          <w:b/>
          <w:bCs/>
          <w:color w:val="auto"/>
          <w:sz w:val="32"/>
          <w:szCs w:val="32"/>
          <w:highlight w:val="none"/>
        </w:rPr>
      </w:pPr>
    </w:p>
    <w:p w14:paraId="00BABCE1">
      <w:pPr>
        <w:jc w:val="center"/>
        <w:rPr>
          <w:rFonts w:ascii="宋体"/>
          <w:b/>
          <w:bCs/>
          <w:color w:val="auto"/>
          <w:sz w:val="32"/>
          <w:szCs w:val="32"/>
          <w:highlight w:val="none"/>
        </w:rPr>
      </w:pPr>
    </w:p>
    <w:p w14:paraId="27BF88D3">
      <w:pPr>
        <w:jc w:val="center"/>
        <w:rPr>
          <w:rFonts w:ascii="宋体"/>
          <w:b/>
          <w:bCs/>
          <w:color w:val="auto"/>
          <w:sz w:val="32"/>
          <w:szCs w:val="32"/>
          <w:highlight w:val="none"/>
        </w:rPr>
      </w:pPr>
    </w:p>
    <w:p w14:paraId="6F82BDE9">
      <w:pPr>
        <w:pStyle w:val="1439"/>
        <w:spacing w:line="480" w:lineRule="auto"/>
        <w:jc w:val="center"/>
        <w:rPr>
          <w:rFonts w:ascii="宋体"/>
          <w:b/>
          <w:bCs/>
          <w:color w:val="auto"/>
          <w:sz w:val="36"/>
          <w:szCs w:val="36"/>
          <w:highlight w:val="none"/>
        </w:rPr>
      </w:pPr>
      <w:r>
        <w:rPr>
          <w:rFonts w:ascii="宋体"/>
          <w:b/>
          <w:color w:val="auto"/>
          <w:sz w:val="36"/>
          <w:szCs w:val="36"/>
          <w:highlight w:val="none"/>
        </w:rPr>
        <w:t>中华人民共和国阳江海关</w:t>
      </w:r>
    </w:p>
    <w:p w14:paraId="1CAEC5AD">
      <w:pPr>
        <w:pStyle w:val="1439"/>
        <w:spacing w:line="480" w:lineRule="auto"/>
        <w:jc w:val="center"/>
        <w:rPr>
          <w:rFonts w:ascii="宋体"/>
          <w:b/>
          <w:bCs/>
          <w:color w:val="auto"/>
          <w:sz w:val="32"/>
          <w:szCs w:val="32"/>
          <w:highlight w:val="none"/>
        </w:rPr>
      </w:pPr>
      <w:r>
        <w:rPr>
          <w:rFonts w:hint="eastAsia" w:ascii="宋体"/>
          <w:b/>
          <w:bCs/>
          <w:color w:val="auto"/>
          <w:sz w:val="36"/>
          <w:szCs w:val="36"/>
          <w:highlight w:val="none"/>
        </w:rPr>
        <w:t>202</w:t>
      </w:r>
      <w:r>
        <w:rPr>
          <w:rFonts w:hint="eastAsia" w:ascii="宋体"/>
          <w:b/>
          <w:bCs/>
          <w:color w:val="auto"/>
          <w:sz w:val="36"/>
          <w:szCs w:val="36"/>
          <w:highlight w:val="none"/>
          <w:lang w:val="en-US" w:eastAsia="zh-CN"/>
        </w:rPr>
        <w:t>6</w:t>
      </w:r>
      <w:r>
        <w:rPr>
          <w:rFonts w:hint="eastAsia" w:ascii="宋体"/>
          <w:b/>
          <w:bCs/>
          <w:color w:val="auto"/>
          <w:sz w:val="36"/>
          <w:szCs w:val="36"/>
          <w:highlight w:val="none"/>
        </w:rPr>
        <w:t>年</w:t>
      </w:r>
      <w:r>
        <w:rPr>
          <w:rFonts w:hint="eastAsia" w:ascii="宋体"/>
          <w:b/>
          <w:bCs/>
          <w:color w:val="auto"/>
          <w:sz w:val="36"/>
          <w:szCs w:val="36"/>
          <w:highlight w:val="none"/>
          <w:lang w:val="en-US" w:eastAsia="zh-CN"/>
        </w:rPr>
        <w:t>7</w:t>
      </w:r>
      <w:r>
        <w:rPr>
          <w:rFonts w:hint="eastAsia" w:ascii="宋体"/>
          <w:b/>
          <w:bCs/>
          <w:color w:val="auto"/>
          <w:sz w:val="36"/>
          <w:szCs w:val="36"/>
          <w:highlight w:val="none"/>
        </w:rPr>
        <w:t>月</w:t>
      </w:r>
    </w:p>
    <w:p w14:paraId="1D56E7CC">
      <w:pPr>
        <w:pStyle w:val="1439"/>
        <w:spacing w:line="480" w:lineRule="auto"/>
        <w:jc w:val="center"/>
        <w:rPr>
          <w:rFonts w:ascii="宋体"/>
          <w:b/>
          <w:bCs/>
          <w:color w:val="auto"/>
          <w:sz w:val="30"/>
          <w:highlight w:val="none"/>
        </w:rPr>
      </w:pPr>
    </w:p>
    <w:p w14:paraId="5B9B3172">
      <w:pPr>
        <w:pStyle w:val="21"/>
        <w:ind w:firstLine="0" w:firstLineChars="0"/>
        <w:jc w:val="center"/>
        <w:rPr>
          <w:rFonts w:ascii="宋体"/>
          <w:b/>
          <w:color w:val="auto"/>
          <w:sz w:val="32"/>
          <w:highlight w:val="none"/>
        </w:rPr>
      </w:pPr>
      <w:bookmarkStart w:id="0" w:name="_Toc474350604"/>
      <w:bookmarkStart w:id="1" w:name="_Toc56534764"/>
      <w:bookmarkStart w:id="2" w:name="_Toc503063420"/>
      <w:bookmarkStart w:id="3" w:name="_Toc177817333"/>
      <w:bookmarkStart w:id="4" w:name="_Toc499711041"/>
      <w:bookmarkStart w:id="5" w:name="_Toc492955413"/>
      <w:bookmarkStart w:id="6" w:name="_Toc70687138"/>
      <w:bookmarkStart w:id="7" w:name="_Toc500747187"/>
      <w:bookmarkStart w:id="8" w:name="_Toc499711882"/>
      <w:bookmarkStart w:id="9" w:name="_Toc177189234"/>
      <w:bookmarkStart w:id="10" w:name="_Toc500747060"/>
      <w:bookmarkStart w:id="11" w:name="_Toc177995472"/>
      <w:bookmarkStart w:id="12" w:name="_Toc496324577"/>
      <w:bookmarkStart w:id="13" w:name="_Toc176882541"/>
      <w:bookmarkStart w:id="14" w:name="_Toc53722839"/>
      <w:bookmarkStart w:id="15" w:name="_Toc500746964"/>
      <w:bookmarkStart w:id="16" w:name="_Toc385992325"/>
      <w:bookmarkStart w:id="17" w:name="_Toc385992324"/>
      <w:r>
        <w:rPr>
          <w:rFonts w:ascii="宋体"/>
          <w:b/>
          <w:color w:val="auto"/>
          <w:sz w:val="32"/>
          <w:highlight w:val="none"/>
        </w:rPr>
        <w:br w:type="page"/>
      </w:r>
      <w:r>
        <w:rPr>
          <w:rFonts w:hint="eastAsia" w:ascii="宋体"/>
          <w:b/>
          <w:color w:val="auto"/>
          <w:sz w:val="32"/>
          <w:highlight w:val="none"/>
        </w:rPr>
        <w:t>目    录</w:t>
      </w:r>
    </w:p>
    <w:p w14:paraId="0318B84F">
      <w:pPr>
        <w:pStyle w:val="44"/>
        <w:tabs>
          <w:tab w:val="right" w:leader="dot" w:pos="9185"/>
        </w:tabs>
        <w:rPr>
          <w:color w:val="auto"/>
          <w:highlight w:val="none"/>
        </w:rPr>
      </w:pPr>
      <w:r>
        <w:rPr>
          <w:rFonts w:hint="eastAsia" w:ascii="宋体"/>
          <w:bCs w:val="0"/>
          <w:color w:val="auto"/>
          <w:szCs w:val="21"/>
          <w:highlight w:val="none"/>
        </w:rPr>
        <w:fldChar w:fldCharType="begin"/>
      </w:r>
      <w:r>
        <w:rPr>
          <w:rFonts w:hint="eastAsia" w:ascii="宋体"/>
          <w:bCs w:val="0"/>
          <w:color w:val="auto"/>
          <w:szCs w:val="21"/>
          <w:highlight w:val="none"/>
        </w:rPr>
        <w:instrText xml:space="preserve"> TOC \o "1-2" \h \u </w:instrText>
      </w:r>
      <w:r>
        <w:rPr>
          <w:rFonts w:hint="eastAsia" w:ascii="宋体"/>
          <w:bCs w:val="0"/>
          <w:color w:val="auto"/>
          <w:szCs w:val="21"/>
          <w:highlight w:val="none"/>
        </w:rPr>
        <w:fldChar w:fldCharType="separate"/>
      </w:r>
      <w:r>
        <w:rPr>
          <w:rFonts w:hint="eastAsia" w:ascii="宋体"/>
          <w:bCs w:val="0"/>
          <w:color w:val="auto"/>
          <w:szCs w:val="21"/>
          <w:highlight w:val="none"/>
        </w:rPr>
        <w:fldChar w:fldCharType="begin"/>
      </w:r>
      <w:r>
        <w:rPr>
          <w:rFonts w:hint="eastAsia" w:ascii="宋体"/>
          <w:bCs w:val="0"/>
          <w:color w:val="auto"/>
          <w:szCs w:val="21"/>
          <w:highlight w:val="none"/>
        </w:rPr>
        <w:instrText xml:space="preserve"> HYPERLINK \l _Toc20172 </w:instrText>
      </w:r>
      <w:r>
        <w:rPr>
          <w:rFonts w:hint="eastAsia" w:ascii="宋体"/>
          <w:bCs w:val="0"/>
          <w:color w:val="auto"/>
          <w:szCs w:val="21"/>
          <w:highlight w:val="none"/>
        </w:rPr>
        <w:fldChar w:fldCharType="separate"/>
      </w:r>
      <w:r>
        <w:rPr>
          <w:rFonts w:hint="eastAsia" w:ascii="宋体"/>
          <w:color w:val="auto"/>
          <w:kern w:val="0"/>
          <w:szCs w:val="30"/>
          <w:highlight w:val="none"/>
        </w:rPr>
        <w:t>第一部分  磋商邀请</w:t>
      </w:r>
      <w:r>
        <w:rPr>
          <w:color w:val="auto"/>
          <w:highlight w:val="none"/>
        </w:rPr>
        <w:tab/>
      </w:r>
      <w:r>
        <w:rPr>
          <w:color w:val="auto"/>
          <w:highlight w:val="none"/>
        </w:rPr>
        <w:fldChar w:fldCharType="begin"/>
      </w:r>
      <w:r>
        <w:rPr>
          <w:color w:val="auto"/>
          <w:highlight w:val="none"/>
        </w:rPr>
        <w:instrText xml:space="preserve"> PAGEREF _Toc20172 \h </w:instrText>
      </w:r>
      <w:r>
        <w:rPr>
          <w:color w:val="auto"/>
          <w:highlight w:val="none"/>
        </w:rPr>
        <w:fldChar w:fldCharType="separate"/>
      </w:r>
      <w:r>
        <w:rPr>
          <w:color w:val="auto"/>
          <w:highlight w:val="none"/>
        </w:rPr>
        <w:t>5</w:t>
      </w:r>
      <w:r>
        <w:rPr>
          <w:color w:val="auto"/>
          <w:highlight w:val="none"/>
        </w:rPr>
        <w:fldChar w:fldCharType="end"/>
      </w:r>
      <w:r>
        <w:rPr>
          <w:rFonts w:hint="eastAsia" w:ascii="宋体"/>
          <w:bCs w:val="0"/>
          <w:color w:val="auto"/>
          <w:szCs w:val="21"/>
          <w:highlight w:val="none"/>
        </w:rPr>
        <w:fldChar w:fldCharType="end"/>
      </w:r>
    </w:p>
    <w:p w14:paraId="779662C8">
      <w:pPr>
        <w:pStyle w:val="44"/>
        <w:tabs>
          <w:tab w:val="right" w:leader="dot" w:pos="9185"/>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_Toc5277 </w:instrText>
      </w:r>
      <w:r>
        <w:rPr>
          <w:rFonts w:hint="eastAsia" w:ascii="宋体"/>
          <w:color w:val="auto"/>
          <w:szCs w:val="21"/>
          <w:highlight w:val="none"/>
        </w:rPr>
        <w:fldChar w:fldCharType="separate"/>
      </w:r>
      <w:r>
        <w:rPr>
          <w:rFonts w:hint="eastAsia" w:ascii="宋体"/>
          <w:color w:val="auto"/>
          <w:kern w:val="0"/>
          <w:szCs w:val="30"/>
          <w:highlight w:val="none"/>
        </w:rPr>
        <w:t>第二部分  供应商须知</w:t>
      </w:r>
      <w:r>
        <w:rPr>
          <w:color w:val="auto"/>
          <w:highlight w:val="none"/>
        </w:rPr>
        <w:tab/>
      </w:r>
      <w:r>
        <w:rPr>
          <w:color w:val="auto"/>
          <w:highlight w:val="none"/>
        </w:rPr>
        <w:fldChar w:fldCharType="begin"/>
      </w:r>
      <w:r>
        <w:rPr>
          <w:color w:val="auto"/>
          <w:highlight w:val="none"/>
        </w:rPr>
        <w:instrText xml:space="preserve"> PAGEREF _Toc5277 \h </w:instrText>
      </w:r>
      <w:r>
        <w:rPr>
          <w:color w:val="auto"/>
          <w:highlight w:val="none"/>
        </w:rPr>
        <w:fldChar w:fldCharType="separate"/>
      </w:r>
      <w:r>
        <w:rPr>
          <w:color w:val="auto"/>
          <w:highlight w:val="none"/>
        </w:rPr>
        <w:t>8</w:t>
      </w:r>
      <w:r>
        <w:rPr>
          <w:color w:val="auto"/>
          <w:highlight w:val="none"/>
        </w:rPr>
        <w:fldChar w:fldCharType="end"/>
      </w:r>
      <w:r>
        <w:rPr>
          <w:rFonts w:hint="eastAsia" w:ascii="宋体"/>
          <w:color w:val="auto"/>
          <w:szCs w:val="21"/>
          <w:highlight w:val="none"/>
        </w:rPr>
        <w:fldChar w:fldCharType="end"/>
      </w:r>
    </w:p>
    <w:p w14:paraId="6EFB205E">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_Toc3965 </w:instrText>
      </w:r>
      <w:r>
        <w:rPr>
          <w:rFonts w:hint="eastAsia" w:ascii="宋体"/>
          <w:color w:val="auto"/>
          <w:szCs w:val="21"/>
          <w:highlight w:val="none"/>
        </w:rPr>
        <w:fldChar w:fldCharType="separate"/>
      </w:r>
      <w:r>
        <w:rPr>
          <w:rFonts w:hint="eastAsia" w:ascii="宋体"/>
          <w:color w:val="auto"/>
          <w:highlight w:val="none"/>
          <w:lang w:val="en-US" w:eastAsia="zh-CN"/>
        </w:rPr>
        <w:t>一、</w:t>
      </w:r>
      <w:r>
        <w:rPr>
          <w:rFonts w:hint="eastAsia" w:ascii="宋体"/>
          <w:color w:val="auto"/>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_Toc3965 \h </w:instrText>
      </w:r>
      <w:r>
        <w:rPr>
          <w:color w:val="auto"/>
          <w:highlight w:val="none"/>
        </w:rPr>
        <w:fldChar w:fldCharType="separate"/>
      </w:r>
      <w:r>
        <w:rPr>
          <w:color w:val="auto"/>
          <w:highlight w:val="none"/>
        </w:rPr>
        <w:t>8</w:t>
      </w:r>
      <w:r>
        <w:rPr>
          <w:color w:val="auto"/>
          <w:highlight w:val="none"/>
        </w:rPr>
        <w:fldChar w:fldCharType="end"/>
      </w:r>
      <w:r>
        <w:rPr>
          <w:rFonts w:hint="eastAsia" w:ascii="宋体"/>
          <w:color w:val="auto"/>
          <w:szCs w:val="21"/>
          <w:highlight w:val="none"/>
        </w:rPr>
        <w:fldChar w:fldCharType="end"/>
      </w:r>
    </w:p>
    <w:p w14:paraId="49CADF49">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_Toc7889 </w:instrText>
      </w:r>
      <w:r>
        <w:rPr>
          <w:rFonts w:hint="eastAsia" w:ascii="宋体"/>
          <w:color w:val="auto"/>
          <w:szCs w:val="21"/>
          <w:highlight w:val="none"/>
        </w:rPr>
        <w:fldChar w:fldCharType="separate"/>
      </w:r>
      <w:r>
        <w:rPr>
          <w:rFonts w:hint="eastAsia" w:ascii="宋体"/>
          <w:color w:val="auto"/>
          <w:highlight w:val="none"/>
        </w:rPr>
        <w:t>二、竞争性磋商文件说明</w:t>
      </w:r>
      <w:r>
        <w:rPr>
          <w:color w:val="auto"/>
          <w:highlight w:val="none"/>
        </w:rPr>
        <w:tab/>
      </w:r>
      <w:r>
        <w:rPr>
          <w:color w:val="auto"/>
          <w:highlight w:val="none"/>
        </w:rPr>
        <w:fldChar w:fldCharType="begin"/>
      </w:r>
      <w:r>
        <w:rPr>
          <w:color w:val="auto"/>
          <w:highlight w:val="none"/>
        </w:rPr>
        <w:instrText xml:space="preserve"> PAGEREF _Toc7889 \h </w:instrText>
      </w:r>
      <w:r>
        <w:rPr>
          <w:color w:val="auto"/>
          <w:highlight w:val="none"/>
        </w:rPr>
        <w:fldChar w:fldCharType="separate"/>
      </w:r>
      <w:r>
        <w:rPr>
          <w:color w:val="auto"/>
          <w:highlight w:val="none"/>
        </w:rPr>
        <w:t>18</w:t>
      </w:r>
      <w:r>
        <w:rPr>
          <w:color w:val="auto"/>
          <w:highlight w:val="none"/>
        </w:rPr>
        <w:fldChar w:fldCharType="end"/>
      </w:r>
      <w:r>
        <w:rPr>
          <w:rFonts w:hint="eastAsia" w:ascii="宋体"/>
          <w:color w:val="auto"/>
          <w:szCs w:val="21"/>
          <w:highlight w:val="none"/>
        </w:rPr>
        <w:fldChar w:fldCharType="end"/>
      </w:r>
    </w:p>
    <w:p w14:paraId="1D2C7D56">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_Toc556 </w:instrText>
      </w:r>
      <w:r>
        <w:rPr>
          <w:rFonts w:hint="eastAsia" w:ascii="宋体"/>
          <w:color w:val="auto"/>
          <w:szCs w:val="21"/>
          <w:highlight w:val="none"/>
        </w:rPr>
        <w:fldChar w:fldCharType="separate"/>
      </w:r>
      <w:r>
        <w:rPr>
          <w:rFonts w:hint="eastAsia" w:ascii="宋体"/>
          <w:color w:val="auto"/>
          <w:highlight w:val="none"/>
        </w:rPr>
        <w:t>三、响应文件的编写</w:t>
      </w:r>
      <w:r>
        <w:rPr>
          <w:color w:val="auto"/>
          <w:highlight w:val="none"/>
        </w:rPr>
        <w:tab/>
      </w:r>
      <w:r>
        <w:rPr>
          <w:color w:val="auto"/>
          <w:highlight w:val="none"/>
        </w:rPr>
        <w:fldChar w:fldCharType="begin"/>
      </w:r>
      <w:r>
        <w:rPr>
          <w:color w:val="auto"/>
          <w:highlight w:val="none"/>
        </w:rPr>
        <w:instrText xml:space="preserve"> PAGEREF _Toc556 \h </w:instrText>
      </w:r>
      <w:r>
        <w:rPr>
          <w:color w:val="auto"/>
          <w:highlight w:val="none"/>
        </w:rPr>
        <w:fldChar w:fldCharType="separate"/>
      </w:r>
      <w:r>
        <w:rPr>
          <w:color w:val="auto"/>
          <w:highlight w:val="none"/>
        </w:rPr>
        <w:t>19</w:t>
      </w:r>
      <w:r>
        <w:rPr>
          <w:color w:val="auto"/>
          <w:highlight w:val="none"/>
        </w:rPr>
        <w:fldChar w:fldCharType="end"/>
      </w:r>
      <w:r>
        <w:rPr>
          <w:rFonts w:hint="eastAsia" w:ascii="宋体"/>
          <w:color w:val="auto"/>
          <w:szCs w:val="21"/>
          <w:highlight w:val="none"/>
        </w:rPr>
        <w:fldChar w:fldCharType="end"/>
      </w:r>
    </w:p>
    <w:p w14:paraId="43C63BA9">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_Toc12418 </w:instrText>
      </w:r>
      <w:r>
        <w:rPr>
          <w:rFonts w:hint="eastAsia" w:ascii="宋体"/>
          <w:color w:val="auto"/>
          <w:szCs w:val="21"/>
          <w:highlight w:val="none"/>
        </w:rPr>
        <w:fldChar w:fldCharType="separate"/>
      </w:r>
      <w:r>
        <w:rPr>
          <w:rFonts w:hint="eastAsia" w:ascii="宋体"/>
          <w:color w:val="auto"/>
          <w:highlight w:val="none"/>
        </w:rPr>
        <w:t>四、响应文件的递交</w:t>
      </w:r>
      <w:r>
        <w:rPr>
          <w:color w:val="auto"/>
          <w:highlight w:val="none"/>
        </w:rPr>
        <w:tab/>
      </w:r>
      <w:r>
        <w:rPr>
          <w:color w:val="auto"/>
          <w:highlight w:val="none"/>
        </w:rPr>
        <w:fldChar w:fldCharType="begin"/>
      </w:r>
      <w:r>
        <w:rPr>
          <w:color w:val="auto"/>
          <w:highlight w:val="none"/>
        </w:rPr>
        <w:instrText xml:space="preserve"> PAGEREF _Toc12418 \h </w:instrText>
      </w:r>
      <w:r>
        <w:rPr>
          <w:color w:val="auto"/>
          <w:highlight w:val="none"/>
        </w:rPr>
        <w:fldChar w:fldCharType="separate"/>
      </w:r>
      <w:r>
        <w:rPr>
          <w:color w:val="auto"/>
          <w:highlight w:val="none"/>
        </w:rPr>
        <w:t>22</w:t>
      </w:r>
      <w:r>
        <w:rPr>
          <w:color w:val="auto"/>
          <w:highlight w:val="none"/>
        </w:rPr>
        <w:fldChar w:fldCharType="end"/>
      </w:r>
      <w:r>
        <w:rPr>
          <w:rFonts w:hint="eastAsia" w:ascii="宋体"/>
          <w:color w:val="auto"/>
          <w:szCs w:val="21"/>
          <w:highlight w:val="none"/>
        </w:rPr>
        <w:fldChar w:fldCharType="end"/>
      </w:r>
    </w:p>
    <w:p w14:paraId="30582E7A">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_Toc14077 </w:instrText>
      </w:r>
      <w:r>
        <w:rPr>
          <w:rFonts w:hint="eastAsia" w:ascii="宋体"/>
          <w:color w:val="auto"/>
          <w:szCs w:val="21"/>
          <w:highlight w:val="none"/>
        </w:rPr>
        <w:fldChar w:fldCharType="separate"/>
      </w:r>
      <w:r>
        <w:rPr>
          <w:rFonts w:hint="eastAsia" w:ascii="宋体"/>
          <w:color w:val="auto"/>
          <w:highlight w:val="none"/>
        </w:rPr>
        <w:t>五、磋商与评审</w:t>
      </w:r>
      <w:r>
        <w:rPr>
          <w:color w:val="auto"/>
          <w:highlight w:val="none"/>
        </w:rPr>
        <w:tab/>
      </w:r>
      <w:r>
        <w:rPr>
          <w:color w:val="auto"/>
          <w:highlight w:val="none"/>
        </w:rPr>
        <w:fldChar w:fldCharType="begin"/>
      </w:r>
      <w:r>
        <w:rPr>
          <w:color w:val="auto"/>
          <w:highlight w:val="none"/>
        </w:rPr>
        <w:instrText xml:space="preserve"> PAGEREF _Toc14077 \h </w:instrText>
      </w:r>
      <w:r>
        <w:rPr>
          <w:color w:val="auto"/>
          <w:highlight w:val="none"/>
        </w:rPr>
        <w:fldChar w:fldCharType="separate"/>
      </w:r>
      <w:r>
        <w:rPr>
          <w:color w:val="auto"/>
          <w:highlight w:val="none"/>
        </w:rPr>
        <w:t>24</w:t>
      </w:r>
      <w:r>
        <w:rPr>
          <w:color w:val="auto"/>
          <w:highlight w:val="none"/>
        </w:rPr>
        <w:fldChar w:fldCharType="end"/>
      </w:r>
      <w:r>
        <w:rPr>
          <w:rFonts w:hint="eastAsia" w:ascii="宋体"/>
          <w:color w:val="auto"/>
          <w:szCs w:val="21"/>
          <w:highlight w:val="none"/>
        </w:rPr>
        <w:fldChar w:fldCharType="end"/>
      </w:r>
    </w:p>
    <w:p w14:paraId="6A2A0D77">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_Toc24329 </w:instrText>
      </w:r>
      <w:r>
        <w:rPr>
          <w:rFonts w:hint="eastAsia" w:ascii="宋体"/>
          <w:color w:val="auto"/>
          <w:szCs w:val="21"/>
          <w:highlight w:val="none"/>
        </w:rPr>
        <w:fldChar w:fldCharType="separate"/>
      </w:r>
      <w:r>
        <w:rPr>
          <w:rFonts w:hint="eastAsia" w:ascii="宋体"/>
          <w:color w:val="auto"/>
          <w:highlight w:val="none"/>
        </w:rPr>
        <w:t>六、授予合同</w:t>
      </w:r>
      <w:r>
        <w:rPr>
          <w:color w:val="auto"/>
          <w:highlight w:val="none"/>
        </w:rPr>
        <w:tab/>
      </w:r>
      <w:r>
        <w:rPr>
          <w:color w:val="auto"/>
          <w:highlight w:val="none"/>
        </w:rPr>
        <w:fldChar w:fldCharType="begin"/>
      </w:r>
      <w:r>
        <w:rPr>
          <w:color w:val="auto"/>
          <w:highlight w:val="none"/>
        </w:rPr>
        <w:instrText xml:space="preserve"> PAGEREF _Toc24329 \h </w:instrText>
      </w:r>
      <w:r>
        <w:rPr>
          <w:color w:val="auto"/>
          <w:highlight w:val="none"/>
        </w:rPr>
        <w:fldChar w:fldCharType="separate"/>
      </w:r>
      <w:r>
        <w:rPr>
          <w:color w:val="auto"/>
          <w:highlight w:val="none"/>
        </w:rPr>
        <w:t>27</w:t>
      </w:r>
      <w:r>
        <w:rPr>
          <w:color w:val="auto"/>
          <w:highlight w:val="none"/>
        </w:rPr>
        <w:fldChar w:fldCharType="end"/>
      </w:r>
      <w:r>
        <w:rPr>
          <w:rFonts w:hint="eastAsia" w:ascii="宋体"/>
          <w:color w:val="auto"/>
          <w:szCs w:val="21"/>
          <w:highlight w:val="none"/>
        </w:rPr>
        <w:fldChar w:fldCharType="end"/>
      </w:r>
    </w:p>
    <w:p w14:paraId="7EA8AB6D">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_Toc9370 </w:instrText>
      </w:r>
      <w:r>
        <w:rPr>
          <w:rFonts w:hint="eastAsia" w:ascii="宋体"/>
          <w:color w:val="auto"/>
          <w:szCs w:val="21"/>
          <w:highlight w:val="none"/>
        </w:rPr>
        <w:fldChar w:fldCharType="separate"/>
      </w:r>
      <w:r>
        <w:rPr>
          <w:rFonts w:hint="eastAsia" w:ascii="宋体"/>
          <w:color w:val="auto"/>
          <w:highlight w:val="none"/>
        </w:rPr>
        <w:t>七、质疑提出与处理</w:t>
      </w:r>
      <w:r>
        <w:rPr>
          <w:color w:val="auto"/>
          <w:highlight w:val="none"/>
        </w:rPr>
        <w:tab/>
      </w:r>
      <w:r>
        <w:rPr>
          <w:color w:val="auto"/>
          <w:highlight w:val="none"/>
        </w:rPr>
        <w:fldChar w:fldCharType="begin"/>
      </w:r>
      <w:r>
        <w:rPr>
          <w:color w:val="auto"/>
          <w:highlight w:val="none"/>
        </w:rPr>
        <w:instrText xml:space="preserve"> PAGEREF _Toc9370 \h </w:instrText>
      </w:r>
      <w:r>
        <w:rPr>
          <w:color w:val="auto"/>
          <w:highlight w:val="none"/>
        </w:rPr>
        <w:fldChar w:fldCharType="separate"/>
      </w:r>
      <w:r>
        <w:rPr>
          <w:color w:val="auto"/>
          <w:highlight w:val="none"/>
        </w:rPr>
        <w:t>29</w:t>
      </w:r>
      <w:r>
        <w:rPr>
          <w:color w:val="auto"/>
          <w:highlight w:val="none"/>
        </w:rPr>
        <w:fldChar w:fldCharType="end"/>
      </w:r>
      <w:r>
        <w:rPr>
          <w:rFonts w:hint="eastAsia" w:ascii="宋体"/>
          <w:color w:val="auto"/>
          <w:szCs w:val="21"/>
          <w:highlight w:val="none"/>
        </w:rPr>
        <w:fldChar w:fldCharType="end"/>
      </w:r>
    </w:p>
    <w:p w14:paraId="409B0CBE">
      <w:pPr>
        <w:pStyle w:val="44"/>
        <w:tabs>
          <w:tab w:val="right" w:leader="dot" w:pos="9185"/>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_Toc2618 </w:instrText>
      </w:r>
      <w:r>
        <w:rPr>
          <w:rFonts w:hint="eastAsia" w:ascii="宋体"/>
          <w:color w:val="auto"/>
          <w:szCs w:val="21"/>
          <w:highlight w:val="none"/>
        </w:rPr>
        <w:fldChar w:fldCharType="separate"/>
      </w:r>
      <w:r>
        <w:rPr>
          <w:rFonts w:hint="eastAsia" w:ascii="宋体" w:cs="宋体"/>
          <w:bCs/>
          <w:color w:val="auto"/>
          <w:kern w:val="0"/>
          <w:szCs w:val="30"/>
          <w:highlight w:val="none"/>
        </w:rPr>
        <w:t>第三部分 合同主要条款及格式</w:t>
      </w:r>
      <w:r>
        <w:rPr>
          <w:color w:val="auto"/>
          <w:highlight w:val="none"/>
        </w:rPr>
        <w:tab/>
      </w:r>
      <w:r>
        <w:rPr>
          <w:color w:val="auto"/>
          <w:highlight w:val="none"/>
        </w:rPr>
        <w:fldChar w:fldCharType="begin"/>
      </w:r>
      <w:r>
        <w:rPr>
          <w:color w:val="auto"/>
          <w:highlight w:val="none"/>
        </w:rPr>
        <w:instrText xml:space="preserve"> PAGEREF _Toc2618 \h </w:instrText>
      </w:r>
      <w:r>
        <w:rPr>
          <w:color w:val="auto"/>
          <w:highlight w:val="none"/>
        </w:rPr>
        <w:fldChar w:fldCharType="separate"/>
      </w:r>
      <w:r>
        <w:rPr>
          <w:color w:val="auto"/>
          <w:highlight w:val="none"/>
        </w:rPr>
        <w:t>31</w:t>
      </w:r>
      <w:r>
        <w:rPr>
          <w:color w:val="auto"/>
          <w:highlight w:val="none"/>
        </w:rPr>
        <w:fldChar w:fldCharType="end"/>
      </w:r>
      <w:r>
        <w:rPr>
          <w:rFonts w:hint="eastAsia" w:ascii="宋体"/>
          <w:color w:val="auto"/>
          <w:szCs w:val="21"/>
          <w:highlight w:val="none"/>
        </w:rPr>
        <w:fldChar w:fldCharType="end"/>
      </w:r>
    </w:p>
    <w:p w14:paraId="1CE743C8">
      <w:pPr>
        <w:pStyle w:val="44"/>
        <w:tabs>
          <w:tab w:val="right" w:leader="dot" w:pos="9185"/>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_Toc10263 </w:instrText>
      </w:r>
      <w:r>
        <w:rPr>
          <w:rFonts w:hint="eastAsia" w:ascii="宋体"/>
          <w:color w:val="auto"/>
          <w:szCs w:val="21"/>
          <w:highlight w:val="none"/>
        </w:rPr>
        <w:fldChar w:fldCharType="separate"/>
      </w:r>
      <w:r>
        <w:rPr>
          <w:rFonts w:hint="eastAsia" w:ascii="宋体" w:cs="宋体"/>
          <w:bCs/>
          <w:color w:val="auto"/>
          <w:kern w:val="0"/>
          <w:szCs w:val="30"/>
          <w:highlight w:val="none"/>
        </w:rPr>
        <w:t>第四部分 项目需求书</w:t>
      </w:r>
      <w:r>
        <w:rPr>
          <w:color w:val="auto"/>
          <w:highlight w:val="none"/>
        </w:rPr>
        <w:tab/>
      </w:r>
      <w:r>
        <w:rPr>
          <w:color w:val="auto"/>
          <w:highlight w:val="none"/>
        </w:rPr>
        <w:fldChar w:fldCharType="begin"/>
      </w:r>
      <w:r>
        <w:rPr>
          <w:color w:val="auto"/>
          <w:highlight w:val="none"/>
        </w:rPr>
        <w:instrText xml:space="preserve"> PAGEREF _Toc10263 \h </w:instrText>
      </w:r>
      <w:r>
        <w:rPr>
          <w:color w:val="auto"/>
          <w:highlight w:val="none"/>
        </w:rPr>
        <w:fldChar w:fldCharType="separate"/>
      </w:r>
      <w:r>
        <w:rPr>
          <w:color w:val="auto"/>
          <w:highlight w:val="none"/>
        </w:rPr>
        <w:t>42</w:t>
      </w:r>
      <w:r>
        <w:rPr>
          <w:color w:val="auto"/>
          <w:highlight w:val="none"/>
        </w:rPr>
        <w:fldChar w:fldCharType="end"/>
      </w:r>
      <w:r>
        <w:rPr>
          <w:rFonts w:hint="eastAsia" w:ascii="宋体"/>
          <w:color w:val="auto"/>
          <w:szCs w:val="21"/>
          <w:highlight w:val="none"/>
        </w:rPr>
        <w:fldChar w:fldCharType="end"/>
      </w:r>
    </w:p>
    <w:p w14:paraId="195CBF6E">
      <w:pPr>
        <w:pStyle w:val="44"/>
        <w:tabs>
          <w:tab w:val="right" w:leader="dot" w:pos="9185"/>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_Toc19765 </w:instrText>
      </w:r>
      <w:r>
        <w:rPr>
          <w:rFonts w:hint="eastAsia" w:ascii="宋体"/>
          <w:color w:val="auto"/>
          <w:szCs w:val="21"/>
          <w:highlight w:val="none"/>
        </w:rPr>
        <w:fldChar w:fldCharType="separate"/>
      </w:r>
      <w:r>
        <w:rPr>
          <w:rFonts w:hint="eastAsia" w:ascii="宋体"/>
          <w:color w:val="auto"/>
          <w:kern w:val="0"/>
          <w:szCs w:val="30"/>
          <w:highlight w:val="none"/>
        </w:rPr>
        <w:t>第五部分 评分标准</w:t>
      </w:r>
      <w:r>
        <w:rPr>
          <w:color w:val="auto"/>
          <w:highlight w:val="none"/>
        </w:rPr>
        <w:tab/>
      </w:r>
      <w:r>
        <w:rPr>
          <w:color w:val="auto"/>
          <w:highlight w:val="none"/>
        </w:rPr>
        <w:fldChar w:fldCharType="begin"/>
      </w:r>
      <w:r>
        <w:rPr>
          <w:color w:val="auto"/>
          <w:highlight w:val="none"/>
        </w:rPr>
        <w:instrText xml:space="preserve"> PAGEREF _Toc19765 \h </w:instrText>
      </w:r>
      <w:r>
        <w:rPr>
          <w:color w:val="auto"/>
          <w:highlight w:val="none"/>
        </w:rPr>
        <w:fldChar w:fldCharType="separate"/>
      </w:r>
      <w:r>
        <w:rPr>
          <w:color w:val="auto"/>
          <w:highlight w:val="none"/>
        </w:rPr>
        <w:t>56</w:t>
      </w:r>
      <w:r>
        <w:rPr>
          <w:color w:val="auto"/>
          <w:highlight w:val="none"/>
        </w:rPr>
        <w:fldChar w:fldCharType="end"/>
      </w:r>
      <w:r>
        <w:rPr>
          <w:rFonts w:hint="eastAsia" w:ascii="宋体"/>
          <w:color w:val="auto"/>
          <w:szCs w:val="21"/>
          <w:highlight w:val="none"/>
        </w:rPr>
        <w:fldChar w:fldCharType="end"/>
      </w:r>
    </w:p>
    <w:p w14:paraId="53C9185D">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_Toc24808 </w:instrText>
      </w:r>
      <w:r>
        <w:rPr>
          <w:rFonts w:hint="eastAsia" w:ascii="宋体"/>
          <w:color w:val="auto"/>
          <w:szCs w:val="21"/>
          <w:highlight w:val="none"/>
        </w:rPr>
        <w:fldChar w:fldCharType="separate"/>
      </w:r>
      <w:r>
        <w:rPr>
          <w:rFonts w:hint="eastAsia"/>
          <w:color w:val="auto"/>
          <w:highlight w:val="none"/>
        </w:rPr>
        <w:t>《响应文件初步审查表》</w:t>
      </w:r>
      <w:r>
        <w:rPr>
          <w:color w:val="auto"/>
          <w:highlight w:val="none"/>
        </w:rPr>
        <w:tab/>
      </w:r>
      <w:r>
        <w:rPr>
          <w:color w:val="auto"/>
          <w:highlight w:val="none"/>
        </w:rPr>
        <w:fldChar w:fldCharType="begin"/>
      </w:r>
      <w:r>
        <w:rPr>
          <w:color w:val="auto"/>
          <w:highlight w:val="none"/>
        </w:rPr>
        <w:instrText xml:space="preserve"> PAGEREF _Toc24808 \h </w:instrText>
      </w:r>
      <w:r>
        <w:rPr>
          <w:color w:val="auto"/>
          <w:highlight w:val="none"/>
        </w:rPr>
        <w:fldChar w:fldCharType="separate"/>
      </w:r>
      <w:r>
        <w:rPr>
          <w:color w:val="auto"/>
          <w:highlight w:val="none"/>
        </w:rPr>
        <w:t>56</w:t>
      </w:r>
      <w:r>
        <w:rPr>
          <w:color w:val="auto"/>
          <w:highlight w:val="none"/>
        </w:rPr>
        <w:fldChar w:fldCharType="end"/>
      </w:r>
      <w:r>
        <w:rPr>
          <w:rFonts w:hint="eastAsia" w:ascii="宋体"/>
          <w:color w:val="auto"/>
          <w:szCs w:val="21"/>
          <w:highlight w:val="none"/>
        </w:rPr>
        <w:fldChar w:fldCharType="end"/>
      </w:r>
    </w:p>
    <w:p w14:paraId="015BD845">
      <w:pPr>
        <w:pStyle w:val="44"/>
        <w:tabs>
          <w:tab w:val="right" w:leader="dot" w:pos="9185"/>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_Toc24342 </w:instrText>
      </w:r>
      <w:r>
        <w:rPr>
          <w:rFonts w:hint="eastAsia" w:ascii="宋体"/>
          <w:color w:val="auto"/>
          <w:szCs w:val="21"/>
          <w:highlight w:val="none"/>
        </w:rPr>
        <w:fldChar w:fldCharType="separate"/>
      </w:r>
      <w:r>
        <w:rPr>
          <w:rFonts w:hint="eastAsia" w:ascii="宋体"/>
          <w:color w:val="auto"/>
          <w:kern w:val="0"/>
          <w:szCs w:val="30"/>
          <w:highlight w:val="none"/>
        </w:rPr>
        <w:t>第六部分  响应文件格式</w:t>
      </w:r>
      <w:r>
        <w:rPr>
          <w:color w:val="auto"/>
          <w:highlight w:val="none"/>
        </w:rPr>
        <w:tab/>
      </w:r>
      <w:r>
        <w:rPr>
          <w:color w:val="auto"/>
          <w:highlight w:val="none"/>
        </w:rPr>
        <w:fldChar w:fldCharType="begin"/>
      </w:r>
      <w:r>
        <w:rPr>
          <w:color w:val="auto"/>
          <w:highlight w:val="none"/>
        </w:rPr>
        <w:instrText xml:space="preserve"> PAGEREF _Toc24342 \h </w:instrText>
      </w:r>
      <w:r>
        <w:rPr>
          <w:color w:val="auto"/>
          <w:highlight w:val="none"/>
        </w:rPr>
        <w:fldChar w:fldCharType="separate"/>
      </w:r>
      <w:r>
        <w:rPr>
          <w:color w:val="auto"/>
          <w:highlight w:val="none"/>
        </w:rPr>
        <w:t>61</w:t>
      </w:r>
      <w:r>
        <w:rPr>
          <w:color w:val="auto"/>
          <w:highlight w:val="none"/>
        </w:rPr>
        <w:fldChar w:fldCharType="end"/>
      </w:r>
      <w:r>
        <w:rPr>
          <w:rFonts w:hint="eastAsia" w:ascii="宋体"/>
          <w:color w:val="auto"/>
          <w:szCs w:val="21"/>
          <w:highlight w:val="none"/>
        </w:rPr>
        <w:fldChar w:fldCharType="end"/>
      </w:r>
    </w:p>
    <w:p w14:paraId="089BF3E9">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_Toc12650 </w:instrText>
      </w:r>
      <w:r>
        <w:rPr>
          <w:rFonts w:hint="eastAsia" w:ascii="宋体"/>
          <w:color w:val="auto"/>
          <w:szCs w:val="21"/>
          <w:highlight w:val="none"/>
        </w:rPr>
        <w:fldChar w:fldCharType="separate"/>
      </w:r>
      <w:r>
        <w:rPr>
          <w:rFonts w:hint="eastAsia" w:ascii="宋体" w:hAnsi="宋体"/>
          <w:color w:val="auto"/>
          <w:highlight w:val="none"/>
        </w:rPr>
        <w:t>封面格式</w:t>
      </w:r>
      <w:r>
        <w:rPr>
          <w:color w:val="auto"/>
          <w:highlight w:val="none"/>
        </w:rPr>
        <w:tab/>
      </w:r>
      <w:r>
        <w:rPr>
          <w:color w:val="auto"/>
          <w:highlight w:val="none"/>
        </w:rPr>
        <w:fldChar w:fldCharType="begin"/>
      </w:r>
      <w:r>
        <w:rPr>
          <w:color w:val="auto"/>
          <w:highlight w:val="none"/>
        </w:rPr>
        <w:instrText xml:space="preserve"> PAGEREF _Toc12650 \h </w:instrText>
      </w:r>
      <w:r>
        <w:rPr>
          <w:color w:val="auto"/>
          <w:highlight w:val="none"/>
        </w:rPr>
        <w:fldChar w:fldCharType="separate"/>
      </w:r>
      <w:r>
        <w:rPr>
          <w:color w:val="auto"/>
          <w:highlight w:val="none"/>
        </w:rPr>
        <w:t>61</w:t>
      </w:r>
      <w:r>
        <w:rPr>
          <w:color w:val="auto"/>
          <w:highlight w:val="none"/>
        </w:rPr>
        <w:fldChar w:fldCharType="end"/>
      </w:r>
      <w:r>
        <w:rPr>
          <w:rFonts w:hint="eastAsia" w:ascii="宋体"/>
          <w:color w:val="auto"/>
          <w:szCs w:val="21"/>
          <w:highlight w:val="none"/>
        </w:rPr>
        <w:fldChar w:fldCharType="end"/>
      </w:r>
    </w:p>
    <w:p w14:paraId="63B67CBA">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_Toc10697 </w:instrText>
      </w:r>
      <w:r>
        <w:rPr>
          <w:rFonts w:hint="eastAsia" w:ascii="宋体"/>
          <w:color w:val="auto"/>
          <w:szCs w:val="21"/>
          <w:highlight w:val="none"/>
        </w:rPr>
        <w:fldChar w:fldCharType="separate"/>
      </w:r>
      <w:r>
        <w:rPr>
          <w:rFonts w:hint="eastAsia" w:ascii="宋体"/>
          <w:bCs/>
          <w:color w:val="auto"/>
          <w:kern w:val="0"/>
          <w:highlight w:val="none"/>
        </w:rPr>
        <w:t>磋商响应函</w:t>
      </w:r>
      <w:r>
        <w:rPr>
          <w:color w:val="auto"/>
          <w:highlight w:val="none"/>
        </w:rPr>
        <w:tab/>
      </w:r>
      <w:r>
        <w:rPr>
          <w:color w:val="auto"/>
          <w:highlight w:val="none"/>
        </w:rPr>
        <w:fldChar w:fldCharType="begin"/>
      </w:r>
      <w:r>
        <w:rPr>
          <w:color w:val="auto"/>
          <w:highlight w:val="none"/>
        </w:rPr>
        <w:instrText xml:space="preserve"> PAGEREF _Toc10697 \h </w:instrText>
      </w:r>
      <w:r>
        <w:rPr>
          <w:color w:val="auto"/>
          <w:highlight w:val="none"/>
        </w:rPr>
        <w:fldChar w:fldCharType="separate"/>
      </w:r>
      <w:r>
        <w:rPr>
          <w:color w:val="auto"/>
          <w:highlight w:val="none"/>
        </w:rPr>
        <w:t>62</w:t>
      </w:r>
      <w:r>
        <w:rPr>
          <w:color w:val="auto"/>
          <w:highlight w:val="none"/>
        </w:rPr>
        <w:fldChar w:fldCharType="end"/>
      </w:r>
      <w:r>
        <w:rPr>
          <w:rFonts w:hint="eastAsia" w:ascii="宋体"/>
          <w:color w:val="auto"/>
          <w:szCs w:val="21"/>
          <w:highlight w:val="none"/>
        </w:rPr>
        <w:fldChar w:fldCharType="end"/>
      </w:r>
    </w:p>
    <w:p w14:paraId="045783EE">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_Toc12494 </w:instrText>
      </w:r>
      <w:r>
        <w:rPr>
          <w:rFonts w:hint="eastAsia" w:ascii="宋体"/>
          <w:color w:val="auto"/>
          <w:szCs w:val="21"/>
          <w:highlight w:val="none"/>
        </w:rPr>
        <w:fldChar w:fldCharType="separate"/>
      </w:r>
      <w:r>
        <w:rPr>
          <w:rFonts w:ascii="Times New Roman" w:hAnsi="Times New Roman" w:cs="Times New Roman"/>
          <w:color w:val="auto"/>
          <w:szCs w:val="32"/>
          <w:highlight w:val="none"/>
          <w:lang w:eastAsia="zh-CN"/>
        </w:rPr>
        <w:t>报价</w:t>
      </w:r>
      <w:r>
        <w:rPr>
          <w:rFonts w:hint="eastAsia" w:ascii="Times New Roman" w:hAnsi="Times New Roman" w:cs="Times New Roman"/>
          <w:color w:val="auto"/>
          <w:szCs w:val="32"/>
          <w:highlight w:val="none"/>
          <w:lang w:eastAsia="zh-CN"/>
        </w:rPr>
        <w:t>一览表</w:t>
      </w:r>
      <w:r>
        <w:rPr>
          <w:color w:val="auto"/>
          <w:highlight w:val="none"/>
        </w:rPr>
        <w:tab/>
      </w:r>
      <w:r>
        <w:rPr>
          <w:color w:val="auto"/>
          <w:highlight w:val="none"/>
        </w:rPr>
        <w:fldChar w:fldCharType="begin"/>
      </w:r>
      <w:r>
        <w:rPr>
          <w:color w:val="auto"/>
          <w:highlight w:val="none"/>
        </w:rPr>
        <w:instrText xml:space="preserve"> PAGEREF _Toc12494 \h </w:instrText>
      </w:r>
      <w:r>
        <w:rPr>
          <w:color w:val="auto"/>
          <w:highlight w:val="none"/>
        </w:rPr>
        <w:fldChar w:fldCharType="separate"/>
      </w:r>
      <w:r>
        <w:rPr>
          <w:color w:val="auto"/>
          <w:highlight w:val="none"/>
        </w:rPr>
        <w:t>64</w:t>
      </w:r>
      <w:r>
        <w:rPr>
          <w:color w:val="auto"/>
          <w:highlight w:val="none"/>
        </w:rPr>
        <w:fldChar w:fldCharType="end"/>
      </w:r>
      <w:r>
        <w:rPr>
          <w:rFonts w:hint="eastAsia" w:ascii="宋体"/>
          <w:color w:val="auto"/>
          <w:szCs w:val="21"/>
          <w:highlight w:val="none"/>
        </w:rPr>
        <w:fldChar w:fldCharType="end"/>
      </w:r>
    </w:p>
    <w:p w14:paraId="7B69574B">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_Toc20678 </w:instrText>
      </w:r>
      <w:r>
        <w:rPr>
          <w:rFonts w:hint="eastAsia" w:ascii="宋体"/>
          <w:color w:val="auto"/>
          <w:szCs w:val="21"/>
          <w:highlight w:val="none"/>
        </w:rPr>
        <w:fldChar w:fldCharType="separate"/>
      </w:r>
      <w:r>
        <w:rPr>
          <w:rFonts w:hint="eastAsia" w:ascii="宋体" w:hAnsi="宋体"/>
          <w:color w:val="auto"/>
          <w:kern w:val="0"/>
          <w:szCs w:val="28"/>
          <w:highlight w:val="none"/>
        </w:rPr>
        <w:t>法定代表人（负责人）证明书</w:t>
      </w:r>
      <w:r>
        <w:rPr>
          <w:color w:val="auto"/>
          <w:highlight w:val="none"/>
        </w:rPr>
        <w:tab/>
      </w:r>
      <w:r>
        <w:rPr>
          <w:color w:val="auto"/>
          <w:highlight w:val="none"/>
        </w:rPr>
        <w:fldChar w:fldCharType="begin"/>
      </w:r>
      <w:r>
        <w:rPr>
          <w:color w:val="auto"/>
          <w:highlight w:val="none"/>
        </w:rPr>
        <w:instrText xml:space="preserve"> PAGEREF _Toc20678 \h </w:instrText>
      </w:r>
      <w:r>
        <w:rPr>
          <w:color w:val="auto"/>
          <w:highlight w:val="none"/>
        </w:rPr>
        <w:fldChar w:fldCharType="separate"/>
      </w:r>
      <w:r>
        <w:rPr>
          <w:color w:val="auto"/>
          <w:highlight w:val="none"/>
        </w:rPr>
        <w:t>65</w:t>
      </w:r>
      <w:r>
        <w:rPr>
          <w:color w:val="auto"/>
          <w:highlight w:val="none"/>
        </w:rPr>
        <w:fldChar w:fldCharType="end"/>
      </w:r>
      <w:r>
        <w:rPr>
          <w:rFonts w:hint="eastAsia" w:ascii="宋体"/>
          <w:color w:val="auto"/>
          <w:szCs w:val="21"/>
          <w:highlight w:val="none"/>
        </w:rPr>
        <w:fldChar w:fldCharType="end"/>
      </w:r>
    </w:p>
    <w:p w14:paraId="380A7EEF">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_Toc374 </w:instrText>
      </w:r>
      <w:r>
        <w:rPr>
          <w:rFonts w:hint="eastAsia" w:ascii="宋体"/>
          <w:color w:val="auto"/>
          <w:szCs w:val="21"/>
          <w:highlight w:val="none"/>
        </w:rPr>
        <w:fldChar w:fldCharType="separate"/>
      </w:r>
      <w:r>
        <w:rPr>
          <w:rFonts w:hint="eastAsia" w:ascii="宋体"/>
          <w:bCs/>
          <w:color w:val="auto"/>
          <w:kern w:val="0"/>
          <w:highlight w:val="none"/>
        </w:rPr>
        <w:t>法定代表人授权书(格式)</w:t>
      </w:r>
      <w:r>
        <w:rPr>
          <w:color w:val="auto"/>
          <w:highlight w:val="none"/>
        </w:rPr>
        <w:tab/>
      </w:r>
      <w:r>
        <w:rPr>
          <w:color w:val="auto"/>
          <w:highlight w:val="none"/>
        </w:rPr>
        <w:fldChar w:fldCharType="begin"/>
      </w:r>
      <w:r>
        <w:rPr>
          <w:color w:val="auto"/>
          <w:highlight w:val="none"/>
        </w:rPr>
        <w:instrText xml:space="preserve"> PAGEREF _Toc374 \h </w:instrText>
      </w:r>
      <w:r>
        <w:rPr>
          <w:color w:val="auto"/>
          <w:highlight w:val="none"/>
        </w:rPr>
        <w:fldChar w:fldCharType="separate"/>
      </w:r>
      <w:r>
        <w:rPr>
          <w:color w:val="auto"/>
          <w:highlight w:val="none"/>
        </w:rPr>
        <w:t>66</w:t>
      </w:r>
      <w:r>
        <w:rPr>
          <w:color w:val="auto"/>
          <w:highlight w:val="none"/>
        </w:rPr>
        <w:fldChar w:fldCharType="end"/>
      </w:r>
      <w:r>
        <w:rPr>
          <w:rFonts w:hint="eastAsia" w:ascii="宋体"/>
          <w:color w:val="auto"/>
          <w:szCs w:val="21"/>
          <w:highlight w:val="none"/>
        </w:rPr>
        <w:fldChar w:fldCharType="end"/>
      </w:r>
    </w:p>
    <w:p w14:paraId="7B00C790">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_Toc22261 </w:instrText>
      </w:r>
      <w:r>
        <w:rPr>
          <w:rFonts w:hint="eastAsia" w:ascii="宋体"/>
          <w:color w:val="auto"/>
          <w:szCs w:val="21"/>
          <w:highlight w:val="none"/>
        </w:rPr>
        <w:fldChar w:fldCharType="separate"/>
      </w:r>
      <w:r>
        <w:rPr>
          <w:rFonts w:hint="eastAsia" w:ascii="宋体"/>
          <w:bCs/>
          <w:color w:val="auto"/>
          <w:kern w:val="0"/>
          <w:highlight w:val="none"/>
        </w:rPr>
        <w:t>供应商资格声明文件</w:t>
      </w:r>
      <w:r>
        <w:rPr>
          <w:color w:val="auto"/>
          <w:highlight w:val="none"/>
        </w:rPr>
        <w:tab/>
      </w:r>
      <w:r>
        <w:rPr>
          <w:color w:val="auto"/>
          <w:highlight w:val="none"/>
        </w:rPr>
        <w:fldChar w:fldCharType="begin"/>
      </w:r>
      <w:r>
        <w:rPr>
          <w:color w:val="auto"/>
          <w:highlight w:val="none"/>
        </w:rPr>
        <w:instrText xml:space="preserve"> PAGEREF _Toc22261 \h </w:instrText>
      </w:r>
      <w:r>
        <w:rPr>
          <w:color w:val="auto"/>
          <w:highlight w:val="none"/>
        </w:rPr>
        <w:fldChar w:fldCharType="separate"/>
      </w:r>
      <w:r>
        <w:rPr>
          <w:color w:val="auto"/>
          <w:highlight w:val="none"/>
        </w:rPr>
        <w:t>67</w:t>
      </w:r>
      <w:r>
        <w:rPr>
          <w:color w:val="auto"/>
          <w:highlight w:val="none"/>
        </w:rPr>
        <w:fldChar w:fldCharType="end"/>
      </w:r>
      <w:r>
        <w:rPr>
          <w:rFonts w:hint="eastAsia" w:ascii="宋体"/>
          <w:color w:val="auto"/>
          <w:szCs w:val="21"/>
          <w:highlight w:val="none"/>
        </w:rPr>
        <w:fldChar w:fldCharType="end"/>
      </w:r>
    </w:p>
    <w:p w14:paraId="61C42AB9">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_Toc18205 </w:instrText>
      </w:r>
      <w:r>
        <w:rPr>
          <w:rFonts w:hint="eastAsia" w:ascii="宋体"/>
          <w:color w:val="auto"/>
          <w:szCs w:val="21"/>
          <w:highlight w:val="none"/>
        </w:rPr>
        <w:fldChar w:fldCharType="separate"/>
      </w:r>
      <w:r>
        <w:rPr>
          <w:rFonts w:hint="eastAsia" w:ascii="宋体"/>
          <w:bCs/>
          <w:color w:val="auto"/>
          <w:kern w:val="0"/>
          <w:highlight w:val="none"/>
        </w:rPr>
        <w:t>项目需求偏离表</w:t>
      </w:r>
      <w:r>
        <w:rPr>
          <w:color w:val="auto"/>
          <w:highlight w:val="none"/>
        </w:rPr>
        <w:tab/>
      </w:r>
      <w:r>
        <w:rPr>
          <w:color w:val="auto"/>
          <w:highlight w:val="none"/>
        </w:rPr>
        <w:fldChar w:fldCharType="begin"/>
      </w:r>
      <w:r>
        <w:rPr>
          <w:color w:val="auto"/>
          <w:highlight w:val="none"/>
        </w:rPr>
        <w:instrText xml:space="preserve"> PAGEREF _Toc18205 \h </w:instrText>
      </w:r>
      <w:r>
        <w:rPr>
          <w:color w:val="auto"/>
          <w:highlight w:val="none"/>
        </w:rPr>
        <w:fldChar w:fldCharType="separate"/>
      </w:r>
      <w:r>
        <w:rPr>
          <w:color w:val="auto"/>
          <w:highlight w:val="none"/>
        </w:rPr>
        <w:t>69</w:t>
      </w:r>
      <w:r>
        <w:rPr>
          <w:color w:val="auto"/>
          <w:highlight w:val="none"/>
        </w:rPr>
        <w:fldChar w:fldCharType="end"/>
      </w:r>
      <w:r>
        <w:rPr>
          <w:rFonts w:hint="eastAsia" w:ascii="宋体"/>
          <w:color w:val="auto"/>
          <w:szCs w:val="21"/>
          <w:highlight w:val="none"/>
        </w:rPr>
        <w:fldChar w:fldCharType="end"/>
      </w:r>
    </w:p>
    <w:p w14:paraId="5255A2E6">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_Toc4435 </w:instrText>
      </w:r>
      <w:r>
        <w:rPr>
          <w:rFonts w:hint="eastAsia" w:ascii="宋体"/>
          <w:color w:val="auto"/>
          <w:szCs w:val="21"/>
          <w:highlight w:val="none"/>
        </w:rPr>
        <w:fldChar w:fldCharType="separate"/>
      </w:r>
      <w:r>
        <w:rPr>
          <w:rFonts w:hint="eastAsia" w:ascii="宋体"/>
          <w:bCs/>
          <w:color w:val="auto"/>
          <w:kern w:val="0"/>
          <w:highlight w:val="none"/>
        </w:rPr>
        <w:t>实质性条款偏离表</w:t>
      </w:r>
      <w:r>
        <w:rPr>
          <w:color w:val="auto"/>
          <w:highlight w:val="none"/>
        </w:rPr>
        <w:tab/>
      </w:r>
      <w:r>
        <w:rPr>
          <w:color w:val="auto"/>
          <w:highlight w:val="none"/>
        </w:rPr>
        <w:fldChar w:fldCharType="begin"/>
      </w:r>
      <w:r>
        <w:rPr>
          <w:color w:val="auto"/>
          <w:highlight w:val="none"/>
        </w:rPr>
        <w:instrText xml:space="preserve"> PAGEREF _Toc4435 \h </w:instrText>
      </w:r>
      <w:r>
        <w:rPr>
          <w:color w:val="auto"/>
          <w:highlight w:val="none"/>
        </w:rPr>
        <w:fldChar w:fldCharType="separate"/>
      </w:r>
      <w:r>
        <w:rPr>
          <w:color w:val="auto"/>
          <w:highlight w:val="none"/>
        </w:rPr>
        <w:t>70</w:t>
      </w:r>
      <w:r>
        <w:rPr>
          <w:color w:val="auto"/>
          <w:highlight w:val="none"/>
        </w:rPr>
        <w:fldChar w:fldCharType="end"/>
      </w:r>
      <w:r>
        <w:rPr>
          <w:rFonts w:hint="eastAsia" w:ascii="宋体"/>
          <w:color w:val="auto"/>
          <w:szCs w:val="21"/>
          <w:highlight w:val="none"/>
        </w:rPr>
        <w:fldChar w:fldCharType="end"/>
      </w:r>
    </w:p>
    <w:p w14:paraId="0BAEBDAE">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_Toc24213 </w:instrText>
      </w:r>
      <w:r>
        <w:rPr>
          <w:rFonts w:hint="eastAsia" w:ascii="宋体"/>
          <w:color w:val="auto"/>
          <w:szCs w:val="21"/>
          <w:highlight w:val="none"/>
        </w:rPr>
        <w:fldChar w:fldCharType="separate"/>
      </w:r>
      <w:r>
        <w:rPr>
          <w:rFonts w:hint="eastAsia" w:ascii="宋体" w:cs="Courier New"/>
          <w:bCs/>
          <w:color w:val="auto"/>
          <w:kern w:val="0"/>
          <w:highlight w:val="none"/>
        </w:rPr>
        <w:t>供应商基本情况表</w:t>
      </w:r>
      <w:r>
        <w:rPr>
          <w:color w:val="auto"/>
          <w:highlight w:val="none"/>
        </w:rPr>
        <w:tab/>
      </w:r>
      <w:r>
        <w:rPr>
          <w:color w:val="auto"/>
          <w:highlight w:val="none"/>
        </w:rPr>
        <w:fldChar w:fldCharType="begin"/>
      </w:r>
      <w:r>
        <w:rPr>
          <w:color w:val="auto"/>
          <w:highlight w:val="none"/>
        </w:rPr>
        <w:instrText xml:space="preserve"> PAGEREF _Toc24213 \h </w:instrText>
      </w:r>
      <w:r>
        <w:rPr>
          <w:color w:val="auto"/>
          <w:highlight w:val="none"/>
        </w:rPr>
        <w:fldChar w:fldCharType="separate"/>
      </w:r>
      <w:r>
        <w:rPr>
          <w:color w:val="auto"/>
          <w:highlight w:val="none"/>
        </w:rPr>
        <w:t>71</w:t>
      </w:r>
      <w:r>
        <w:rPr>
          <w:color w:val="auto"/>
          <w:highlight w:val="none"/>
        </w:rPr>
        <w:fldChar w:fldCharType="end"/>
      </w:r>
      <w:r>
        <w:rPr>
          <w:rFonts w:hint="eastAsia" w:ascii="宋体"/>
          <w:color w:val="auto"/>
          <w:szCs w:val="21"/>
          <w:highlight w:val="none"/>
        </w:rPr>
        <w:fldChar w:fldCharType="end"/>
      </w:r>
    </w:p>
    <w:p w14:paraId="3A814005">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_Toc16206 </w:instrText>
      </w:r>
      <w:r>
        <w:rPr>
          <w:rFonts w:hint="eastAsia" w:ascii="宋体"/>
          <w:color w:val="auto"/>
          <w:szCs w:val="21"/>
          <w:highlight w:val="none"/>
        </w:rPr>
        <w:fldChar w:fldCharType="separate"/>
      </w:r>
      <w:r>
        <w:rPr>
          <w:rFonts w:hint="eastAsia" w:ascii="宋体"/>
          <w:bCs/>
          <w:color w:val="auto"/>
          <w:highlight w:val="none"/>
        </w:rPr>
        <w:t>拟投入本项目的团队情况表</w:t>
      </w:r>
      <w:r>
        <w:rPr>
          <w:color w:val="auto"/>
          <w:highlight w:val="none"/>
        </w:rPr>
        <w:tab/>
      </w:r>
      <w:r>
        <w:rPr>
          <w:color w:val="auto"/>
          <w:highlight w:val="none"/>
        </w:rPr>
        <w:fldChar w:fldCharType="begin"/>
      </w:r>
      <w:r>
        <w:rPr>
          <w:color w:val="auto"/>
          <w:highlight w:val="none"/>
        </w:rPr>
        <w:instrText xml:space="preserve"> PAGEREF _Toc16206 \h </w:instrText>
      </w:r>
      <w:r>
        <w:rPr>
          <w:color w:val="auto"/>
          <w:highlight w:val="none"/>
        </w:rPr>
        <w:fldChar w:fldCharType="separate"/>
      </w:r>
      <w:r>
        <w:rPr>
          <w:color w:val="auto"/>
          <w:highlight w:val="none"/>
        </w:rPr>
        <w:t>72</w:t>
      </w:r>
      <w:r>
        <w:rPr>
          <w:color w:val="auto"/>
          <w:highlight w:val="none"/>
        </w:rPr>
        <w:fldChar w:fldCharType="end"/>
      </w:r>
      <w:r>
        <w:rPr>
          <w:rFonts w:hint="eastAsia" w:ascii="宋体"/>
          <w:color w:val="auto"/>
          <w:szCs w:val="21"/>
          <w:highlight w:val="none"/>
        </w:rPr>
        <w:fldChar w:fldCharType="end"/>
      </w:r>
    </w:p>
    <w:p w14:paraId="3D2A98D5">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_Toc7956 </w:instrText>
      </w:r>
      <w:r>
        <w:rPr>
          <w:rFonts w:hint="eastAsia" w:ascii="宋体"/>
          <w:color w:val="auto"/>
          <w:szCs w:val="21"/>
          <w:highlight w:val="none"/>
        </w:rPr>
        <w:fldChar w:fldCharType="separate"/>
      </w:r>
      <w:r>
        <w:rPr>
          <w:rFonts w:hint="eastAsia" w:ascii="宋体"/>
          <w:color w:val="auto"/>
          <w:highlight w:val="none"/>
        </w:rPr>
        <w:t>拟投入本项目的项目经理简介</w:t>
      </w:r>
      <w:r>
        <w:rPr>
          <w:color w:val="auto"/>
          <w:highlight w:val="none"/>
        </w:rPr>
        <w:tab/>
      </w:r>
      <w:r>
        <w:rPr>
          <w:color w:val="auto"/>
          <w:highlight w:val="none"/>
        </w:rPr>
        <w:fldChar w:fldCharType="begin"/>
      </w:r>
      <w:r>
        <w:rPr>
          <w:color w:val="auto"/>
          <w:highlight w:val="none"/>
        </w:rPr>
        <w:instrText xml:space="preserve"> PAGEREF _Toc7956 \h </w:instrText>
      </w:r>
      <w:r>
        <w:rPr>
          <w:color w:val="auto"/>
          <w:highlight w:val="none"/>
        </w:rPr>
        <w:fldChar w:fldCharType="separate"/>
      </w:r>
      <w:r>
        <w:rPr>
          <w:color w:val="auto"/>
          <w:highlight w:val="none"/>
        </w:rPr>
        <w:t>73</w:t>
      </w:r>
      <w:r>
        <w:rPr>
          <w:color w:val="auto"/>
          <w:highlight w:val="none"/>
        </w:rPr>
        <w:fldChar w:fldCharType="end"/>
      </w:r>
      <w:r>
        <w:rPr>
          <w:rFonts w:hint="eastAsia" w:ascii="宋体"/>
          <w:color w:val="auto"/>
          <w:szCs w:val="21"/>
          <w:highlight w:val="none"/>
        </w:rPr>
        <w:fldChar w:fldCharType="end"/>
      </w:r>
    </w:p>
    <w:p w14:paraId="1D23CC85">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_Toc10146 </w:instrText>
      </w:r>
      <w:r>
        <w:rPr>
          <w:rFonts w:hint="eastAsia" w:ascii="宋体"/>
          <w:color w:val="auto"/>
          <w:szCs w:val="21"/>
          <w:highlight w:val="none"/>
        </w:rPr>
        <w:fldChar w:fldCharType="separate"/>
      </w:r>
      <w:r>
        <w:rPr>
          <w:rFonts w:hint="eastAsia" w:ascii="宋体"/>
          <w:bCs/>
          <w:color w:val="auto"/>
          <w:kern w:val="0"/>
          <w:highlight w:val="none"/>
        </w:rPr>
        <w:t>质 疑 函</w:t>
      </w:r>
      <w:r>
        <w:rPr>
          <w:color w:val="auto"/>
          <w:highlight w:val="none"/>
        </w:rPr>
        <w:tab/>
      </w:r>
      <w:r>
        <w:rPr>
          <w:color w:val="auto"/>
          <w:highlight w:val="none"/>
        </w:rPr>
        <w:fldChar w:fldCharType="begin"/>
      </w:r>
      <w:r>
        <w:rPr>
          <w:color w:val="auto"/>
          <w:highlight w:val="none"/>
        </w:rPr>
        <w:instrText xml:space="preserve"> PAGEREF _Toc10146 \h </w:instrText>
      </w:r>
      <w:r>
        <w:rPr>
          <w:color w:val="auto"/>
          <w:highlight w:val="none"/>
        </w:rPr>
        <w:fldChar w:fldCharType="separate"/>
      </w:r>
      <w:r>
        <w:rPr>
          <w:color w:val="auto"/>
          <w:highlight w:val="none"/>
        </w:rPr>
        <w:t>74</w:t>
      </w:r>
      <w:r>
        <w:rPr>
          <w:color w:val="auto"/>
          <w:highlight w:val="none"/>
        </w:rPr>
        <w:fldChar w:fldCharType="end"/>
      </w:r>
      <w:r>
        <w:rPr>
          <w:rFonts w:hint="eastAsia" w:ascii="宋体"/>
          <w:color w:val="auto"/>
          <w:szCs w:val="21"/>
          <w:highlight w:val="none"/>
        </w:rPr>
        <w:fldChar w:fldCharType="end"/>
      </w:r>
    </w:p>
    <w:p w14:paraId="6600139C">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_Toc19780 </w:instrText>
      </w:r>
      <w:r>
        <w:rPr>
          <w:rFonts w:hint="eastAsia" w:ascii="宋体"/>
          <w:color w:val="auto"/>
          <w:szCs w:val="21"/>
          <w:highlight w:val="none"/>
        </w:rPr>
        <w:fldChar w:fldCharType="separate"/>
      </w:r>
      <w:r>
        <w:rPr>
          <w:rFonts w:hint="eastAsia" w:ascii="宋体"/>
          <w:bCs/>
          <w:color w:val="auto"/>
          <w:kern w:val="0"/>
          <w:highlight w:val="none"/>
        </w:rPr>
        <w:t>没有重大违法记录的书面声明</w:t>
      </w:r>
      <w:r>
        <w:rPr>
          <w:color w:val="auto"/>
          <w:highlight w:val="none"/>
        </w:rPr>
        <w:tab/>
      </w:r>
      <w:r>
        <w:rPr>
          <w:color w:val="auto"/>
          <w:highlight w:val="none"/>
        </w:rPr>
        <w:fldChar w:fldCharType="begin"/>
      </w:r>
      <w:r>
        <w:rPr>
          <w:color w:val="auto"/>
          <w:highlight w:val="none"/>
        </w:rPr>
        <w:instrText xml:space="preserve"> PAGEREF _Toc19780 \h </w:instrText>
      </w:r>
      <w:r>
        <w:rPr>
          <w:color w:val="auto"/>
          <w:highlight w:val="none"/>
        </w:rPr>
        <w:fldChar w:fldCharType="separate"/>
      </w:r>
      <w:r>
        <w:rPr>
          <w:color w:val="auto"/>
          <w:highlight w:val="none"/>
        </w:rPr>
        <w:t>75</w:t>
      </w:r>
      <w:r>
        <w:rPr>
          <w:color w:val="auto"/>
          <w:highlight w:val="none"/>
        </w:rPr>
        <w:fldChar w:fldCharType="end"/>
      </w:r>
      <w:r>
        <w:rPr>
          <w:rFonts w:hint="eastAsia" w:ascii="宋体"/>
          <w:color w:val="auto"/>
          <w:szCs w:val="21"/>
          <w:highlight w:val="none"/>
        </w:rPr>
        <w:fldChar w:fldCharType="end"/>
      </w:r>
    </w:p>
    <w:p w14:paraId="2F7F475B">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_Toc14760 </w:instrText>
      </w:r>
      <w:r>
        <w:rPr>
          <w:rFonts w:hint="eastAsia" w:ascii="宋体"/>
          <w:color w:val="auto"/>
          <w:szCs w:val="21"/>
          <w:highlight w:val="none"/>
        </w:rPr>
        <w:fldChar w:fldCharType="separate"/>
      </w:r>
      <w:r>
        <w:rPr>
          <w:rFonts w:hint="eastAsia" w:ascii="宋体"/>
          <w:bCs/>
          <w:color w:val="auto"/>
          <w:kern w:val="0"/>
          <w:highlight w:val="none"/>
        </w:rPr>
        <w:t>中小企业声明函</w:t>
      </w:r>
      <w:r>
        <w:rPr>
          <w:color w:val="auto"/>
          <w:highlight w:val="none"/>
        </w:rPr>
        <w:tab/>
      </w:r>
      <w:r>
        <w:rPr>
          <w:color w:val="auto"/>
          <w:highlight w:val="none"/>
        </w:rPr>
        <w:fldChar w:fldCharType="begin"/>
      </w:r>
      <w:r>
        <w:rPr>
          <w:color w:val="auto"/>
          <w:highlight w:val="none"/>
        </w:rPr>
        <w:instrText xml:space="preserve"> PAGEREF _Toc14760 \h </w:instrText>
      </w:r>
      <w:r>
        <w:rPr>
          <w:color w:val="auto"/>
          <w:highlight w:val="none"/>
        </w:rPr>
        <w:fldChar w:fldCharType="separate"/>
      </w:r>
      <w:r>
        <w:rPr>
          <w:color w:val="auto"/>
          <w:highlight w:val="none"/>
        </w:rPr>
        <w:t>76</w:t>
      </w:r>
      <w:r>
        <w:rPr>
          <w:color w:val="auto"/>
          <w:highlight w:val="none"/>
        </w:rPr>
        <w:fldChar w:fldCharType="end"/>
      </w:r>
      <w:r>
        <w:rPr>
          <w:rFonts w:hint="eastAsia" w:ascii="宋体"/>
          <w:color w:val="auto"/>
          <w:szCs w:val="21"/>
          <w:highlight w:val="none"/>
        </w:rPr>
        <w:fldChar w:fldCharType="end"/>
      </w:r>
    </w:p>
    <w:p w14:paraId="3FFCDA3F">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_Toc19218 </w:instrText>
      </w:r>
      <w:r>
        <w:rPr>
          <w:rFonts w:hint="eastAsia" w:ascii="宋体"/>
          <w:color w:val="auto"/>
          <w:szCs w:val="21"/>
          <w:highlight w:val="none"/>
        </w:rPr>
        <w:fldChar w:fldCharType="separate"/>
      </w:r>
      <w:r>
        <w:rPr>
          <w:rFonts w:hint="eastAsia" w:ascii="宋体"/>
          <w:bCs/>
          <w:color w:val="auto"/>
          <w:kern w:val="0"/>
          <w:highlight w:val="none"/>
        </w:rPr>
        <w:t>残疾人福利性单位声明函</w:t>
      </w:r>
      <w:r>
        <w:rPr>
          <w:color w:val="auto"/>
          <w:highlight w:val="none"/>
        </w:rPr>
        <w:tab/>
      </w:r>
      <w:r>
        <w:rPr>
          <w:color w:val="auto"/>
          <w:highlight w:val="none"/>
        </w:rPr>
        <w:fldChar w:fldCharType="begin"/>
      </w:r>
      <w:r>
        <w:rPr>
          <w:color w:val="auto"/>
          <w:highlight w:val="none"/>
        </w:rPr>
        <w:instrText xml:space="preserve"> PAGEREF _Toc19218 \h </w:instrText>
      </w:r>
      <w:r>
        <w:rPr>
          <w:color w:val="auto"/>
          <w:highlight w:val="none"/>
        </w:rPr>
        <w:fldChar w:fldCharType="separate"/>
      </w:r>
      <w:r>
        <w:rPr>
          <w:color w:val="auto"/>
          <w:highlight w:val="none"/>
        </w:rPr>
        <w:t>77</w:t>
      </w:r>
      <w:r>
        <w:rPr>
          <w:color w:val="auto"/>
          <w:highlight w:val="none"/>
        </w:rPr>
        <w:fldChar w:fldCharType="end"/>
      </w:r>
      <w:r>
        <w:rPr>
          <w:rFonts w:hint="eastAsia" w:ascii="宋体"/>
          <w:color w:val="auto"/>
          <w:szCs w:val="21"/>
          <w:highlight w:val="none"/>
        </w:rPr>
        <w:fldChar w:fldCharType="end"/>
      </w:r>
    </w:p>
    <w:p w14:paraId="3F52F953">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_Toc1989 </w:instrText>
      </w:r>
      <w:r>
        <w:rPr>
          <w:rFonts w:hint="eastAsia" w:ascii="宋体"/>
          <w:color w:val="auto"/>
          <w:szCs w:val="21"/>
          <w:highlight w:val="none"/>
        </w:rPr>
        <w:fldChar w:fldCharType="separate"/>
      </w:r>
      <w:r>
        <w:rPr>
          <w:rFonts w:hint="eastAsia" w:ascii="宋体"/>
          <w:bCs/>
          <w:color w:val="auto"/>
          <w:kern w:val="0"/>
          <w:highlight w:val="none"/>
        </w:rPr>
        <w:t>银行资信证明</w:t>
      </w:r>
      <w:r>
        <w:rPr>
          <w:rFonts w:hint="eastAsia" w:ascii="宋体"/>
          <w:bCs/>
          <w:color w:val="auto"/>
          <w:kern w:val="0"/>
          <w:highlight w:val="none"/>
          <w:lang w:eastAsia="zh-CN"/>
        </w:rPr>
        <w:t>（</w:t>
      </w:r>
      <w:r>
        <w:rPr>
          <w:rFonts w:hint="eastAsia" w:ascii="宋体"/>
          <w:bCs/>
          <w:color w:val="auto"/>
          <w:kern w:val="0"/>
          <w:highlight w:val="none"/>
          <w:lang w:val="en-US" w:eastAsia="zh-CN"/>
        </w:rPr>
        <w:t>如有</w:t>
      </w:r>
      <w:r>
        <w:rPr>
          <w:rFonts w:hint="eastAsia" w:ascii="宋体"/>
          <w:bCs/>
          <w:color w:val="auto"/>
          <w:kern w:val="0"/>
          <w:highlight w:val="none"/>
          <w:lang w:eastAsia="zh-CN"/>
        </w:rPr>
        <w:t>）</w:t>
      </w:r>
      <w:r>
        <w:rPr>
          <w:color w:val="auto"/>
          <w:highlight w:val="none"/>
        </w:rPr>
        <w:tab/>
      </w:r>
      <w:r>
        <w:rPr>
          <w:color w:val="auto"/>
          <w:highlight w:val="none"/>
        </w:rPr>
        <w:fldChar w:fldCharType="begin"/>
      </w:r>
      <w:r>
        <w:rPr>
          <w:color w:val="auto"/>
          <w:highlight w:val="none"/>
        </w:rPr>
        <w:instrText xml:space="preserve"> PAGEREF _Toc1989 \h </w:instrText>
      </w:r>
      <w:r>
        <w:rPr>
          <w:color w:val="auto"/>
          <w:highlight w:val="none"/>
        </w:rPr>
        <w:fldChar w:fldCharType="separate"/>
      </w:r>
      <w:r>
        <w:rPr>
          <w:color w:val="auto"/>
          <w:highlight w:val="none"/>
        </w:rPr>
        <w:t>78</w:t>
      </w:r>
      <w:r>
        <w:rPr>
          <w:color w:val="auto"/>
          <w:highlight w:val="none"/>
        </w:rPr>
        <w:fldChar w:fldCharType="end"/>
      </w:r>
      <w:r>
        <w:rPr>
          <w:rFonts w:hint="eastAsia" w:ascii="宋体"/>
          <w:color w:val="auto"/>
          <w:szCs w:val="21"/>
          <w:highlight w:val="none"/>
        </w:rPr>
        <w:fldChar w:fldCharType="end"/>
      </w:r>
    </w:p>
    <w:p w14:paraId="6849A761">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_Toc24781 </w:instrText>
      </w:r>
      <w:r>
        <w:rPr>
          <w:rFonts w:hint="eastAsia" w:ascii="宋体"/>
          <w:color w:val="auto"/>
          <w:szCs w:val="21"/>
          <w:highlight w:val="none"/>
        </w:rPr>
        <w:fldChar w:fldCharType="separate"/>
      </w:r>
      <w:r>
        <w:rPr>
          <w:rFonts w:hint="eastAsia" w:ascii="宋体"/>
          <w:bCs/>
          <w:color w:val="auto"/>
          <w:kern w:val="0"/>
          <w:highlight w:val="none"/>
        </w:rPr>
        <w:t>项目服务方案</w:t>
      </w:r>
      <w:r>
        <w:rPr>
          <w:color w:val="auto"/>
          <w:highlight w:val="none"/>
        </w:rPr>
        <w:tab/>
      </w:r>
      <w:r>
        <w:rPr>
          <w:color w:val="auto"/>
          <w:highlight w:val="none"/>
        </w:rPr>
        <w:fldChar w:fldCharType="begin"/>
      </w:r>
      <w:r>
        <w:rPr>
          <w:color w:val="auto"/>
          <w:highlight w:val="none"/>
        </w:rPr>
        <w:instrText xml:space="preserve"> PAGEREF _Toc24781 \h </w:instrText>
      </w:r>
      <w:r>
        <w:rPr>
          <w:color w:val="auto"/>
          <w:highlight w:val="none"/>
        </w:rPr>
        <w:fldChar w:fldCharType="separate"/>
      </w:r>
      <w:r>
        <w:rPr>
          <w:color w:val="auto"/>
          <w:highlight w:val="none"/>
        </w:rPr>
        <w:t>79</w:t>
      </w:r>
      <w:r>
        <w:rPr>
          <w:color w:val="auto"/>
          <w:highlight w:val="none"/>
        </w:rPr>
        <w:fldChar w:fldCharType="end"/>
      </w:r>
      <w:r>
        <w:rPr>
          <w:rFonts w:hint="eastAsia" w:ascii="宋体"/>
          <w:color w:val="auto"/>
          <w:szCs w:val="21"/>
          <w:highlight w:val="none"/>
        </w:rPr>
        <w:fldChar w:fldCharType="end"/>
      </w:r>
    </w:p>
    <w:p w14:paraId="69F6B96B">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_Toc18538 </w:instrText>
      </w:r>
      <w:r>
        <w:rPr>
          <w:rFonts w:hint="eastAsia" w:ascii="宋体"/>
          <w:color w:val="auto"/>
          <w:szCs w:val="21"/>
          <w:highlight w:val="none"/>
        </w:rPr>
        <w:fldChar w:fldCharType="separate"/>
      </w:r>
      <w:r>
        <w:rPr>
          <w:rFonts w:hint="eastAsia" w:ascii="宋体"/>
          <w:bCs/>
          <w:color w:val="auto"/>
          <w:kern w:val="0"/>
          <w:highlight w:val="none"/>
        </w:rPr>
        <w:t>同</w:t>
      </w:r>
      <w:r>
        <w:rPr>
          <w:rFonts w:hint="eastAsia" w:ascii="宋体"/>
          <w:bCs/>
          <w:color w:val="auto"/>
          <w:kern w:val="0"/>
          <w:highlight w:val="none"/>
          <w:lang w:val="en-US" w:eastAsia="zh-CN"/>
        </w:rPr>
        <w:t>类</w:t>
      </w:r>
      <w:r>
        <w:rPr>
          <w:rFonts w:hint="eastAsia" w:ascii="宋体"/>
          <w:bCs/>
          <w:color w:val="auto"/>
          <w:kern w:val="0"/>
          <w:highlight w:val="none"/>
        </w:rPr>
        <w:t>业绩一览表</w:t>
      </w:r>
      <w:r>
        <w:rPr>
          <w:color w:val="auto"/>
          <w:highlight w:val="none"/>
        </w:rPr>
        <w:tab/>
      </w:r>
      <w:r>
        <w:rPr>
          <w:color w:val="auto"/>
          <w:highlight w:val="none"/>
        </w:rPr>
        <w:fldChar w:fldCharType="begin"/>
      </w:r>
      <w:r>
        <w:rPr>
          <w:color w:val="auto"/>
          <w:highlight w:val="none"/>
        </w:rPr>
        <w:instrText xml:space="preserve"> PAGEREF _Toc18538 \h </w:instrText>
      </w:r>
      <w:r>
        <w:rPr>
          <w:color w:val="auto"/>
          <w:highlight w:val="none"/>
        </w:rPr>
        <w:fldChar w:fldCharType="separate"/>
      </w:r>
      <w:r>
        <w:rPr>
          <w:color w:val="auto"/>
          <w:highlight w:val="none"/>
        </w:rPr>
        <w:t>80</w:t>
      </w:r>
      <w:r>
        <w:rPr>
          <w:color w:val="auto"/>
          <w:highlight w:val="none"/>
        </w:rPr>
        <w:fldChar w:fldCharType="end"/>
      </w:r>
      <w:r>
        <w:rPr>
          <w:rFonts w:hint="eastAsia" w:ascii="宋体"/>
          <w:color w:val="auto"/>
          <w:szCs w:val="21"/>
          <w:highlight w:val="none"/>
        </w:rPr>
        <w:fldChar w:fldCharType="end"/>
      </w:r>
    </w:p>
    <w:p w14:paraId="3BF83080">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_Toc8523 </w:instrText>
      </w:r>
      <w:r>
        <w:rPr>
          <w:rFonts w:hint="eastAsia" w:ascii="宋体"/>
          <w:color w:val="auto"/>
          <w:szCs w:val="21"/>
          <w:highlight w:val="none"/>
        </w:rPr>
        <w:fldChar w:fldCharType="separate"/>
      </w:r>
      <w:r>
        <w:rPr>
          <w:rFonts w:hint="eastAsia" w:ascii="宋体"/>
          <w:bCs/>
          <w:color w:val="auto"/>
          <w:kern w:val="0"/>
          <w:szCs w:val="28"/>
          <w:highlight w:val="none"/>
        </w:rPr>
        <w:t>承诺函</w:t>
      </w:r>
      <w:r>
        <w:rPr>
          <w:color w:val="auto"/>
          <w:highlight w:val="none"/>
        </w:rPr>
        <w:tab/>
      </w:r>
      <w:r>
        <w:rPr>
          <w:color w:val="auto"/>
          <w:highlight w:val="none"/>
        </w:rPr>
        <w:fldChar w:fldCharType="begin"/>
      </w:r>
      <w:r>
        <w:rPr>
          <w:color w:val="auto"/>
          <w:highlight w:val="none"/>
        </w:rPr>
        <w:instrText xml:space="preserve"> PAGEREF _Toc8523 \h </w:instrText>
      </w:r>
      <w:r>
        <w:rPr>
          <w:color w:val="auto"/>
          <w:highlight w:val="none"/>
        </w:rPr>
        <w:fldChar w:fldCharType="separate"/>
      </w:r>
      <w:r>
        <w:rPr>
          <w:color w:val="auto"/>
          <w:highlight w:val="none"/>
        </w:rPr>
        <w:t>81</w:t>
      </w:r>
      <w:r>
        <w:rPr>
          <w:color w:val="auto"/>
          <w:highlight w:val="none"/>
        </w:rPr>
        <w:fldChar w:fldCharType="end"/>
      </w:r>
      <w:r>
        <w:rPr>
          <w:rFonts w:hint="eastAsia" w:ascii="宋体"/>
          <w:color w:val="auto"/>
          <w:szCs w:val="21"/>
          <w:highlight w:val="none"/>
        </w:rPr>
        <w:fldChar w:fldCharType="end"/>
      </w:r>
    </w:p>
    <w:p w14:paraId="62E00C6E">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_Toc21449 </w:instrText>
      </w:r>
      <w:r>
        <w:rPr>
          <w:rFonts w:hint="eastAsia" w:ascii="宋体"/>
          <w:color w:val="auto"/>
          <w:szCs w:val="21"/>
          <w:highlight w:val="none"/>
        </w:rPr>
        <w:fldChar w:fldCharType="separate"/>
      </w:r>
      <w:r>
        <w:rPr>
          <w:rFonts w:hint="eastAsia" w:ascii="宋体"/>
          <w:bCs/>
          <w:color w:val="auto"/>
          <w:kern w:val="0"/>
          <w:highlight w:val="none"/>
        </w:rPr>
        <w:t>最终报价一览表</w:t>
      </w:r>
      <w:r>
        <w:rPr>
          <w:color w:val="auto"/>
          <w:highlight w:val="none"/>
        </w:rPr>
        <w:tab/>
      </w:r>
      <w:r>
        <w:rPr>
          <w:color w:val="auto"/>
          <w:highlight w:val="none"/>
        </w:rPr>
        <w:fldChar w:fldCharType="begin"/>
      </w:r>
      <w:r>
        <w:rPr>
          <w:color w:val="auto"/>
          <w:highlight w:val="none"/>
        </w:rPr>
        <w:instrText xml:space="preserve"> PAGEREF _Toc21449 \h </w:instrText>
      </w:r>
      <w:r>
        <w:rPr>
          <w:color w:val="auto"/>
          <w:highlight w:val="none"/>
        </w:rPr>
        <w:fldChar w:fldCharType="separate"/>
      </w:r>
      <w:r>
        <w:rPr>
          <w:color w:val="auto"/>
          <w:highlight w:val="none"/>
        </w:rPr>
        <w:t>83</w:t>
      </w:r>
      <w:r>
        <w:rPr>
          <w:color w:val="auto"/>
          <w:highlight w:val="none"/>
        </w:rPr>
        <w:fldChar w:fldCharType="end"/>
      </w:r>
      <w:r>
        <w:rPr>
          <w:rFonts w:hint="eastAsia" w:ascii="宋体"/>
          <w:color w:val="auto"/>
          <w:szCs w:val="21"/>
          <w:highlight w:val="none"/>
        </w:rPr>
        <w:fldChar w:fldCharType="end"/>
      </w:r>
    </w:p>
    <w:p w14:paraId="7617879C">
      <w:pPr>
        <w:pStyle w:val="52"/>
        <w:tabs>
          <w:tab w:val="right" w:leader="dot" w:pos="9185"/>
          <w:tab w:val="clear" w:pos="9344"/>
        </w:tabs>
        <w:rPr>
          <w:color w:val="auto"/>
          <w:highlight w:val="none"/>
        </w:rPr>
      </w:pPr>
      <w:r>
        <w:rPr>
          <w:rFonts w:hint="eastAsia" w:ascii="宋体"/>
          <w:color w:val="auto"/>
          <w:szCs w:val="21"/>
          <w:highlight w:val="none"/>
        </w:rPr>
        <w:fldChar w:fldCharType="begin"/>
      </w:r>
      <w:r>
        <w:rPr>
          <w:rFonts w:hint="eastAsia" w:ascii="宋体"/>
          <w:color w:val="auto"/>
          <w:szCs w:val="21"/>
          <w:highlight w:val="none"/>
        </w:rPr>
        <w:instrText xml:space="preserve"> HYPERLINK \l _Toc19997 </w:instrText>
      </w:r>
      <w:r>
        <w:rPr>
          <w:rFonts w:hint="eastAsia" w:ascii="宋体"/>
          <w:color w:val="auto"/>
          <w:szCs w:val="21"/>
          <w:highlight w:val="none"/>
        </w:rPr>
        <w:fldChar w:fldCharType="separate"/>
      </w:r>
      <w:r>
        <w:rPr>
          <w:rFonts w:hint="eastAsia" w:ascii="宋体" w:hAnsi="宋体"/>
          <w:color w:val="auto"/>
          <w:highlight w:val="none"/>
        </w:rPr>
        <w:t>其 他 格 式</w:t>
      </w:r>
      <w:r>
        <w:rPr>
          <w:color w:val="auto"/>
          <w:highlight w:val="none"/>
        </w:rPr>
        <w:tab/>
      </w:r>
      <w:r>
        <w:rPr>
          <w:color w:val="auto"/>
          <w:highlight w:val="none"/>
        </w:rPr>
        <w:fldChar w:fldCharType="begin"/>
      </w:r>
      <w:r>
        <w:rPr>
          <w:color w:val="auto"/>
          <w:highlight w:val="none"/>
        </w:rPr>
        <w:instrText xml:space="preserve"> PAGEREF _Toc19997 \h </w:instrText>
      </w:r>
      <w:r>
        <w:rPr>
          <w:color w:val="auto"/>
          <w:highlight w:val="none"/>
        </w:rPr>
        <w:fldChar w:fldCharType="separate"/>
      </w:r>
      <w:r>
        <w:rPr>
          <w:color w:val="auto"/>
          <w:highlight w:val="none"/>
        </w:rPr>
        <w:t>85</w:t>
      </w:r>
      <w:r>
        <w:rPr>
          <w:color w:val="auto"/>
          <w:highlight w:val="none"/>
        </w:rPr>
        <w:fldChar w:fldCharType="end"/>
      </w:r>
      <w:r>
        <w:rPr>
          <w:rFonts w:hint="eastAsia" w:ascii="宋体"/>
          <w:color w:val="auto"/>
          <w:szCs w:val="21"/>
          <w:highlight w:val="none"/>
        </w:rPr>
        <w:fldChar w:fldCharType="end"/>
      </w:r>
    </w:p>
    <w:p w14:paraId="18821457">
      <w:pPr>
        <w:pStyle w:val="44"/>
        <w:tabs>
          <w:tab w:val="right" w:leader="dot" w:pos="9185"/>
        </w:tabs>
        <w:rPr>
          <w:color w:val="auto"/>
          <w:highlight w:val="none"/>
        </w:rPr>
      </w:pPr>
      <w:r>
        <w:rPr>
          <w:rFonts w:hint="eastAsia" w:ascii="宋体"/>
          <w:color w:val="auto"/>
          <w:szCs w:val="21"/>
          <w:highlight w:val="none"/>
        </w:rPr>
        <w:fldChar w:fldCharType="end"/>
      </w:r>
    </w:p>
    <w:p w14:paraId="6CB575D5">
      <w:pPr>
        <w:adjustRightInd w:val="0"/>
        <w:spacing w:before="240" w:beforeLines="100"/>
        <w:ind w:right="958"/>
        <w:jc w:val="center"/>
        <w:textAlignment w:val="baseline"/>
        <w:outlineLvl w:val="0"/>
        <w:rPr>
          <w:rFonts w:ascii="宋体"/>
          <w:b/>
          <w:color w:val="auto"/>
          <w:kern w:val="0"/>
          <w:sz w:val="30"/>
          <w:szCs w:val="30"/>
          <w:highlight w:val="none"/>
        </w:rPr>
      </w:pPr>
    </w:p>
    <w:p w14:paraId="6C6F177A">
      <w:pPr>
        <w:adjustRightInd w:val="0"/>
        <w:spacing w:before="240" w:beforeLines="100"/>
        <w:ind w:right="958"/>
        <w:jc w:val="center"/>
        <w:textAlignment w:val="baseline"/>
        <w:outlineLvl w:val="0"/>
        <w:rPr>
          <w:rFonts w:ascii="宋体"/>
          <w:b/>
          <w:color w:val="auto"/>
          <w:kern w:val="0"/>
          <w:sz w:val="30"/>
          <w:szCs w:val="30"/>
          <w:highlight w:val="none"/>
        </w:rPr>
      </w:pPr>
    </w:p>
    <w:p w14:paraId="060037C0">
      <w:pPr>
        <w:adjustRightInd w:val="0"/>
        <w:spacing w:before="240" w:beforeLines="100"/>
        <w:ind w:right="958"/>
        <w:jc w:val="center"/>
        <w:textAlignment w:val="baseline"/>
        <w:outlineLvl w:val="0"/>
        <w:rPr>
          <w:rFonts w:ascii="宋体"/>
          <w:b/>
          <w:color w:val="auto"/>
          <w:kern w:val="0"/>
          <w:sz w:val="30"/>
          <w:szCs w:val="30"/>
          <w:highlight w:val="none"/>
        </w:rPr>
      </w:pPr>
    </w:p>
    <w:p w14:paraId="6CC458D1">
      <w:pPr>
        <w:adjustRightInd w:val="0"/>
        <w:spacing w:before="240" w:beforeLines="100"/>
        <w:ind w:right="958"/>
        <w:jc w:val="center"/>
        <w:textAlignment w:val="baseline"/>
        <w:outlineLvl w:val="0"/>
        <w:rPr>
          <w:rFonts w:ascii="宋体"/>
          <w:b/>
          <w:color w:val="auto"/>
          <w:kern w:val="0"/>
          <w:sz w:val="30"/>
          <w:szCs w:val="30"/>
          <w:highlight w:val="none"/>
        </w:rPr>
      </w:pPr>
    </w:p>
    <w:p w14:paraId="2419211A">
      <w:pPr>
        <w:adjustRightInd w:val="0"/>
        <w:spacing w:before="240" w:beforeLines="100"/>
        <w:ind w:right="958"/>
        <w:jc w:val="center"/>
        <w:textAlignment w:val="baseline"/>
        <w:outlineLvl w:val="0"/>
        <w:rPr>
          <w:rFonts w:ascii="宋体"/>
          <w:b/>
          <w:color w:val="auto"/>
          <w:kern w:val="0"/>
          <w:sz w:val="30"/>
          <w:szCs w:val="30"/>
          <w:highlight w:val="none"/>
        </w:rPr>
      </w:pPr>
    </w:p>
    <w:p w14:paraId="15066181">
      <w:pPr>
        <w:adjustRightInd w:val="0"/>
        <w:spacing w:before="240" w:beforeLines="100"/>
        <w:ind w:right="958"/>
        <w:jc w:val="center"/>
        <w:textAlignment w:val="baseline"/>
        <w:outlineLvl w:val="0"/>
        <w:rPr>
          <w:rFonts w:ascii="宋体"/>
          <w:b/>
          <w:color w:val="auto"/>
          <w:kern w:val="0"/>
          <w:sz w:val="30"/>
          <w:szCs w:val="30"/>
          <w:highlight w:val="none"/>
        </w:rPr>
      </w:pPr>
    </w:p>
    <w:p w14:paraId="7DAFDD56">
      <w:pPr>
        <w:adjustRightInd w:val="0"/>
        <w:spacing w:before="240" w:beforeLines="100"/>
        <w:ind w:right="958"/>
        <w:jc w:val="center"/>
        <w:textAlignment w:val="baseline"/>
        <w:outlineLvl w:val="0"/>
        <w:rPr>
          <w:rFonts w:ascii="宋体"/>
          <w:b/>
          <w:color w:val="auto"/>
          <w:kern w:val="0"/>
          <w:sz w:val="30"/>
          <w:szCs w:val="30"/>
          <w:highlight w:val="none"/>
        </w:rPr>
      </w:pPr>
    </w:p>
    <w:p w14:paraId="36EC48EE">
      <w:pPr>
        <w:adjustRightInd w:val="0"/>
        <w:spacing w:before="240" w:beforeLines="100"/>
        <w:ind w:right="958"/>
        <w:jc w:val="center"/>
        <w:textAlignment w:val="baseline"/>
        <w:outlineLvl w:val="0"/>
        <w:rPr>
          <w:rFonts w:ascii="宋体"/>
          <w:b/>
          <w:color w:val="auto"/>
          <w:kern w:val="0"/>
          <w:sz w:val="30"/>
          <w:szCs w:val="30"/>
          <w:highlight w:val="none"/>
        </w:rPr>
      </w:pPr>
    </w:p>
    <w:p w14:paraId="5A24D517">
      <w:pPr>
        <w:adjustRightInd w:val="0"/>
        <w:spacing w:before="240" w:beforeLines="100"/>
        <w:ind w:right="958"/>
        <w:jc w:val="center"/>
        <w:textAlignment w:val="baseline"/>
        <w:outlineLvl w:val="0"/>
        <w:rPr>
          <w:rFonts w:ascii="宋体"/>
          <w:b/>
          <w:color w:val="auto"/>
          <w:kern w:val="0"/>
          <w:sz w:val="30"/>
          <w:szCs w:val="30"/>
          <w:highlight w:val="none"/>
        </w:rPr>
      </w:pPr>
    </w:p>
    <w:p w14:paraId="05BE47D8">
      <w:pPr>
        <w:adjustRightInd w:val="0"/>
        <w:spacing w:before="240" w:beforeLines="100"/>
        <w:ind w:right="958"/>
        <w:jc w:val="center"/>
        <w:textAlignment w:val="baseline"/>
        <w:outlineLvl w:val="0"/>
        <w:rPr>
          <w:rFonts w:ascii="宋体"/>
          <w:b/>
          <w:color w:val="auto"/>
          <w:kern w:val="0"/>
          <w:sz w:val="30"/>
          <w:szCs w:val="30"/>
          <w:highlight w:val="none"/>
        </w:rPr>
      </w:pPr>
    </w:p>
    <w:p w14:paraId="0186D5AE">
      <w:pPr>
        <w:adjustRightInd w:val="0"/>
        <w:spacing w:before="240" w:beforeLines="100"/>
        <w:ind w:right="958"/>
        <w:jc w:val="center"/>
        <w:textAlignment w:val="baseline"/>
        <w:outlineLvl w:val="0"/>
        <w:rPr>
          <w:rFonts w:ascii="宋体"/>
          <w:b/>
          <w:color w:val="auto"/>
          <w:kern w:val="0"/>
          <w:sz w:val="30"/>
          <w:szCs w:val="30"/>
          <w:highlight w:val="none"/>
        </w:rPr>
      </w:pPr>
    </w:p>
    <w:p w14:paraId="159CF7B3">
      <w:pPr>
        <w:adjustRightInd w:val="0"/>
        <w:spacing w:before="240" w:beforeLines="100"/>
        <w:ind w:right="958"/>
        <w:jc w:val="center"/>
        <w:textAlignment w:val="baseline"/>
        <w:outlineLvl w:val="0"/>
        <w:rPr>
          <w:rFonts w:ascii="宋体"/>
          <w:b/>
          <w:color w:val="auto"/>
          <w:kern w:val="0"/>
          <w:sz w:val="30"/>
          <w:szCs w:val="30"/>
          <w:highlight w:val="none"/>
        </w:rPr>
      </w:pPr>
    </w:p>
    <w:p w14:paraId="15DF4973">
      <w:pPr>
        <w:adjustRightInd w:val="0"/>
        <w:spacing w:before="240" w:beforeLines="100"/>
        <w:ind w:right="958"/>
        <w:jc w:val="center"/>
        <w:textAlignment w:val="baseline"/>
        <w:outlineLvl w:val="0"/>
        <w:rPr>
          <w:rFonts w:ascii="宋体"/>
          <w:b/>
          <w:color w:val="auto"/>
          <w:kern w:val="0"/>
          <w:sz w:val="30"/>
          <w:szCs w:val="30"/>
          <w:highlight w:val="none"/>
        </w:rPr>
      </w:pPr>
    </w:p>
    <w:p w14:paraId="1BADA003">
      <w:pPr>
        <w:adjustRightInd w:val="0"/>
        <w:spacing w:before="240" w:beforeLines="100"/>
        <w:ind w:right="145" w:rightChars="0"/>
        <w:jc w:val="center"/>
        <w:textAlignment w:val="baseline"/>
        <w:outlineLvl w:val="0"/>
        <w:rPr>
          <w:rFonts w:ascii="宋体"/>
          <w:b/>
          <w:color w:val="auto"/>
          <w:kern w:val="0"/>
          <w:sz w:val="30"/>
          <w:szCs w:val="30"/>
          <w:highlight w:val="none"/>
        </w:rPr>
      </w:pPr>
      <w:bookmarkStart w:id="18" w:name="_Toc20172"/>
      <w:r>
        <w:rPr>
          <w:rFonts w:hint="eastAsia" w:ascii="宋体"/>
          <w:b/>
          <w:color w:val="auto"/>
          <w:kern w:val="0"/>
          <w:sz w:val="30"/>
          <w:szCs w:val="30"/>
          <w:highlight w:val="none"/>
        </w:rPr>
        <w:t>第一部分  磋商邀请</w:t>
      </w:r>
      <w:bookmarkEnd w:id="0"/>
      <w:bookmarkEnd w:id="1"/>
      <w:bookmarkEnd w:id="18"/>
    </w:p>
    <w:p w14:paraId="5248BAA7">
      <w:pPr>
        <w:spacing w:line="440" w:lineRule="exact"/>
        <w:rPr>
          <w:color w:val="auto"/>
          <w:sz w:val="30"/>
          <w:szCs w:val="30"/>
          <w:highlight w:val="none"/>
        </w:rPr>
      </w:pPr>
    </w:p>
    <w:p w14:paraId="2C2A8D9F">
      <w:pPr>
        <w:spacing w:line="440" w:lineRule="exact"/>
        <w:rPr>
          <w:color w:val="auto"/>
          <w:sz w:val="30"/>
          <w:szCs w:val="30"/>
          <w:highlight w:val="none"/>
        </w:rPr>
      </w:pPr>
    </w:p>
    <w:p w14:paraId="31D366A6">
      <w:pPr>
        <w:spacing w:line="360" w:lineRule="auto"/>
        <w:ind w:firstLine="561" w:firstLineChars="233"/>
        <w:jc w:val="left"/>
        <w:rPr>
          <w:rFonts w:ascii="宋体" w:cs="宋体"/>
          <w:b/>
          <w:bCs/>
          <w:color w:val="auto"/>
          <w:sz w:val="24"/>
          <w:highlight w:val="none"/>
        </w:rPr>
      </w:pPr>
      <w:r>
        <w:rPr>
          <w:rFonts w:hint="eastAsia" w:ascii="宋体"/>
          <w:b/>
          <w:color w:val="auto"/>
          <w:sz w:val="24"/>
          <w:highlight w:val="none"/>
          <w:u w:val="single"/>
        </w:rPr>
        <w:t>中华人民共和国阳江海关</w:t>
      </w:r>
      <w:r>
        <w:rPr>
          <w:rFonts w:hint="eastAsia" w:ascii="宋体"/>
          <w:color w:val="auto"/>
          <w:sz w:val="24"/>
          <w:highlight w:val="none"/>
        </w:rPr>
        <w:t>对</w:t>
      </w:r>
      <w:r>
        <w:rPr>
          <w:rFonts w:hint="eastAsia" w:ascii="宋体"/>
          <w:color w:val="auto"/>
          <w:sz w:val="24"/>
          <w:highlight w:val="none"/>
          <w:u w:val="single"/>
          <w:lang w:eastAsia="zh-CN"/>
        </w:rPr>
        <w:t>阳江海关2026-2027年度食堂食材配送服务采购项目</w:t>
      </w:r>
      <w:r>
        <w:rPr>
          <w:rFonts w:hint="eastAsia" w:ascii="宋体"/>
          <w:color w:val="auto"/>
          <w:sz w:val="24"/>
          <w:highlight w:val="none"/>
        </w:rPr>
        <w:t>进行竞争性磋商采购，</w:t>
      </w:r>
      <w:r>
        <w:rPr>
          <w:rFonts w:hint="eastAsia" w:ascii="宋体"/>
          <w:color w:val="auto"/>
          <w:sz w:val="24"/>
          <w:highlight w:val="none"/>
          <w:u w:val="single"/>
        </w:rPr>
        <w:t>现邀请符合资格条件的供应商</w:t>
      </w:r>
      <w:r>
        <w:rPr>
          <w:rFonts w:hint="eastAsia" w:ascii="宋体"/>
          <w:color w:val="auto"/>
          <w:sz w:val="24"/>
          <w:highlight w:val="none"/>
        </w:rPr>
        <w:t>参加本项目磋商。</w:t>
      </w:r>
      <w:r>
        <w:rPr>
          <w:rFonts w:hint="eastAsia" w:ascii="宋体"/>
          <w:b/>
          <w:color w:val="auto"/>
          <w:sz w:val="24"/>
          <w:highlight w:val="none"/>
          <w:u w:val="single"/>
        </w:rPr>
        <w:t>本项目采购活动将严格落实节约能源、保护环境、扶持不发达地区和少数民族地区、促进中小企业发展等政府采购政策。</w:t>
      </w:r>
    </w:p>
    <w:p w14:paraId="0BCB19AD">
      <w:pPr>
        <w:numPr>
          <w:ilvl w:val="0"/>
          <w:numId w:val="6"/>
        </w:numPr>
        <w:tabs>
          <w:tab w:val="left" w:pos="284"/>
          <w:tab w:val="clear" w:pos="600"/>
        </w:tabs>
        <w:spacing w:line="360" w:lineRule="auto"/>
        <w:rPr>
          <w:rFonts w:ascii="宋体"/>
          <w:bCs/>
          <w:color w:val="auto"/>
          <w:sz w:val="24"/>
          <w:highlight w:val="none"/>
          <w:u w:val="single"/>
        </w:rPr>
      </w:pPr>
      <w:r>
        <w:rPr>
          <w:rFonts w:hint="eastAsia" w:ascii="宋体"/>
          <w:color w:val="auto"/>
          <w:sz w:val="24"/>
          <w:highlight w:val="none"/>
        </w:rPr>
        <w:t>项目名称：</w:t>
      </w:r>
      <w:r>
        <w:rPr>
          <w:rFonts w:hint="eastAsia" w:ascii="宋体"/>
          <w:b/>
          <w:color w:val="auto"/>
          <w:sz w:val="24"/>
          <w:highlight w:val="none"/>
          <w:lang w:eastAsia="zh-CN"/>
        </w:rPr>
        <w:t>阳江海关2026-2027年度食堂食材配送服务采购项目</w:t>
      </w:r>
    </w:p>
    <w:p w14:paraId="371F953D">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项目编号：</w:t>
      </w:r>
      <w:r>
        <w:rPr>
          <w:rFonts w:hint="eastAsia" w:ascii="宋体"/>
          <w:color w:val="auto"/>
          <w:sz w:val="24"/>
          <w:highlight w:val="none"/>
          <w:lang w:eastAsia="zh-CN"/>
        </w:rPr>
        <w:t>YXCG-20260717</w:t>
      </w:r>
    </w:p>
    <w:p w14:paraId="514FA920">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采购人：中华人民共和国阳江海关</w:t>
      </w:r>
    </w:p>
    <w:p w14:paraId="5B3FF5D7">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采购机构及地址</w:t>
      </w:r>
      <w:r>
        <w:rPr>
          <w:rFonts w:hint="eastAsia" w:ascii="宋体"/>
          <w:color w:val="auto"/>
          <w:sz w:val="24"/>
          <w:highlight w:val="none"/>
          <w:u w:val="single"/>
        </w:rPr>
        <w:t>：广东业信采购招标有限公司</w:t>
      </w:r>
      <w:r>
        <w:rPr>
          <w:rFonts w:hint="eastAsia" w:ascii="宋体"/>
          <w:color w:val="auto"/>
          <w:sz w:val="24"/>
          <w:highlight w:val="none"/>
          <w:u w:val="single"/>
          <w:lang w:eastAsia="zh-CN"/>
        </w:rPr>
        <w:t>（</w:t>
      </w:r>
      <w:r>
        <w:rPr>
          <w:rFonts w:hint="eastAsia" w:ascii="宋体"/>
          <w:color w:val="auto"/>
          <w:sz w:val="24"/>
          <w:highlight w:val="none"/>
          <w:u w:val="single"/>
        </w:rPr>
        <w:t>阳江市江城区猫山四街33号A座2楼</w:t>
      </w:r>
      <w:r>
        <w:rPr>
          <w:rFonts w:hint="eastAsia" w:ascii="宋体"/>
          <w:color w:val="auto"/>
          <w:sz w:val="24"/>
          <w:highlight w:val="none"/>
          <w:u w:val="single"/>
          <w:lang w:eastAsia="zh-CN"/>
        </w:rPr>
        <w:t>）</w:t>
      </w:r>
    </w:p>
    <w:p w14:paraId="359A36F3">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本项目预算：人民币</w:t>
      </w:r>
      <w:r>
        <w:rPr>
          <w:rFonts w:hint="eastAsia" w:ascii="宋体"/>
          <w:color w:val="auto"/>
          <w:sz w:val="24"/>
          <w:highlight w:val="none"/>
          <w:lang w:val="en-US" w:eastAsia="zh-CN"/>
        </w:rPr>
        <w:t>980000.00</w:t>
      </w:r>
      <w:r>
        <w:rPr>
          <w:rFonts w:hint="eastAsia" w:ascii="宋体"/>
          <w:color w:val="auto"/>
          <w:sz w:val="24"/>
          <w:highlight w:val="none"/>
        </w:rPr>
        <w:t>元</w:t>
      </w:r>
      <w:r>
        <w:rPr>
          <w:rFonts w:hint="eastAsia" w:ascii="宋体"/>
          <w:color w:val="auto"/>
          <w:sz w:val="24"/>
          <w:highlight w:val="none"/>
          <w:lang w:eastAsia="zh-CN"/>
        </w:rPr>
        <w:t>（</w:t>
      </w:r>
      <w:r>
        <w:rPr>
          <w:rFonts w:hint="eastAsia" w:ascii="宋体"/>
          <w:color w:val="auto"/>
          <w:sz w:val="24"/>
          <w:highlight w:val="none"/>
          <w:lang w:val="en-US" w:eastAsia="zh-CN"/>
        </w:rPr>
        <w:t>采购需求方分别为中华人民共和国阳江海关和阳江海关综合技术服务中心；</w:t>
      </w:r>
      <w:r>
        <w:rPr>
          <w:rFonts w:hint="eastAsia" w:ascii="宋体"/>
          <w:color w:val="auto"/>
          <w:sz w:val="24"/>
          <w:highlight w:val="none"/>
          <w:lang w:eastAsia="zh-CN"/>
        </w:rPr>
        <w:t>中华人民共和国阳江海关年采购预算72万元，阳江海关综合技术服务中心年采购预算26万元）</w:t>
      </w:r>
    </w:p>
    <w:p w14:paraId="0ECAEBD0">
      <w:pPr>
        <w:numPr>
          <w:ilvl w:val="0"/>
          <w:numId w:val="6"/>
        </w:numPr>
        <w:tabs>
          <w:tab w:val="left" w:pos="284"/>
          <w:tab w:val="clear" w:pos="600"/>
        </w:tabs>
        <w:spacing w:line="360" w:lineRule="auto"/>
        <w:rPr>
          <w:color w:val="auto"/>
          <w:highlight w:val="none"/>
        </w:rPr>
      </w:pPr>
      <w:r>
        <w:rPr>
          <w:rFonts w:hint="eastAsia" w:ascii="宋体"/>
          <w:color w:val="auto"/>
          <w:sz w:val="24"/>
          <w:highlight w:val="none"/>
        </w:rPr>
        <w:t>采购内容：</w:t>
      </w:r>
      <w:r>
        <w:rPr>
          <w:rFonts w:hint="eastAsia" w:ascii="宋体"/>
          <w:color w:val="auto"/>
          <w:sz w:val="24"/>
          <w:highlight w:val="none"/>
          <w:lang w:eastAsia="zh-CN"/>
        </w:rPr>
        <w:t>阳江海关2026-2027年度食堂食材配送服务采购项目</w:t>
      </w:r>
    </w:p>
    <w:p w14:paraId="6469DEE7">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供应商基本资质要求</w:t>
      </w:r>
    </w:p>
    <w:p w14:paraId="4B502690">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lang w:val="en-US" w:eastAsia="zh-CN"/>
        </w:rPr>
        <w:t>1.供应商</w:t>
      </w:r>
      <w:r>
        <w:rPr>
          <w:rFonts w:hint="eastAsia" w:ascii="宋体"/>
          <w:color w:val="auto"/>
          <w:sz w:val="24"/>
          <w:highlight w:val="none"/>
        </w:rPr>
        <w:t>应具备《中华人民共和国政府采购法》第二十二条规定的条件：</w:t>
      </w:r>
    </w:p>
    <w:p w14:paraId="6D1D3473">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1EF1EDB5">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lang w:val="en-US" w:eastAsia="zh-CN"/>
        </w:rPr>
        <w:t>2</w:t>
      </w:r>
      <w:r>
        <w:rPr>
          <w:rFonts w:hint="eastAsia" w:ascii="宋体"/>
          <w:color w:val="auto"/>
          <w:sz w:val="24"/>
          <w:highlight w:val="none"/>
        </w:rPr>
        <w:t>）有依法缴纳税收和社会保障资金的良好记录：提供投标截止日前6个月内任意1个月依法缴纳税收和社会保障资金的相关材料</w:t>
      </w:r>
      <w:r>
        <w:rPr>
          <w:rFonts w:hint="eastAsia" w:ascii="宋体"/>
          <w:color w:val="auto"/>
          <w:sz w:val="24"/>
          <w:highlight w:val="none"/>
          <w:lang w:val="en-US" w:eastAsia="zh-CN"/>
        </w:rPr>
        <w:t>或出具《承诺函》</w:t>
      </w:r>
      <w:r>
        <w:rPr>
          <w:rFonts w:hint="eastAsia" w:ascii="宋体"/>
          <w:color w:val="auto"/>
          <w:sz w:val="24"/>
          <w:highlight w:val="none"/>
        </w:rPr>
        <w:t>。 如依法免税或不需要缴纳社会保障资金的， 提供相应证明材料。</w:t>
      </w:r>
    </w:p>
    <w:p w14:paraId="7EAB5265">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lang w:val="en-US" w:eastAsia="zh-CN"/>
        </w:rPr>
        <w:t>3</w:t>
      </w:r>
      <w:r>
        <w:rPr>
          <w:rFonts w:hint="eastAsia" w:ascii="宋体"/>
          <w:color w:val="auto"/>
          <w:sz w:val="24"/>
          <w:highlight w:val="none"/>
        </w:rPr>
        <w:t>）具有良好的商业信誉和健全的财务会计制度：</w:t>
      </w:r>
      <w:r>
        <w:rPr>
          <w:rFonts w:hint="eastAsia" w:ascii="宋体"/>
          <w:color w:val="auto"/>
          <w:sz w:val="24"/>
          <w:highlight w:val="none"/>
          <w:lang w:val="en-US" w:eastAsia="zh-CN"/>
        </w:rPr>
        <w:t>供应商</w:t>
      </w:r>
      <w:r>
        <w:rPr>
          <w:rFonts w:hint="eastAsia" w:ascii="宋体"/>
          <w:color w:val="auto"/>
          <w:sz w:val="24"/>
          <w:highlight w:val="none"/>
        </w:rPr>
        <w:t>必须具有良好的商业信誉和健全的财务会计制度（提供202</w:t>
      </w:r>
      <w:r>
        <w:rPr>
          <w:rFonts w:hint="eastAsia" w:ascii="宋体"/>
          <w:color w:val="auto"/>
          <w:sz w:val="24"/>
          <w:highlight w:val="none"/>
          <w:lang w:val="en-US" w:eastAsia="zh-CN"/>
        </w:rPr>
        <w:t>5</w:t>
      </w:r>
      <w:r>
        <w:rPr>
          <w:rFonts w:hint="eastAsia" w:ascii="宋体"/>
          <w:color w:val="auto"/>
          <w:sz w:val="24"/>
          <w:highlight w:val="none"/>
        </w:rPr>
        <w:t>年度财务状况报告或202</w:t>
      </w:r>
      <w:r>
        <w:rPr>
          <w:rFonts w:hint="eastAsia" w:ascii="宋体"/>
          <w:color w:val="auto"/>
          <w:sz w:val="24"/>
          <w:highlight w:val="none"/>
          <w:lang w:val="en-US" w:eastAsia="zh-CN"/>
        </w:rPr>
        <w:t>6</w:t>
      </w:r>
      <w:r>
        <w:rPr>
          <w:rFonts w:hint="eastAsia" w:ascii="宋体"/>
          <w:color w:val="auto"/>
          <w:sz w:val="24"/>
          <w:highlight w:val="none"/>
        </w:rPr>
        <w:t>年任意一个月的财务报表复印件或银行出具的资信证明材料复印件</w:t>
      </w:r>
      <w:r>
        <w:rPr>
          <w:rFonts w:hint="eastAsia" w:ascii="宋体"/>
          <w:color w:val="auto"/>
          <w:sz w:val="24"/>
          <w:highlight w:val="none"/>
          <w:lang w:val="en-US" w:eastAsia="zh-CN"/>
        </w:rPr>
        <w:t>或出具《承诺函》</w:t>
      </w:r>
      <w:r>
        <w:rPr>
          <w:rFonts w:hint="eastAsia" w:ascii="宋体"/>
          <w:color w:val="auto"/>
          <w:sz w:val="24"/>
          <w:highlight w:val="none"/>
        </w:rPr>
        <w:t>）；</w:t>
      </w:r>
    </w:p>
    <w:p w14:paraId="57E2C531">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lang w:val="en-US" w:eastAsia="zh-CN"/>
        </w:rPr>
        <w:t>4</w:t>
      </w:r>
      <w:r>
        <w:rPr>
          <w:rFonts w:hint="eastAsia" w:ascii="宋体"/>
          <w:color w:val="auto"/>
          <w:sz w:val="24"/>
          <w:highlight w:val="none"/>
        </w:rPr>
        <w:t>）具有履行合同所必需的设备和专业技术能力</w:t>
      </w:r>
      <w:r>
        <w:rPr>
          <w:rFonts w:hint="eastAsia" w:ascii="宋体"/>
          <w:color w:val="auto"/>
          <w:sz w:val="24"/>
          <w:highlight w:val="none"/>
          <w:lang w:eastAsia="zh-CN"/>
        </w:rPr>
        <w:t>：</w:t>
      </w:r>
      <w:r>
        <w:rPr>
          <w:rFonts w:hint="eastAsia" w:ascii="宋体"/>
          <w:color w:val="auto"/>
          <w:sz w:val="24"/>
          <w:highlight w:val="none"/>
          <w:lang w:val="en-US" w:eastAsia="zh-CN"/>
        </w:rPr>
        <w:t>提供</w:t>
      </w:r>
      <w:r>
        <w:rPr>
          <w:rFonts w:hint="eastAsia" w:ascii="宋体"/>
          <w:color w:val="auto"/>
          <w:sz w:val="24"/>
          <w:highlight w:val="none"/>
          <w:lang w:eastAsia="zh-CN"/>
        </w:rPr>
        <w:t>设备及专业技术能力情况</w:t>
      </w:r>
      <w:r>
        <w:rPr>
          <w:rFonts w:hint="eastAsia" w:ascii="宋体"/>
          <w:color w:val="auto"/>
          <w:sz w:val="24"/>
          <w:highlight w:val="none"/>
          <w:lang w:val="en-US" w:eastAsia="zh-CN"/>
        </w:rPr>
        <w:t>表或出具《承诺函》</w:t>
      </w:r>
      <w:r>
        <w:rPr>
          <w:rFonts w:hint="eastAsia" w:ascii="宋体"/>
          <w:color w:val="auto"/>
          <w:sz w:val="24"/>
          <w:highlight w:val="none"/>
        </w:rPr>
        <w:t>；</w:t>
      </w:r>
    </w:p>
    <w:p w14:paraId="4E1CF3FA">
      <w:pPr>
        <w:tabs>
          <w:tab w:val="left" w:pos="284"/>
        </w:tabs>
        <w:spacing w:line="360" w:lineRule="auto"/>
        <w:ind w:firstLine="240" w:firstLineChars="100"/>
        <w:rPr>
          <w:rFonts w:hint="eastAsia" w:ascii="宋体"/>
          <w:color w:val="auto"/>
          <w:sz w:val="24"/>
          <w:highlight w:val="none"/>
          <w:lang w:eastAsia="zh-CN"/>
        </w:rPr>
      </w:pPr>
      <w:r>
        <w:rPr>
          <w:rFonts w:hint="eastAsia" w:ascii="宋体"/>
          <w:color w:val="auto"/>
          <w:sz w:val="24"/>
          <w:highlight w:val="none"/>
        </w:rPr>
        <w:t>5）参加政府采购活动前三年内，在经营活动中没有重大违法记录：</w:t>
      </w:r>
      <w:r>
        <w:rPr>
          <w:rFonts w:hint="eastAsia" w:ascii="宋体"/>
          <w:color w:val="auto"/>
          <w:sz w:val="24"/>
          <w:highlight w:val="none"/>
          <w:lang w:val="en-US" w:eastAsia="zh-CN"/>
        </w:rPr>
        <w:t>提供</w:t>
      </w:r>
      <w:r>
        <w:rPr>
          <w:rFonts w:hint="eastAsia" w:ascii="宋体"/>
          <w:color w:val="auto"/>
          <w:sz w:val="24"/>
          <w:highlight w:val="none"/>
        </w:rPr>
        <w:t>无重大违法记录声明函</w:t>
      </w:r>
      <w:r>
        <w:rPr>
          <w:rFonts w:hint="eastAsia" w:ascii="宋体"/>
          <w:color w:val="auto"/>
          <w:sz w:val="24"/>
          <w:highlight w:val="none"/>
          <w:lang w:val="en-US" w:eastAsia="zh-CN"/>
        </w:rPr>
        <w:t>或出具《承诺函》</w:t>
      </w:r>
      <w:r>
        <w:rPr>
          <w:rFonts w:hint="eastAsia" w:ascii="宋体"/>
          <w:color w:val="auto"/>
          <w:sz w:val="24"/>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宋体"/>
          <w:color w:val="auto"/>
          <w:sz w:val="24"/>
          <w:highlight w:val="none"/>
          <w:lang w:eastAsia="zh-CN"/>
        </w:rPr>
        <w:t>。</w:t>
      </w:r>
    </w:p>
    <w:p w14:paraId="1DE108DF">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rPr>
        <w:t>6）法律、行政法规规定的其他条件。</w:t>
      </w:r>
    </w:p>
    <w:p w14:paraId="5841EB90">
      <w:pPr>
        <w:tabs>
          <w:tab w:val="left" w:pos="284"/>
        </w:tabs>
        <w:spacing w:line="360" w:lineRule="auto"/>
        <w:ind w:firstLine="240" w:firstLineChars="100"/>
        <w:rPr>
          <w:rFonts w:hint="eastAsia" w:ascii="宋体"/>
          <w:color w:val="auto"/>
          <w:sz w:val="24"/>
          <w:highlight w:val="none"/>
          <w:lang w:val="en-US" w:eastAsia="zh-CN"/>
        </w:rPr>
      </w:pPr>
      <w:r>
        <w:rPr>
          <w:rFonts w:hint="eastAsia" w:ascii="宋体"/>
          <w:color w:val="auto"/>
          <w:sz w:val="24"/>
          <w:highlight w:val="none"/>
          <w:lang w:val="en-US" w:eastAsia="zh-CN"/>
        </w:rPr>
        <w:t>2.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27F97EBE">
      <w:pPr>
        <w:tabs>
          <w:tab w:val="left" w:pos="284"/>
        </w:tabs>
        <w:spacing w:line="360" w:lineRule="auto"/>
        <w:ind w:firstLine="240" w:firstLineChars="100"/>
        <w:rPr>
          <w:rFonts w:hint="default" w:ascii="宋体"/>
          <w:color w:val="auto"/>
          <w:sz w:val="24"/>
          <w:highlight w:val="none"/>
          <w:lang w:val="en-US" w:eastAsia="zh-CN"/>
        </w:rPr>
      </w:pPr>
      <w:r>
        <w:rPr>
          <w:rFonts w:hint="eastAsia" w:ascii="宋体"/>
          <w:color w:val="auto"/>
          <w:sz w:val="24"/>
          <w:highlight w:val="none"/>
          <w:lang w:val="en-US" w:eastAsia="zh-CN"/>
        </w:rPr>
        <w:t>3.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hint="eastAsia" w:ascii="宋体"/>
          <w:b/>
          <w:bCs/>
          <w:color w:val="auto"/>
          <w:sz w:val="24"/>
          <w:highlight w:val="none"/>
          <w:lang w:val="en-US" w:eastAsia="zh-CN"/>
        </w:rPr>
        <w:t>提供《承诺函》承诺。</w:t>
      </w:r>
    </w:p>
    <w:p w14:paraId="4DF0C274">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lang w:val="en-US" w:eastAsia="zh-CN"/>
        </w:rPr>
        <w:t>4</w:t>
      </w:r>
      <w:r>
        <w:rPr>
          <w:rFonts w:hint="eastAsia" w:ascii="宋体"/>
          <w:color w:val="auto"/>
          <w:sz w:val="24"/>
          <w:highlight w:val="none"/>
        </w:rPr>
        <w:t>.</w:t>
      </w:r>
      <w:r>
        <w:rPr>
          <w:rFonts w:hint="eastAsia" w:ascii="宋体"/>
          <w:color w:val="auto"/>
          <w:sz w:val="24"/>
          <w:highlight w:val="none"/>
          <w:lang w:val="en-US" w:eastAsia="zh-CN"/>
        </w:rPr>
        <w:t>供应商</w:t>
      </w:r>
      <w:r>
        <w:rPr>
          <w:rFonts w:hint="eastAsia" w:ascii="宋体"/>
          <w:color w:val="auto"/>
          <w:sz w:val="24"/>
          <w:highlight w:val="none"/>
        </w:rPr>
        <w:t>须具有在有效期内的《食品经营许可证》，提供复印件加盖</w:t>
      </w:r>
      <w:r>
        <w:rPr>
          <w:rFonts w:hint="eastAsia" w:ascii="宋体"/>
          <w:color w:val="auto"/>
          <w:sz w:val="24"/>
          <w:highlight w:val="none"/>
          <w:lang w:val="en-US" w:eastAsia="zh-CN"/>
        </w:rPr>
        <w:t>供应商</w:t>
      </w:r>
      <w:r>
        <w:rPr>
          <w:rFonts w:hint="eastAsia" w:ascii="宋体"/>
          <w:color w:val="auto"/>
          <w:sz w:val="24"/>
          <w:highlight w:val="none"/>
        </w:rPr>
        <w:t>公章</w:t>
      </w:r>
      <w:r>
        <w:rPr>
          <w:rFonts w:hint="eastAsia" w:ascii="宋体"/>
          <w:color w:val="auto"/>
          <w:sz w:val="24"/>
          <w:highlight w:val="none"/>
          <w:lang w:eastAsia="zh-CN"/>
        </w:rPr>
        <w:t>。</w:t>
      </w:r>
    </w:p>
    <w:p w14:paraId="630D3DC3">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lang w:val="en-US" w:eastAsia="zh-CN"/>
        </w:rPr>
        <w:t>5.</w:t>
      </w:r>
      <w:r>
        <w:rPr>
          <w:rFonts w:hint="eastAsia" w:ascii="宋体"/>
          <w:color w:val="auto"/>
          <w:sz w:val="24"/>
          <w:highlight w:val="none"/>
        </w:rPr>
        <w:t>本项目不接受联合体</w:t>
      </w:r>
      <w:r>
        <w:rPr>
          <w:rFonts w:hint="eastAsia" w:ascii="宋体"/>
          <w:color w:val="auto"/>
          <w:sz w:val="24"/>
          <w:highlight w:val="none"/>
          <w:lang w:val="en-US" w:eastAsia="zh-CN"/>
        </w:rPr>
        <w:t>响应</w:t>
      </w:r>
      <w:r>
        <w:rPr>
          <w:rFonts w:hint="eastAsia" w:ascii="宋体"/>
          <w:color w:val="auto"/>
          <w:sz w:val="24"/>
          <w:highlight w:val="none"/>
        </w:rPr>
        <w:t>。</w:t>
      </w:r>
    </w:p>
    <w:p w14:paraId="3F5B394A">
      <w:pPr>
        <w:tabs>
          <w:tab w:val="left" w:pos="284"/>
        </w:tabs>
        <w:spacing w:line="360" w:lineRule="auto"/>
        <w:ind w:firstLine="240" w:firstLineChars="100"/>
        <w:rPr>
          <w:rFonts w:hint="eastAsia" w:ascii="宋体"/>
          <w:color w:val="auto"/>
          <w:sz w:val="24"/>
          <w:highlight w:val="none"/>
        </w:rPr>
      </w:pPr>
      <w:r>
        <w:rPr>
          <w:rFonts w:hint="eastAsia" w:ascii="宋体"/>
          <w:color w:val="auto"/>
          <w:sz w:val="24"/>
          <w:highlight w:val="none"/>
          <w:lang w:val="en-US" w:eastAsia="zh-CN"/>
        </w:rPr>
        <w:t>6.供应商</w:t>
      </w:r>
      <w:r>
        <w:rPr>
          <w:rFonts w:hint="eastAsia" w:ascii="宋体"/>
          <w:color w:val="auto"/>
          <w:sz w:val="24"/>
          <w:highlight w:val="none"/>
        </w:rPr>
        <w:t>须在采购代理机构登记并购买</w:t>
      </w:r>
      <w:r>
        <w:rPr>
          <w:rFonts w:hint="eastAsia" w:ascii="宋体"/>
          <w:color w:val="auto"/>
          <w:sz w:val="24"/>
          <w:highlight w:val="none"/>
          <w:lang w:val="en-US" w:eastAsia="zh-CN"/>
        </w:rPr>
        <w:t>磋商文件</w:t>
      </w:r>
      <w:r>
        <w:rPr>
          <w:rFonts w:hint="eastAsia" w:ascii="宋体"/>
          <w:color w:val="auto"/>
          <w:sz w:val="24"/>
          <w:highlight w:val="none"/>
        </w:rPr>
        <w:t>。</w:t>
      </w:r>
    </w:p>
    <w:p w14:paraId="5BC16680">
      <w:pPr>
        <w:tabs>
          <w:tab w:val="left" w:pos="284"/>
        </w:tabs>
        <w:spacing w:line="360" w:lineRule="auto"/>
        <w:ind w:firstLine="240" w:firstLineChars="100"/>
        <w:rPr>
          <w:rFonts w:hint="eastAsia" w:ascii="宋体"/>
          <w:color w:val="auto"/>
          <w:sz w:val="24"/>
          <w:highlight w:val="none"/>
          <w:lang w:val="en-US" w:eastAsia="zh-CN"/>
        </w:rPr>
      </w:pPr>
      <w:r>
        <w:rPr>
          <w:rFonts w:hint="eastAsia" w:ascii="宋体"/>
          <w:color w:val="auto"/>
          <w:sz w:val="24"/>
          <w:highlight w:val="none"/>
          <w:lang w:val="en-US" w:eastAsia="zh-CN"/>
        </w:rPr>
        <w:t>7.落实政府采购政策需满足的资格要求：本项目整体专门面向中小企业采购。</w:t>
      </w:r>
      <w:r>
        <w:rPr>
          <w:rFonts w:hint="eastAsia" w:ascii="宋体"/>
          <w:color w:val="auto"/>
          <w:sz w:val="24"/>
          <w:highlight w:val="none"/>
          <w:lang w:eastAsia="zh-CN"/>
        </w:rPr>
        <w:t>（</w:t>
      </w:r>
      <w:r>
        <w:rPr>
          <w:rFonts w:hint="eastAsia" w:ascii="宋体"/>
          <w:color w:val="auto"/>
          <w:sz w:val="24"/>
          <w:highlight w:val="none"/>
        </w:rPr>
        <w:t>本项目</w:t>
      </w:r>
      <w:r>
        <w:rPr>
          <w:rFonts w:hint="eastAsia" w:ascii="宋体"/>
          <w:color w:val="auto"/>
          <w:sz w:val="24"/>
          <w:highlight w:val="none"/>
          <w:lang w:val="en-US" w:eastAsia="zh-CN"/>
        </w:rPr>
        <w:t>所属</w:t>
      </w:r>
      <w:r>
        <w:rPr>
          <w:rFonts w:hint="eastAsia" w:ascii="宋体"/>
          <w:color w:val="auto"/>
          <w:sz w:val="24"/>
          <w:highlight w:val="none"/>
        </w:rPr>
        <w:t>行业：</w:t>
      </w:r>
      <w:r>
        <w:rPr>
          <w:rFonts w:hint="eastAsia" w:ascii="宋体"/>
          <w:color w:val="auto"/>
          <w:sz w:val="24"/>
          <w:highlight w:val="none"/>
          <w:lang w:val="en-US" w:eastAsia="zh-CN"/>
        </w:rPr>
        <w:t>批发业</w:t>
      </w:r>
      <w:r>
        <w:rPr>
          <w:rFonts w:hint="eastAsia" w:ascii="宋体"/>
          <w:color w:val="auto"/>
          <w:sz w:val="24"/>
          <w:highlight w:val="none"/>
          <w:lang w:eastAsia="zh-CN"/>
        </w:rPr>
        <w:t>）</w:t>
      </w:r>
    </w:p>
    <w:p w14:paraId="6268A14D">
      <w:pPr>
        <w:tabs>
          <w:tab w:val="left" w:pos="284"/>
        </w:tabs>
        <w:spacing w:line="360" w:lineRule="auto"/>
        <w:ind w:firstLine="240" w:firstLineChars="100"/>
        <w:rPr>
          <w:rFonts w:ascii="宋体"/>
          <w:color w:val="auto"/>
          <w:sz w:val="24"/>
          <w:highlight w:val="none"/>
        </w:rPr>
      </w:pPr>
    </w:p>
    <w:p w14:paraId="05BBA7C2">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竞争性磋商文件领取的时间、地点</w:t>
      </w:r>
    </w:p>
    <w:p w14:paraId="02A01CA8">
      <w:pPr>
        <w:tabs>
          <w:tab w:val="left" w:pos="284"/>
        </w:tabs>
        <w:spacing w:line="360" w:lineRule="auto"/>
        <w:ind w:firstLine="240" w:firstLineChars="100"/>
        <w:rPr>
          <w:rFonts w:ascii="宋体"/>
          <w:color w:val="auto"/>
          <w:sz w:val="24"/>
          <w:highlight w:val="none"/>
        </w:rPr>
      </w:pPr>
      <w:r>
        <w:rPr>
          <w:rFonts w:hint="eastAsia" w:ascii="宋体"/>
          <w:color w:val="auto"/>
          <w:sz w:val="24"/>
          <w:highlight w:val="none"/>
        </w:rPr>
        <w:t>1.时间：</w:t>
      </w:r>
      <w:r>
        <w:rPr>
          <w:rFonts w:hint="eastAsia" w:ascii="宋体"/>
          <w:color w:val="auto"/>
          <w:sz w:val="24"/>
          <w:highlight w:val="none"/>
          <w:u w:val="single"/>
        </w:rPr>
        <w:t>2026年7月30日至2026年8月6日，每天上午9：00至12：00，下午14：30至17：30</w:t>
      </w:r>
      <w:r>
        <w:rPr>
          <w:rFonts w:hint="eastAsia" w:ascii="宋体"/>
          <w:color w:val="auto"/>
          <w:sz w:val="24"/>
          <w:highlight w:val="none"/>
        </w:rPr>
        <w:t>（北京时间，法定节假日除外）。</w:t>
      </w:r>
    </w:p>
    <w:p w14:paraId="4778C9E8">
      <w:pPr>
        <w:tabs>
          <w:tab w:val="left" w:pos="284"/>
        </w:tabs>
        <w:spacing w:line="360" w:lineRule="auto"/>
        <w:ind w:firstLine="240" w:firstLineChars="100"/>
        <w:rPr>
          <w:rFonts w:ascii="宋体"/>
          <w:color w:val="auto"/>
          <w:sz w:val="24"/>
          <w:highlight w:val="none"/>
        </w:rPr>
      </w:pPr>
      <w:r>
        <w:rPr>
          <w:rFonts w:hint="eastAsia" w:ascii="宋体"/>
          <w:color w:val="auto"/>
          <w:sz w:val="24"/>
          <w:highlight w:val="none"/>
        </w:rPr>
        <w:t>2.地点：阳江市江城区猫山四街33号A座2楼</w:t>
      </w:r>
    </w:p>
    <w:p w14:paraId="49B70FA1">
      <w:pPr>
        <w:tabs>
          <w:tab w:val="left" w:pos="284"/>
        </w:tabs>
        <w:spacing w:line="360" w:lineRule="auto"/>
        <w:ind w:firstLine="480" w:firstLineChars="200"/>
        <w:rPr>
          <w:rFonts w:ascii="宋体"/>
          <w:color w:val="auto"/>
          <w:sz w:val="24"/>
          <w:highlight w:val="none"/>
        </w:rPr>
      </w:pPr>
      <w:r>
        <w:rPr>
          <w:rFonts w:hint="eastAsia" w:ascii="宋体"/>
          <w:color w:val="auto"/>
          <w:sz w:val="24"/>
          <w:highlight w:val="none"/>
        </w:rPr>
        <w:t>电话：0662-3167266。</w:t>
      </w:r>
    </w:p>
    <w:p w14:paraId="03CF45F8">
      <w:pPr>
        <w:tabs>
          <w:tab w:val="left" w:pos="284"/>
        </w:tabs>
        <w:spacing w:line="360" w:lineRule="auto"/>
        <w:ind w:firstLine="240" w:firstLineChars="100"/>
        <w:rPr>
          <w:rFonts w:ascii="宋体"/>
          <w:color w:val="auto"/>
          <w:sz w:val="24"/>
          <w:highlight w:val="none"/>
        </w:rPr>
      </w:pPr>
      <w:r>
        <w:rPr>
          <w:rFonts w:hint="eastAsia" w:ascii="宋体"/>
          <w:color w:val="auto"/>
          <w:sz w:val="24"/>
          <w:highlight w:val="none"/>
        </w:rPr>
        <w:t>3</w:t>
      </w:r>
      <w:r>
        <w:rPr>
          <w:rFonts w:hint="eastAsia" w:ascii="宋体"/>
          <w:color w:val="auto"/>
          <w:sz w:val="24"/>
          <w:highlight w:val="none"/>
          <w:lang w:eastAsia="zh-CN"/>
        </w:rPr>
        <w:t>.</w:t>
      </w:r>
      <w:r>
        <w:rPr>
          <w:rFonts w:hint="eastAsia" w:ascii="宋体"/>
          <w:color w:val="auto"/>
          <w:sz w:val="24"/>
          <w:highlight w:val="none"/>
        </w:rPr>
        <w:t>购买磋商文件必须携带：</w:t>
      </w:r>
    </w:p>
    <w:p w14:paraId="161B73AF">
      <w:pPr>
        <w:tabs>
          <w:tab w:val="left" w:pos="284"/>
        </w:tabs>
        <w:spacing w:line="360" w:lineRule="auto"/>
        <w:ind w:firstLine="480" w:firstLineChars="200"/>
        <w:rPr>
          <w:rFonts w:ascii="宋体"/>
          <w:color w:val="auto"/>
          <w:sz w:val="24"/>
          <w:highlight w:val="none"/>
        </w:rPr>
      </w:pPr>
      <w:r>
        <w:rPr>
          <w:rFonts w:hint="eastAsia" w:ascii="宋体"/>
          <w:color w:val="auto"/>
          <w:sz w:val="24"/>
          <w:highlight w:val="none"/>
        </w:rPr>
        <w:t>1）法定代表人（负责人）证明书原件、法定代表人（负责人）授权委托书原件、法定代表人（负责人）身份证复印件、授权委托人身份证复印件和企业法人营业执照副本复印件及《购买标书登记表》加盖公章到指定地址购买。报名时</w:t>
      </w:r>
      <w:r>
        <w:rPr>
          <w:rFonts w:hint="eastAsia" w:ascii="宋体"/>
          <w:color w:val="auto"/>
          <w:sz w:val="24"/>
          <w:highlight w:val="none"/>
          <w:lang w:val="en-US" w:eastAsia="zh-CN"/>
        </w:rPr>
        <w:t>供应商</w:t>
      </w:r>
      <w:r>
        <w:rPr>
          <w:rFonts w:hint="eastAsia" w:ascii="宋体"/>
          <w:color w:val="auto"/>
          <w:sz w:val="24"/>
          <w:highlight w:val="none"/>
        </w:rPr>
        <w:t>的资料与以上报名条件不符合、不齐全、复印件不清晰或未盖红色公章的将不予受理。</w:t>
      </w:r>
    </w:p>
    <w:p w14:paraId="11F49013">
      <w:pPr>
        <w:pStyle w:val="37"/>
        <w:spacing w:line="360" w:lineRule="auto"/>
        <w:rPr>
          <w:rFonts w:cs="Times New Roman"/>
          <w:color w:val="auto"/>
          <w:kern w:val="2"/>
          <w:highlight w:val="none"/>
        </w:rPr>
      </w:pPr>
      <w:r>
        <w:rPr>
          <w:rFonts w:hint="eastAsia"/>
          <w:color w:val="auto"/>
          <w:highlight w:val="none"/>
        </w:rPr>
        <w:t xml:space="preserve"> </w:t>
      </w:r>
      <w:r>
        <w:rPr>
          <w:rFonts w:hint="eastAsia" w:cs="Times New Roman"/>
          <w:color w:val="auto"/>
          <w:kern w:val="2"/>
          <w:highlight w:val="none"/>
        </w:rPr>
        <w:t xml:space="preserve">   2）磋商文件售价：磋商文件每套人民币</w:t>
      </w:r>
      <w:r>
        <w:rPr>
          <w:rFonts w:hint="eastAsia" w:cs="Times New Roman"/>
          <w:color w:val="auto"/>
          <w:kern w:val="2"/>
          <w:highlight w:val="none"/>
          <w:lang w:val="en-US" w:eastAsia="zh-CN"/>
        </w:rPr>
        <w:t>3</w:t>
      </w:r>
      <w:r>
        <w:rPr>
          <w:rFonts w:hint="eastAsia" w:cs="Times New Roman"/>
          <w:color w:val="auto"/>
          <w:kern w:val="2"/>
          <w:highlight w:val="none"/>
        </w:rPr>
        <w:t>00元，售后不退。</w:t>
      </w:r>
    </w:p>
    <w:p w14:paraId="73E56D70">
      <w:pPr>
        <w:pStyle w:val="37"/>
        <w:spacing w:line="360" w:lineRule="auto"/>
        <w:rPr>
          <w:rFonts w:cs="Times New Roman"/>
          <w:color w:val="auto"/>
          <w:kern w:val="2"/>
          <w:highlight w:val="none"/>
        </w:rPr>
      </w:pPr>
      <w:r>
        <w:rPr>
          <w:rFonts w:hint="eastAsia" w:cs="Times New Roman"/>
          <w:color w:val="auto"/>
          <w:kern w:val="2"/>
          <w:highlight w:val="none"/>
        </w:rPr>
        <w:t xml:space="preserve">    3）磋商文件获取方式：现场发售。</w:t>
      </w:r>
    </w:p>
    <w:p w14:paraId="6DD36D30">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响应文件的递交</w:t>
      </w:r>
    </w:p>
    <w:p w14:paraId="31101681">
      <w:pPr>
        <w:tabs>
          <w:tab w:val="left" w:pos="284"/>
        </w:tabs>
        <w:spacing w:line="360" w:lineRule="auto"/>
        <w:ind w:firstLine="480" w:firstLineChars="200"/>
        <w:rPr>
          <w:rFonts w:ascii="宋体"/>
          <w:color w:val="auto"/>
          <w:sz w:val="24"/>
          <w:highlight w:val="none"/>
        </w:rPr>
      </w:pPr>
      <w:r>
        <w:rPr>
          <w:rFonts w:hint="eastAsia" w:ascii="宋体"/>
          <w:color w:val="auto"/>
          <w:sz w:val="24"/>
          <w:highlight w:val="none"/>
        </w:rPr>
        <w:t>递交截止时间</w:t>
      </w:r>
      <w:r>
        <w:rPr>
          <w:rFonts w:hint="eastAsia" w:ascii="宋体"/>
          <w:color w:val="auto"/>
          <w:sz w:val="24"/>
          <w:highlight w:val="none"/>
          <w:u w:val="none"/>
        </w:rPr>
        <w:t>：</w:t>
      </w:r>
      <w:r>
        <w:rPr>
          <w:rFonts w:ascii="宋体"/>
          <w:color w:val="auto"/>
          <w:sz w:val="24"/>
          <w:highlight w:val="none"/>
          <w:u w:val="single"/>
        </w:rPr>
        <w:t>202</w:t>
      </w:r>
      <w:r>
        <w:rPr>
          <w:rFonts w:hint="eastAsia" w:ascii="宋体"/>
          <w:color w:val="auto"/>
          <w:sz w:val="24"/>
          <w:highlight w:val="none"/>
          <w:u w:val="single"/>
          <w:lang w:val="en-US" w:eastAsia="zh-CN"/>
        </w:rPr>
        <w:t>6</w:t>
      </w:r>
      <w:r>
        <w:rPr>
          <w:rFonts w:ascii="宋体"/>
          <w:color w:val="auto"/>
          <w:sz w:val="24"/>
          <w:highlight w:val="none"/>
          <w:u w:val="single"/>
        </w:rPr>
        <w:t>年</w:t>
      </w:r>
      <w:r>
        <w:rPr>
          <w:rFonts w:hint="eastAsia" w:ascii="宋体"/>
          <w:color w:val="auto"/>
          <w:sz w:val="24"/>
          <w:highlight w:val="none"/>
          <w:u w:val="single"/>
          <w:lang w:val="en-US" w:eastAsia="zh-CN"/>
        </w:rPr>
        <w:t>8</w:t>
      </w:r>
      <w:r>
        <w:rPr>
          <w:rFonts w:hint="eastAsia" w:ascii="宋体"/>
          <w:color w:val="auto"/>
          <w:sz w:val="24"/>
          <w:highlight w:val="none"/>
          <w:u w:val="single"/>
        </w:rPr>
        <w:t>月</w:t>
      </w:r>
      <w:r>
        <w:rPr>
          <w:rFonts w:hint="eastAsia" w:ascii="宋体"/>
          <w:color w:val="auto"/>
          <w:sz w:val="24"/>
          <w:highlight w:val="none"/>
          <w:u w:val="single"/>
          <w:lang w:val="en-US" w:eastAsia="zh-CN"/>
        </w:rPr>
        <w:t>13</w:t>
      </w:r>
      <w:r>
        <w:rPr>
          <w:rFonts w:hint="eastAsia" w:ascii="宋体"/>
          <w:color w:val="auto"/>
          <w:sz w:val="24"/>
          <w:highlight w:val="none"/>
          <w:u w:val="single"/>
        </w:rPr>
        <w:t>日</w:t>
      </w:r>
      <w:r>
        <w:rPr>
          <w:rFonts w:hint="eastAsia" w:ascii="宋体"/>
          <w:color w:val="auto"/>
          <w:sz w:val="24"/>
          <w:highlight w:val="none"/>
          <w:u w:val="single"/>
          <w:lang w:val="en-US" w:eastAsia="zh-CN"/>
        </w:rPr>
        <w:t>下</w:t>
      </w:r>
      <w:r>
        <w:rPr>
          <w:rFonts w:hint="eastAsia" w:ascii="宋体"/>
          <w:color w:val="auto"/>
          <w:sz w:val="24"/>
          <w:highlight w:val="none"/>
          <w:u w:val="single"/>
        </w:rPr>
        <w:t>午</w:t>
      </w:r>
      <w:r>
        <w:rPr>
          <w:rFonts w:hint="eastAsia" w:ascii="宋体"/>
          <w:color w:val="auto"/>
          <w:sz w:val="24"/>
          <w:highlight w:val="none"/>
          <w:u w:val="single"/>
          <w:lang w:val="en-US" w:eastAsia="zh-CN"/>
        </w:rPr>
        <w:t>15</w:t>
      </w:r>
      <w:r>
        <w:rPr>
          <w:rFonts w:hint="eastAsia" w:ascii="宋体"/>
          <w:color w:val="auto"/>
          <w:sz w:val="24"/>
          <w:highlight w:val="none"/>
          <w:u w:val="single"/>
        </w:rPr>
        <w:t>时</w:t>
      </w:r>
      <w:r>
        <w:rPr>
          <w:rFonts w:hint="eastAsia" w:ascii="宋体"/>
          <w:color w:val="auto"/>
          <w:sz w:val="24"/>
          <w:highlight w:val="none"/>
          <w:u w:val="single"/>
          <w:lang w:val="en-US" w:eastAsia="zh-CN"/>
        </w:rPr>
        <w:t>0</w:t>
      </w:r>
      <w:r>
        <w:rPr>
          <w:rFonts w:hint="eastAsia" w:ascii="宋体"/>
          <w:color w:val="auto"/>
          <w:sz w:val="24"/>
          <w:highlight w:val="none"/>
          <w:u w:val="single"/>
        </w:rPr>
        <w:t>0分（北京时间）</w:t>
      </w:r>
      <w:r>
        <w:rPr>
          <w:rFonts w:hint="eastAsia" w:ascii="宋体"/>
          <w:color w:val="auto"/>
          <w:sz w:val="24"/>
          <w:highlight w:val="none"/>
        </w:rPr>
        <w:t>。</w:t>
      </w:r>
    </w:p>
    <w:p w14:paraId="11D4C346">
      <w:pPr>
        <w:tabs>
          <w:tab w:val="left" w:pos="284"/>
        </w:tabs>
        <w:spacing w:line="360" w:lineRule="auto"/>
        <w:ind w:firstLine="480" w:firstLineChars="200"/>
        <w:rPr>
          <w:rFonts w:ascii="宋体"/>
          <w:color w:val="auto"/>
          <w:sz w:val="24"/>
          <w:highlight w:val="none"/>
        </w:rPr>
      </w:pPr>
      <w:r>
        <w:rPr>
          <w:rFonts w:hint="eastAsia" w:ascii="宋体"/>
          <w:color w:val="auto"/>
          <w:sz w:val="24"/>
          <w:highlight w:val="none"/>
        </w:rPr>
        <w:t>递交地点：阳江市江城区猫山四街33号A座2楼201开标室，如有变动将另行通知。</w:t>
      </w:r>
    </w:p>
    <w:p w14:paraId="79322C25">
      <w:pPr>
        <w:tabs>
          <w:tab w:val="left" w:pos="284"/>
        </w:tabs>
        <w:spacing w:line="360" w:lineRule="auto"/>
        <w:ind w:firstLine="480" w:firstLineChars="200"/>
        <w:rPr>
          <w:rFonts w:ascii="宋体" w:cs="宋体"/>
          <w:color w:val="auto"/>
          <w:kern w:val="0"/>
          <w:sz w:val="24"/>
          <w:highlight w:val="none"/>
        </w:rPr>
      </w:pPr>
      <w:r>
        <w:rPr>
          <w:rFonts w:hint="eastAsia" w:ascii="宋体" w:cs="宋体"/>
          <w:color w:val="auto"/>
          <w:kern w:val="0"/>
          <w:sz w:val="24"/>
          <w:highlight w:val="none"/>
        </w:rPr>
        <w:t>响应文件的递交：纸质响应文件请于磋商当日、磋商截止时间之前由被授权人送达磋商地点,逾期送达或送达的响应文件不符合本磋商文件规定以及以电报、电话、传真、电子邮件、电子标书等其他形式递交的磋商文件将不予接受。</w:t>
      </w:r>
    </w:p>
    <w:p w14:paraId="0F6395CB">
      <w:pPr>
        <w:numPr>
          <w:ilvl w:val="0"/>
          <w:numId w:val="6"/>
        </w:numPr>
        <w:tabs>
          <w:tab w:val="left" w:pos="284"/>
          <w:tab w:val="clear" w:pos="600"/>
        </w:tabs>
        <w:spacing w:line="360" w:lineRule="auto"/>
        <w:rPr>
          <w:rFonts w:ascii="宋体"/>
          <w:color w:val="auto"/>
          <w:sz w:val="24"/>
          <w:highlight w:val="none"/>
        </w:rPr>
      </w:pPr>
      <w:r>
        <w:rPr>
          <w:rFonts w:hint="eastAsia" w:ascii="宋体"/>
          <w:color w:val="auto"/>
          <w:sz w:val="24"/>
          <w:highlight w:val="none"/>
        </w:rPr>
        <w:t>采购机构信息</w:t>
      </w:r>
    </w:p>
    <w:p w14:paraId="0C590424">
      <w:pPr>
        <w:tabs>
          <w:tab w:val="left" w:pos="284"/>
        </w:tabs>
        <w:spacing w:line="360" w:lineRule="auto"/>
        <w:ind w:firstLine="480" w:firstLineChars="200"/>
        <w:rPr>
          <w:rFonts w:ascii="宋体"/>
          <w:color w:val="auto"/>
          <w:sz w:val="24"/>
          <w:highlight w:val="none"/>
        </w:rPr>
      </w:pPr>
      <w:r>
        <w:rPr>
          <w:rFonts w:hint="eastAsia" w:ascii="宋体"/>
          <w:color w:val="auto"/>
          <w:sz w:val="24"/>
          <w:highlight w:val="none"/>
        </w:rPr>
        <w:t>采购机构：</w:t>
      </w:r>
      <w:r>
        <w:rPr>
          <w:rFonts w:hint="eastAsia" w:ascii="宋体"/>
          <w:color w:val="auto"/>
          <w:sz w:val="24"/>
          <w:highlight w:val="none"/>
          <w:lang w:eastAsia="zh-CN"/>
        </w:rPr>
        <w:t>中华人民共和国</w:t>
      </w:r>
      <w:r>
        <w:rPr>
          <w:rFonts w:hint="eastAsia" w:ascii="宋体"/>
          <w:color w:val="auto"/>
          <w:sz w:val="24"/>
          <w:highlight w:val="none"/>
        </w:rPr>
        <w:t>阳江海关</w:t>
      </w:r>
    </w:p>
    <w:p w14:paraId="131A371D">
      <w:pPr>
        <w:tabs>
          <w:tab w:val="left" w:pos="284"/>
        </w:tabs>
        <w:spacing w:line="360" w:lineRule="auto"/>
        <w:ind w:firstLine="480" w:firstLineChars="200"/>
        <w:rPr>
          <w:rFonts w:ascii="宋体"/>
          <w:color w:val="auto"/>
          <w:sz w:val="24"/>
          <w:highlight w:val="none"/>
        </w:rPr>
      </w:pPr>
      <w:r>
        <w:rPr>
          <w:rFonts w:hint="eastAsia" w:ascii="宋体"/>
          <w:color w:val="auto"/>
          <w:sz w:val="24"/>
          <w:highlight w:val="none"/>
        </w:rPr>
        <w:t>详细地址：广东省阳江市江城区金山路一号</w:t>
      </w:r>
    </w:p>
    <w:p w14:paraId="5CC41F93">
      <w:pPr>
        <w:tabs>
          <w:tab w:val="left" w:pos="284"/>
        </w:tabs>
        <w:spacing w:line="360" w:lineRule="auto"/>
        <w:ind w:firstLine="480" w:firstLineChars="200"/>
        <w:rPr>
          <w:rFonts w:hint="eastAsia" w:ascii="宋体" w:eastAsia="宋体"/>
          <w:color w:val="auto"/>
          <w:sz w:val="24"/>
          <w:highlight w:val="none"/>
          <w:lang w:eastAsia="zh-CN"/>
        </w:rPr>
      </w:pPr>
      <w:r>
        <w:rPr>
          <w:rFonts w:hint="eastAsia" w:ascii="宋体"/>
          <w:color w:val="auto"/>
          <w:sz w:val="24"/>
          <w:highlight w:val="none"/>
        </w:rPr>
        <w:t>联 系 人：</w:t>
      </w:r>
      <w:r>
        <w:rPr>
          <w:rFonts w:hint="eastAsia" w:ascii="宋体"/>
          <w:color w:val="auto"/>
          <w:sz w:val="24"/>
          <w:highlight w:val="none"/>
          <w:lang w:eastAsia="zh-CN"/>
        </w:rPr>
        <w:t>黄生</w:t>
      </w:r>
    </w:p>
    <w:p w14:paraId="5BC6DD3E">
      <w:pPr>
        <w:tabs>
          <w:tab w:val="left" w:pos="284"/>
        </w:tabs>
        <w:spacing w:line="360" w:lineRule="auto"/>
        <w:ind w:firstLine="480" w:firstLineChars="200"/>
        <w:rPr>
          <w:rFonts w:hint="default" w:ascii="宋体" w:eastAsia="宋体"/>
          <w:color w:val="auto"/>
          <w:sz w:val="24"/>
          <w:highlight w:val="none"/>
          <w:lang w:val="en-US" w:eastAsia="zh-CN"/>
        </w:rPr>
      </w:pPr>
      <w:r>
        <w:rPr>
          <w:rFonts w:hint="eastAsia" w:ascii="宋体"/>
          <w:color w:val="auto"/>
          <w:sz w:val="24"/>
          <w:highlight w:val="none"/>
        </w:rPr>
        <w:t>联系电话：0750-</w:t>
      </w:r>
      <w:r>
        <w:rPr>
          <w:rFonts w:hint="eastAsia" w:ascii="宋体"/>
          <w:color w:val="auto"/>
          <w:sz w:val="24"/>
          <w:highlight w:val="none"/>
          <w:lang w:val="en-US" w:eastAsia="zh-CN"/>
        </w:rPr>
        <w:t>7061832</w:t>
      </w:r>
      <w:bookmarkStart w:id="655" w:name="_GoBack"/>
      <w:bookmarkEnd w:id="655"/>
    </w:p>
    <w:p w14:paraId="2B1AD333">
      <w:pPr>
        <w:numPr>
          <w:ilvl w:val="0"/>
          <w:numId w:val="6"/>
        </w:numPr>
        <w:tabs>
          <w:tab w:val="left" w:pos="0"/>
          <w:tab w:val="left" w:pos="284"/>
          <w:tab w:val="clear" w:pos="600"/>
        </w:tabs>
        <w:spacing w:line="360" w:lineRule="auto"/>
        <w:ind w:left="0" w:firstLine="0"/>
        <w:contextualSpacing/>
        <w:rPr>
          <w:rFonts w:ascii="宋体"/>
          <w:b/>
          <w:bCs/>
          <w:color w:val="auto"/>
          <w:sz w:val="24"/>
          <w:highlight w:val="none"/>
        </w:rPr>
      </w:pPr>
      <w:r>
        <w:rPr>
          <w:rFonts w:hint="eastAsia" w:ascii="宋体"/>
          <w:b/>
          <w:bCs/>
          <w:color w:val="auto"/>
          <w:sz w:val="24"/>
          <w:highlight w:val="none"/>
        </w:rPr>
        <w:t>采购代理机构信息</w:t>
      </w:r>
    </w:p>
    <w:p w14:paraId="2534016D">
      <w:pPr>
        <w:tabs>
          <w:tab w:val="left" w:pos="0"/>
          <w:tab w:val="left" w:pos="284"/>
        </w:tabs>
        <w:spacing w:line="360" w:lineRule="auto"/>
        <w:ind w:left="972" w:leftChars="177" w:hanging="600"/>
        <w:contextualSpacing/>
        <w:rPr>
          <w:rFonts w:ascii="宋体"/>
          <w:color w:val="auto"/>
          <w:sz w:val="24"/>
          <w:highlight w:val="none"/>
        </w:rPr>
      </w:pPr>
      <w:r>
        <w:rPr>
          <w:rFonts w:hint="eastAsia" w:ascii="宋体"/>
          <w:color w:val="auto"/>
          <w:sz w:val="24"/>
          <w:highlight w:val="none"/>
        </w:rPr>
        <w:t>采购代理机构：广东业信采购招标有限公司</w:t>
      </w:r>
    </w:p>
    <w:p w14:paraId="551CD564">
      <w:pPr>
        <w:tabs>
          <w:tab w:val="left" w:pos="0"/>
          <w:tab w:val="left" w:pos="284"/>
        </w:tabs>
        <w:spacing w:line="360" w:lineRule="auto"/>
        <w:ind w:left="972" w:leftChars="177" w:hanging="600"/>
        <w:contextualSpacing/>
        <w:rPr>
          <w:rFonts w:ascii="宋体"/>
          <w:color w:val="auto"/>
          <w:sz w:val="24"/>
          <w:highlight w:val="none"/>
        </w:rPr>
      </w:pPr>
      <w:r>
        <w:rPr>
          <w:rFonts w:hint="eastAsia" w:ascii="宋体"/>
          <w:color w:val="auto"/>
          <w:sz w:val="24"/>
          <w:highlight w:val="none"/>
        </w:rPr>
        <w:t>地址:阳江市江城区猫山四街33号A座2楼</w:t>
      </w:r>
    </w:p>
    <w:p w14:paraId="4DFC69BE">
      <w:pPr>
        <w:tabs>
          <w:tab w:val="left" w:pos="0"/>
          <w:tab w:val="left" w:pos="284"/>
        </w:tabs>
        <w:spacing w:line="360" w:lineRule="auto"/>
        <w:ind w:left="972" w:leftChars="177" w:hanging="600"/>
        <w:contextualSpacing/>
        <w:rPr>
          <w:rFonts w:ascii="宋体"/>
          <w:color w:val="auto"/>
          <w:sz w:val="24"/>
          <w:highlight w:val="none"/>
        </w:rPr>
      </w:pPr>
      <w:r>
        <w:rPr>
          <w:rFonts w:hint="eastAsia" w:ascii="宋体"/>
          <w:color w:val="auto"/>
          <w:sz w:val="24"/>
          <w:highlight w:val="none"/>
        </w:rPr>
        <w:t>联系人:冯国辉</w:t>
      </w:r>
    </w:p>
    <w:p w14:paraId="32AEEC0C">
      <w:pPr>
        <w:tabs>
          <w:tab w:val="left" w:pos="0"/>
          <w:tab w:val="left" w:pos="284"/>
        </w:tabs>
        <w:spacing w:line="360" w:lineRule="auto"/>
        <w:ind w:left="972" w:leftChars="177" w:hanging="600"/>
        <w:contextualSpacing/>
        <w:rPr>
          <w:rFonts w:ascii="宋体"/>
          <w:color w:val="auto"/>
          <w:sz w:val="24"/>
          <w:highlight w:val="none"/>
        </w:rPr>
      </w:pPr>
      <w:r>
        <w:rPr>
          <w:rFonts w:hint="eastAsia" w:ascii="宋体"/>
          <w:color w:val="auto"/>
          <w:sz w:val="24"/>
          <w:highlight w:val="none"/>
        </w:rPr>
        <w:t>联系电话:0662-3167266</w:t>
      </w:r>
    </w:p>
    <w:p w14:paraId="7F9370E5">
      <w:pPr>
        <w:tabs>
          <w:tab w:val="left" w:pos="0"/>
          <w:tab w:val="left" w:pos="284"/>
        </w:tabs>
        <w:spacing w:line="360" w:lineRule="auto"/>
        <w:ind w:left="972" w:leftChars="177" w:hanging="600"/>
        <w:contextualSpacing/>
        <w:rPr>
          <w:rFonts w:ascii="宋体"/>
          <w:color w:val="auto"/>
          <w:sz w:val="24"/>
          <w:highlight w:val="none"/>
        </w:rPr>
      </w:pPr>
      <w:r>
        <w:rPr>
          <w:rFonts w:hint="eastAsia" w:ascii="宋体"/>
          <w:color w:val="auto"/>
          <w:sz w:val="24"/>
          <w:highlight w:val="none"/>
        </w:rPr>
        <w:t>传真:0662-2669666</w:t>
      </w:r>
    </w:p>
    <w:p w14:paraId="742C879A">
      <w:pPr>
        <w:tabs>
          <w:tab w:val="left" w:pos="0"/>
          <w:tab w:val="left" w:pos="284"/>
        </w:tabs>
        <w:spacing w:line="360" w:lineRule="auto"/>
        <w:ind w:left="972" w:leftChars="177" w:hanging="600"/>
        <w:contextualSpacing/>
        <w:rPr>
          <w:rFonts w:ascii="宋体"/>
          <w:color w:val="auto"/>
          <w:sz w:val="24"/>
          <w:highlight w:val="none"/>
        </w:rPr>
      </w:pPr>
      <w:r>
        <w:rPr>
          <w:rFonts w:hint="eastAsia" w:ascii="宋体"/>
          <w:color w:val="auto"/>
          <w:sz w:val="24"/>
          <w:highlight w:val="none"/>
        </w:rPr>
        <w:t>邮编:529500</w:t>
      </w:r>
    </w:p>
    <w:bookmarkEnd w:id="2"/>
    <w:bookmarkEnd w:id="3"/>
    <w:bookmarkEnd w:id="4"/>
    <w:bookmarkEnd w:id="5"/>
    <w:bookmarkEnd w:id="6"/>
    <w:bookmarkEnd w:id="7"/>
    <w:bookmarkEnd w:id="8"/>
    <w:bookmarkEnd w:id="9"/>
    <w:bookmarkEnd w:id="10"/>
    <w:bookmarkEnd w:id="11"/>
    <w:bookmarkEnd w:id="12"/>
    <w:bookmarkEnd w:id="13"/>
    <w:bookmarkEnd w:id="14"/>
    <w:bookmarkEnd w:id="15"/>
    <w:p w14:paraId="03D65B73">
      <w:pPr>
        <w:tabs>
          <w:tab w:val="left" w:pos="8190"/>
          <w:tab w:val="left" w:pos="9040"/>
        </w:tabs>
        <w:adjustRightInd w:val="0"/>
        <w:spacing w:before="240" w:beforeLines="100"/>
        <w:ind w:right="-55" w:rightChars="0"/>
        <w:jc w:val="center"/>
        <w:textAlignment w:val="baseline"/>
        <w:outlineLvl w:val="0"/>
        <w:rPr>
          <w:rFonts w:ascii="宋体"/>
          <w:b/>
          <w:color w:val="auto"/>
          <w:kern w:val="0"/>
          <w:sz w:val="30"/>
          <w:szCs w:val="30"/>
          <w:highlight w:val="none"/>
        </w:rPr>
      </w:pPr>
      <w:bookmarkStart w:id="19" w:name="_Hlt14560614"/>
      <w:bookmarkEnd w:id="19"/>
      <w:bookmarkStart w:id="20" w:name="_Toc184043011"/>
      <w:bookmarkStart w:id="21" w:name="_Toc256342142"/>
      <w:bookmarkStart w:id="22" w:name="_Toc230099796"/>
      <w:bookmarkStart w:id="23" w:name="_Toc249525158"/>
      <w:bookmarkStart w:id="24" w:name="_Toc230583540"/>
      <w:bookmarkStart w:id="25" w:name="_Toc230013631"/>
      <w:bookmarkStart w:id="26" w:name="_Toc249515389"/>
      <w:bookmarkStart w:id="27" w:name="_Toc232395211"/>
      <w:bookmarkStart w:id="28" w:name="_Toc249515277"/>
      <w:bookmarkStart w:id="29" w:name="_Toc232176271"/>
      <w:bookmarkStart w:id="30" w:name="_Toc500747061"/>
      <w:bookmarkStart w:id="31" w:name="_Toc256342143"/>
      <w:bookmarkStart w:id="32" w:name="_Toc177817334"/>
      <w:bookmarkStart w:id="33" w:name="_Toc53722840"/>
      <w:bookmarkStart w:id="34" w:name="_Toc232395212"/>
      <w:bookmarkStart w:id="35" w:name="_Toc176882542"/>
      <w:bookmarkStart w:id="36" w:name="_Toc496324578"/>
      <w:bookmarkStart w:id="37" w:name="_Toc177995473"/>
      <w:bookmarkStart w:id="38" w:name="_Toc500746965"/>
      <w:bookmarkStart w:id="39" w:name="_Toc232176272"/>
      <w:bookmarkStart w:id="40" w:name="_Toc230583541"/>
      <w:bookmarkStart w:id="41" w:name="_Toc177189235"/>
      <w:bookmarkStart w:id="42" w:name="_Toc184043012"/>
      <w:bookmarkStart w:id="43" w:name="_Toc249525159"/>
      <w:bookmarkStart w:id="44" w:name="_Toc492955414"/>
      <w:bookmarkStart w:id="45" w:name="_Toc249515390"/>
      <w:bookmarkStart w:id="46" w:name="_Toc230099797"/>
      <w:bookmarkStart w:id="47" w:name="_Toc249515278"/>
      <w:bookmarkStart w:id="48" w:name="_Toc500747188"/>
      <w:bookmarkStart w:id="49" w:name="_Toc499711042"/>
      <w:bookmarkStart w:id="50" w:name="_Toc70687139"/>
      <w:bookmarkStart w:id="51" w:name="_Toc499711883"/>
      <w:bookmarkStart w:id="52" w:name="_Toc503063421"/>
      <w:bookmarkStart w:id="53" w:name="_Toc230013632"/>
      <w:r>
        <w:rPr>
          <w:rFonts w:hint="eastAsia" w:ascii="宋体"/>
          <w:b/>
          <w:color w:val="auto"/>
          <w:kern w:val="0"/>
          <w:sz w:val="30"/>
          <w:szCs w:val="30"/>
          <w:highlight w:val="none"/>
        </w:rPr>
        <w:br w:type="page"/>
      </w:r>
      <w:bookmarkStart w:id="54" w:name="_Toc474350605"/>
      <w:bookmarkStart w:id="55" w:name="_Toc5277"/>
      <w:bookmarkStart w:id="56" w:name="_Toc56534765"/>
      <w:r>
        <w:rPr>
          <w:rFonts w:hint="eastAsia" w:ascii="宋体"/>
          <w:b/>
          <w:color w:val="auto"/>
          <w:kern w:val="0"/>
          <w:sz w:val="30"/>
          <w:szCs w:val="30"/>
          <w:highlight w:val="none"/>
        </w:rPr>
        <w:t>第二部分  供应商须知</w:t>
      </w:r>
      <w:bookmarkEnd w:id="20"/>
      <w:bookmarkEnd w:id="21"/>
      <w:bookmarkEnd w:id="22"/>
      <w:bookmarkEnd w:id="23"/>
      <w:bookmarkEnd w:id="24"/>
      <w:bookmarkEnd w:id="25"/>
      <w:bookmarkEnd w:id="26"/>
      <w:bookmarkEnd w:id="27"/>
      <w:bookmarkEnd w:id="28"/>
      <w:bookmarkEnd w:id="29"/>
      <w:bookmarkEnd w:id="54"/>
      <w:bookmarkEnd w:id="55"/>
      <w:bookmarkEnd w:id="56"/>
    </w:p>
    <w:p w14:paraId="582A0F82">
      <w:pPr>
        <w:jc w:val="center"/>
        <w:rPr>
          <w:rFonts w:ascii="宋体"/>
          <w:b/>
          <w:color w:val="auto"/>
          <w:sz w:val="28"/>
          <w:szCs w:val="28"/>
          <w:highlight w:val="none"/>
        </w:rPr>
      </w:pPr>
    </w:p>
    <w:p w14:paraId="29376E78">
      <w:pPr>
        <w:jc w:val="center"/>
        <w:outlineLvl w:val="1"/>
        <w:rPr>
          <w:rFonts w:ascii="宋体"/>
          <w:b/>
          <w:color w:val="auto"/>
          <w:sz w:val="24"/>
          <w:highlight w:val="none"/>
        </w:rPr>
      </w:pPr>
      <w:bookmarkStart w:id="57" w:name="_Toc3965"/>
      <w:r>
        <w:rPr>
          <w:rFonts w:hint="eastAsia" w:ascii="宋体"/>
          <w:b/>
          <w:color w:val="auto"/>
          <w:sz w:val="24"/>
          <w:highlight w:val="none"/>
          <w:lang w:val="en-US" w:eastAsia="zh-CN"/>
        </w:rPr>
        <w:t>一、</w:t>
      </w:r>
      <w:r>
        <w:rPr>
          <w:rFonts w:hint="eastAsia" w:ascii="宋体"/>
          <w:b/>
          <w:color w:val="auto"/>
          <w:sz w:val="24"/>
          <w:highlight w:val="none"/>
        </w:rPr>
        <w:t>供应商须知前附表</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7"/>
    </w:p>
    <w:p w14:paraId="61709075">
      <w:pPr>
        <w:spacing w:line="360" w:lineRule="auto"/>
        <w:rPr>
          <w:rFonts w:ascii="宋体"/>
          <w:b/>
          <w:color w:val="auto"/>
          <w:sz w:val="28"/>
          <w:szCs w:val="28"/>
          <w:highlight w:val="none"/>
        </w:rPr>
      </w:pPr>
    </w:p>
    <w:p w14:paraId="024D3832">
      <w:pPr>
        <w:spacing w:line="360" w:lineRule="auto"/>
        <w:rPr>
          <w:rFonts w:ascii="宋体"/>
          <w:color w:val="auto"/>
          <w:sz w:val="24"/>
          <w:highlight w:val="none"/>
        </w:rPr>
      </w:pPr>
      <w:r>
        <w:rPr>
          <w:rFonts w:hint="eastAsia" w:ascii="宋体"/>
          <w:color w:val="auto"/>
          <w:sz w:val="24"/>
          <w:highlight w:val="none"/>
        </w:rPr>
        <w:t>注：1.本须知前附表是对供应商须知的修改和补充，如有矛盾，均以本表为准。</w:t>
      </w:r>
    </w:p>
    <w:p w14:paraId="0530990A">
      <w:pPr>
        <w:spacing w:line="360" w:lineRule="auto"/>
        <w:rPr>
          <w:rFonts w:hint="eastAsia" w:ascii="宋体" w:eastAsia="宋体"/>
          <w:b/>
          <w:color w:val="auto"/>
          <w:sz w:val="24"/>
          <w:highlight w:val="none"/>
          <w:lang w:eastAsia="zh-CN"/>
        </w:rPr>
      </w:pPr>
      <w:r>
        <w:rPr>
          <w:rFonts w:hint="eastAsia" w:ascii="宋体"/>
          <w:color w:val="auto"/>
          <w:sz w:val="24"/>
          <w:highlight w:val="none"/>
        </w:rPr>
        <w:t xml:space="preserve">    2.本附表中“★”标志的为实质性条款，如有缺项或其中一项不符合即按无效应答处理。</w:t>
      </w:r>
      <w:r>
        <w:rPr>
          <w:rFonts w:hint="eastAsia" w:ascii="宋体"/>
          <w:color w:val="auto"/>
          <w:sz w:val="24"/>
          <w:highlight w:val="none"/>
          <w:lang w:eastAsia="zh-CN"/>
        </w:rPr>
        <w:t>（</w:t>
      </w:r>
      <w:r>
        <w:rPr>
          <w:rFonts w:hint="eastAsia" w:ascii="宋体"/>
          <w:color w:val="auto"/>
          <w:sz w:val="24"/>
          <w:highlight w:val="none"/>
          <w:lang w:val="en-US" w:eastAsia="zh-CN"/>
        </w:rPr>
        <w:t>如有</w:t>
      </w:r>
      <w:r>
        <w:rPr>
          <w:rFonts w:hint="eastAsia" w:ascii="宋体"/>
          <w:color w:val="auto"/>
          <w:sz w:val="24"/>
          <w:highlight w:val="none"/>
          <w:lang w:eastAsia="zh-CN"/>
        </w:rPr>
        <w:t>）</w:t>
      </w:r>
    </w:p>
    <w:tbl>
      <w:tblPr>
        <w:tblStyle w:val="62"/>
        <w:tblW w:w="9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043"/>
        <w:gridCol w:w="1921"/>
        <w:gridCol w:w="4586"/>
      </w:tblGrid>
      <w:tr w14:paraId="26E6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43077BA4">
            <w:pPr>
              <w:spacing w:line="360" w:lineRule="auto"/>
              <w:jc w:val="center"/>
              <w:rPr>
                <w:rFonts w:ascii="宋体"/>
                <w:bCs/>
                <w:color w:val="auto"/>
                <w:sz w:val="24"/>
                <w:highlight w:val="none"/>
              </w:rPr>
            </w:pPr>
            <w:r>
              <w:rPr>
                <w:rFonts w:hint="eastAsia" w:ascii="宋体"/>
                <w:bCs/>
                <w:color w:val="auto"/>
                <w:sz w:val="24"/>
                <w:highlight w:val="none"/>
              </w:rPr>
              <w:t>条款号</w:t>
            </w:r>
          </w:p>
        </w:tc>
        <w:tc>
          <w:tcPr>
            <w:tcW w:w="2043" w:type="dxa"/>
            <w:tcBorders>
              <w:top w:val="single" w:color="auto" w:sz="4" w:space="0"/>
              <w:left w:val="single" w:color="auto" w:sz="4" w:space="0"/>
              <w:bottom w:val="single" w:color="auto" w:sz="4" w:space="0"/>
              <w:right w:val="single" w:color="auto" w:sz="4" w:space="0"/>
            </w:tcBorders>
            <w:vAlign w:val="center"/>
          </w:tcPr>
          <w:p w14:paraId="2103E430">
            <w:pPr>
              <w:spacing w:line="360" w:lineRule="auto"/>
              <w:jc w:val="center"/>
              <w:rPr>
                <w:rFonts w:ascii="宋体"/>
                <w:bCs/>
                <w:color w:val="auto"/>
                <w:sz w:val="24"/>
                <w:highlight w:val="none"/>
              </w:rPr>
            </w:pPr>
            <w:r>
              <w:rPr>
                <w:rFonts w:hint="eastAsia" w:ascii="宋体"/>
                <w:bCs/>
                <w:color w:val="auto"/>
                <w:sz w:val="24"/>
                <w:highlight w:val="none"/>
              </w:rPr>
              <w:t>类别</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5C141901">
            <w:pPr>
              <w:spacing w:line="360" w:lineRule="auto"/>
              <w:ind w:firstLine="1320" w:firstLineChars="550"/>
              <w:rPr>
                <w:rFonts w:ascii="宋体"/>
                <w:bCs/>
                <w:color w:val="auto"/>
                <w:sz w:val="24"/>
                <w:highlight w:val="none"/>
              </w:rPr>
            </w:pPr>
            <w:r>
              <w:rPr>
                <w:rFonts w:hint="eastAsia" w:ascii="宋体"/>
                <w:bCs/>
                <w:color w:val="auto"/>
                <w:sz w:val="24"/>
                <w:highlight w:val="none"/>
              </w:rPr>
              <w:t>内容说明</w:t>
            </w:r>
          </w:p>
        </w:tc>
      </w:tr>
      <w:tr w14:paraId="40FE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0A84DFAC">
            <w:pPr>
              <w:spacing w:line="360" w:lineRule="auto"/>
              <w:jc w:val="center"/>
              <w:rPr>
                <w:rFonts w:ascii="宋体"/>
                <w:bCs/>
                <w:color w:val="auto"/>
                <w:sz w:val="24"/>
                <w:highlight w:val="none"/>
              </w:rPr>
            </w:pPr>
            <w:r>
              <w:rPr>
                <w:rFonts w:hint="eastAsia" w:ascii="宋体"/>
                <w:bCs/>
                <w:color w:val="auto"/>
                <w:sz w:val="24"/>
                <w:highlight w:val="none"/>
              </w:rPr>
              <w:t>1</w:t>
            </w:r>
          </w:p>
        </w:tc>
        <w:tc>
          <w:tcPr>
            <w:tcW w:w="2043" w:type="dxa"/>
            <w:tcBorders>
              <w:top w:val="single" w:color="auto" w:sz="4" w:space="0"/>
              <w:left w:val="single" w:color="auto" w:sz="4" w:space="0"/>
              <w:bottom w:val="single" w:color="auto" w:sz="4" w:space="0"/>
              <w:right w:val="single" w:color="auto" w:sz="4" w:space="0"/>
            </w:tcBorders>
            <w:vAlign w:val="center"/>
          </w:tcPr>
          <w:p w14:paraId="048F505F">
            <w:pPr>
              <w:spacing w:line="360" w:lineRule="auto"/>
              <w:jc w:val="center"/>
              <w:rPr>
                <w:rFonts w:ascii="宋体"/>
                <w:bCs/>
                <w:color w:val="auto"/>
                <w:sz w:val="24"/>
                <w:highlight w:val="none"/>
              </w:rPr>
            </w:pPr>
            <w:r>
              <w:rPr>
                <w:rFonts w:hint="eastAsia" w:ascii="宋体"/>
                <w:bCs/>
                <w:color w:val="auto"/>
                <w:sz w:val="24"/>
                <w:highlight w:val="none"/>
              </w:rPr>
              <w:t>采购人</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0CBE6968">
            <w:pPr>
              <w:spacing w:line="360" w:lineRule="auto"/>
              <w:rPr>
                <w:rFonts w:ascii="宋体"/>
                <w:bCs/>
                <w:color w:val="auto"/>
                <w:sz w:val="24"/>
                <w:highlight w:val="none"/>
              </w:rPr>
            </w:pPr>
            <w:r>
              <w:rPr>
                <w:rFonts w:hint="eastAsia" w:ascii="宋体"/>
                <w:bCs/>
                <w:color w:val="auto"/>
                <w:sz w:val="24"/>
                <w:highlight w:val="none"/>
              </w:rPr>
              <w:t>中华人民共和国阳江海关</w:t>
            </w:r>
          </w:p>
        </w:tc>
      </w:tr>
      <w:tr w14:paraId="7BBA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49D3400F">
            <w:pPr>
              <w:spacing w:line="360" w:lineRule="auto"/>
              <w:jc w:val="center"/>
              <w:rPr>
                <w:rFonts w:ascii="宋体"/>
                <w:bCs/>
                <w:color w:val="auto"/>
                <w:sz w:val="24"/>
                <w:highlight w:val="none"/>
              </w:rPr>
            </w:pPr>
            <w:r>
              <w:rPr>
                <w:rFonts w:hint="eastAsia" w:ascii="宋体"/>
                <w:bCs/>
                <w:color w:val="auto"/>
                <w:sz w:val="24"/>
                <w:highlight w:val="none"/>
              </w:rPr>
              <w:t>2</w:t>
            </w:r>
          </w:p>
        </w:tc>
        <w:tc>
          <w:tcPr>
            <w:tcW w:w="2043" w:type="dxa"/>
            <w:tcBorders>
              <w:top w:val="single" w:color="auto" w:sz="4" w:space="0"/>
              <w:left w:val="single" w:color="auto" w:sz="4" w:space="0"/>
              <w:bottom w:val="single" w:color="auto" w:sz="4" w:space="0"/>
              <w:right w:val="single" w:color="auto" w:sz="4" w:space="0"/>
            </w:tcBorders>
            <w:vAlign w:val="center"/>
          </w:tcPr>
          <w:p w14:paraId="76876C6F">
            <w:pPr>
              <w:spacing w:line="360" w:lineRule="auto"/>
              <w:jc w:val="center"/>
              <w:rPr>
                <w:rFonts w:ascii="宋体"/>
                <w:bCs/>
                <w:color w:val="auto"/>
                <w:sz w:val="24"/>
                <w:highlight w:val="none"/>
              </w:rPr>
            </w:pPr>
            <w:r>
              <w:rPr>
                <w:rFonts w:hint="eastAsia" w:ascii="宋体"/>
                <w:bCs/>
                <w:color w:val="auto"/>
                <w:sz w:val="24"/>
                <w:highlight w:val="none"/>
              </w:rPr>
              <w:t>采购机构</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53B5BE15">
            <w:pPr>
              <w:spacing w:line="360" w:lineRule="auto"/>
              <w:rPr>
                <w:rFonts w:ascii="宋体"/>
                <w:bCs/>
                <w:color w:val="auto"/>
                <w:sz w:val="24"/>
                <w:highlight w:val="none"/>
              </w:rPr>
            </w:pPr>
            <w:r>
              <w:rPr>
                <w:rFonts w:hint="eastAsia" w:ascii="宋体"/>
                <w:bCs/>
                <w:color w:val="auto"/>
                <w:sz w:val="24"/>
                <w:highlight w:val="none"/>
              </w:rPr>
              <w:t>广东业信采购招标有限公司</w:t>
            </w:r>
          </w:p>
        </w:tc>
      </w:tr>
      <w:tr w14:paraId="7A79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60923D1C">
            <w:pPr>
              <w:spacing w:line="360" w:lineRule="auto"/>
              <w:jc w:val="center"/>
              <w:rPr>
                <w:rFonts w:ascii="宋体"/>
                <w:bCs/>
                <w:color w:val="auto"/>
                <w:sz w:val="24"/>
                <w:highlight w:val="none"/>
              </w:rPr>
            </w:pPr>
            <w:r>
              <w:rPr>
                <w:rFonts w:hint="eastAsia" w:ascii="宋体"/>
                <w:bCs/>
                <w:color w:val="auto"/>
                <w:sz w:val="24"/>
                <w:highlight w:val="none"/>
              </w:rPr>
              <w:t>3</w:t>
            </w:r>
          </w:p>
        </w:tc>
        <w:tc>
          <w:tcPr>
            <w:tcW w:w="2043" w:type="dxa"/>
            <w:tcBorders>
              <w:top w:val="single" w:color="auto" w:sz="4" w:space="0"/>
              <w:left w:val="single" w:color="auto" w:sz="4" w:space="0"/>
              <w:bottom w:val="single" w:color="auto" w:sz="4" w:space="0"/>
              <w:right w:val="single" w:color="auto" w:sz="4" w:space="0"/>
            </w:tcBorders>
            <w:vAlign w:val="center"/>
          </w:tcPr>
          <w:p w14:paraId="34BA6369">
            <w:pPr>
              <w:spacing w:line="360" w:lineRule="auto"/>
              <w:jc w:val="center"/>
              <w:rPr>
                <w:rFonts w:ascii="宋体"/>
                <w:bCs/>
                <w:color w:val="auto"/>
                <w:sz w:val="24"/>
                <w:highlight w:val="none"/>
              </w:rPr>
            </w:pPr>
            <w:r>
              <w:rPr>
                <w:rFonts w:hint="eastAsia" w:ascii="宋体"/>
                <w:bCs/>
                <w:color w:val="auto"/>
                <w:sz w:val="24"/>
                <w:highlight w:val="none"/>
              </w:rPr>
              <w:t>采购项目名称</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1B173B87">
            <w:pPr>
              <w:spacing w:line="360" w:lineRule="auto"/>
              <w:rPr>
                <w:rFonts w:ascii="宋体"/>
                <w:bCs/>
                <w:color w:val="auto"/>
                <w:sz w:val="24"/>
                <w:highlight w:val="none"/>
              </w:rPr>
            </w:pPr>
            <w:r>
              <w:rPr>
                <w:rFonts w:hint="eastAsia" w:ascii="宋体"/>
                <w:bCs/>
                <w:color w:val="auto"/>
                <w:sz w:val="24"/>
                <w:highlight w:val="none"/>
                <w:lang w:eastAsia="zh-CN"/>
              </w:rPr>
              <w:t>阳江海关2026-2027年度食堂食材配送服务采购项目</w:t>
            </w:r>
          </w:p>
        </w:tc>
      </w:tr>
      <w:tr w14:paraId="363D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1B9507A9">
            <w:pPr>
              <w:spacing w:line="360" w:lineRule="auto"/>
              <w:jc w:val="center"/>
              <w:rPr>
                <w:rFonts w:ascii="宋体"/>
                <w:bCs/>
                <w:color w:val="auto"/>
                <w:sz w:val="24"/>
                <w:highlight w:val="none"/>
              </w:rPr>
            </w:pPr>
            <w:r>
              <w:rPr>
                <w:rFonts w:hint="eastAsia" w:ascii="宋体"/>
                <w:bCs/>
                <w:color w:val="auto"/>
                <w:sz w:val="24"/>
                <w:highlight w:val="none"/>
              </w:rPr>
              <w:t>4</w:t>
            </w:r>
          </w:p>
        </w:tc>
        <w:tc>
          <w:tcPr>
            <w:tcW w:w="2043" w:type="dxa"/>
            <w:tcBorders>
              <w:top w:val="single" w:color="auto" w:sz="4" w:space="0"/>
              <w:left w:val="single" w:color="auto" w:sz="4" w:space="0"/>
              <w:bottom w:val="single" w:color="auto" w:sz="4" w:space="0"/>
              <w:right w:val="single" w:color="auto" w:sz="4" w:space="0"/>
            </w:tcBorders>
            <w:vAlign w:val="center"/>
          </w:tcPr>
          <w:p w14:paraId="32BAEF62">
            <w:pPr>
              <w:spacing w:line="360" w:lineRule="auto"/>
              <w:jc w:val="center"/>
              <w:rPr>
                <w:rFonts w:ascii="宋体"/>
                <w:bCs/>
                <w:color w:val="auto"/>
                <w:sz w:val="24"/>
                <w:highlight w:val="none"/>
              </w:rPr>
            </w:pPr>
            <w:r>
              <w:rPr>
                <w:rFonts w:hint="eastAsia" w:ascii="宋体"/>
                <w:bCs/>
                <w:color w:val="auto"/>
                <w:sz w:val="24"/>
                <w:highlight w:val="none"/>
              </w:rPr>
              <w:t>采购预算</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4B06AE08">
            <w:pPr>
              <w:spacing w:line="360" w:lineRule="auto"/>
              <w:rPr>
                <w:rFonts w:hint="eastAsia" w:ascii="宋体"/>
                <w:bCs/>
                <w:color w:val="auto"/>
                <w:sz w:val="24"/>
                <w:highlight w:val="none"/>
              </w:rPr>
            </w:pPr>
            <w:r>
              <w:rPr>
                <w:rFonts w:hint="eastAsia" w:ascii="宋体"/>
                <w:bCs/>
                <w:color w:val="auto"/>
                <w:sz w:val="24"/>
                <w:highlight w:val="none"/>
                <w:lang w:val="en-US" w:eastAsia="zh-CN"/>
              </w:rPr>
              <w:t>人民币980000.00</w:t>
            </w:r>
            <w:r>
              <w:rPr>
                <w:rFonts w:hint="eastAsia" w:ascii="宋体"/>
                <w:bCs/>
                <w:color w:val="auto"/>
                <w:sz w:val="24"/>
                <w:highlight w:val="none"/>
              </w:rPr>
              <w:t>元</w:t>
            </w:r>
          </w:p>
          <w:p w14:paraId="4E55DBDD">
            <w:pPr>
              <w:spacing w:line="360" w:lineRule="auto"/>
              <w:rPr>
                <w:rFonts w:hint="eastAsia" w:ascii="宋体"/>
                <w:bCs/>
                <w:color w:val="auto"/>
                <w:sz w:val="24"/>
                <w:highlight w:val="none"/>
              </w:rPr>
            </w:pPr>
            <w:r>
              <w:rPr>
                <w:rFonts w:hint="eastAsia" w:ascii="宋体"/>
                <w:b/>
                <w:bCs w:val="0"/>
                <w:color w:val="auto"/>
                <w:sz w:val="24"/>
                <w:highlight w:val="none"/>
                <w:lang w:val="en-US" w:eastAsia="zh-CN"/>
              </w:rPr>
              <w:t>注：预算金额是参考往年供货数量及价格进行估算的，采购人无法确保成交供应商的供货量是否能达到或超过预算金额，采购的数量和金额均按采购人实际采购量为准，供应商应注意相关风险。</w:t>
            </w:r>
          </w:p>
        </w:tc>
      </w:tr>
      <w:tr w14:paraId="2EBE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09" w:type="dxa"/>
            <w:gridSpan w:val="4"/>
            <w:tcBorders>
              <w:top w:val="single" w:color="auto" w:sz="4" w:space="0"/>
              <w:left w:val="single" w:color="auto" w:sz="4" w:space="0"/>
              <w:bottom w:val="single" w:color="auto" w:sz="4" w:space="0"/>
              <w:right w:val="single" w:color="auto" w:sz="4" w:space="0"/>
            </w:tcBorders>
            <w:vAlign w:val="center"/>
          </w:tcPr>
          <w:p w14:paraId="0AEFA0B4">
            <w:pPr>
              <w:spacing w:line="360" w:lineRule="auto"/>
              <w:jc w:val="center"/>
              <w:rPr>
                <w:rFonts w:ascii="宋体"/>
                <w:bCs/>
                <w:color w:val="auto"/>
                <w:sz w:val="24"/>
                <w:highlight w:val="none"/>
              </w:rPr>
            </w:pPr>
            <w:r>
              <w:rPr>
                <w:rFonts w:hint="eastAsia" w:ascii="宋体"/>
                <w:bCs/>
                <w:color w:val="auto"/>
                <w:sz w:val="24"/>
                <w:highlight w:val="none"/>
              </w:rPr>
              <w:t>应答基本原则</w:t>
            </w:r>
          </w:p>
        </w:tc>
      </w:tr>
      <w:tr w14:paraId="46A2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3F5697EA">
            <w:pPr>
              <w:spacing w:line="360" w:lineRule="auto"/>
              <w:jc w:val="center"/>
              <w:rPr>
                <w:rFonts w:ascii="宋体"/>
                <w:bCs/>
                <w:color w:val="auto"/>
                <w:sz w:val="24"/>
                <w:highlight w:val="none"/>
              </w:rPr>
            </w:pPr>
            <w:r>
              <w:rPr>
                <w:rFonts w:hint="eastAsia" w:ascii="宋体"/>
                <w:bCs/>
                <w:color w:val="auto"/>
                <w:sz w:val="24"/>
                <w:highlight w:val="none"/>
              </w:rPr>
              <w:t>5</w:t>
            </w:r>
          </w:p>
        </w:tc>
        <w:tc>
          <w:tcPr>
            <w:tcW w:w="2043" w:type="dxa"/>
            <w:tcBorders>
              <w:top w:val="single" w:color="auto" w:sz="4" w:space="0"/>
              <w:left w:val="single" w:color="auto" w:sz="4" w:space="0"/>
              <w:bottom w:val="single" w:color="auto" w:sz="4" w:space="0"/>
              <w:right w:val="single" w:color="auto" w:sz="4" w:space="0"/>
            </w:tcBorders>
            <w:vAlign w:val="center"/>
          </w:tcPr>
          <w:p w14:paraId="2C48AFB4">
            <w:pPr>
              <w:spacing w:line="360" w:lineRule="auto"/>
              <w:jc w:val="center"/>
              <w:rPr>
                <w:rFonts w:ascii="宋体"/>
                <w:bCs/>
                <w:color w:val="auto"/>
                <w:sz w:val="24"/>
                <w:highlight w:val="none"/>
              </w:rPr>
            </w:pPr>
            <w:r>
              <w:rPr>
                <w:rFonts w:hint="eastAsia" w:ascii="宋体"/>
                <w:color w:val="auto"/>
                <w:sz w:val="24"/>
                <w:highlight w:val="none"/>
              </w:rPr>
              <w:t>供应商</w:t>
            </w:r>
            <w:r>
              <w:rPr>
                <w:rFonts w:hint="eastAsia" w:ascii="宋体"/>
                <w:bCs/>
                <w:color w:val="auto"/>
                <w:sz w:val="24"/>
                <w:highlight w:val="none"/>
              </w:rPr>
              <w:t>资格条件</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40F8A9F8">
            <w:pPr>
              <w:spacing w:line="360" w:lineRule="auto"/>
              <w:rPr>
                <w:rFonts w:ascii="宋体"/>
                <w:bCs/>
                <w:color w:val="auto"/>
                <w:sz w:val="24"/>
                <w:highlight w:val="none"/>
              </w:rPr>
            </w:pPr>
            <w:r>
              <w:rPr>
                <w:rFonts w:hint="eastAsia" w:ascii="宋体"/>
                <w:bCs/>
                <w:color w:val="auto"/>
                <w:kern w:val="0"/>
                <w:sz w:val="24"/>
                <w:highlight w:val="none"/>
              </w:rPr>
              <w:t>见磋商邀请</w:t>
            </w:r>
          </w:p>
        </w:tc>
      </w:tr>
      <w:tr w14:paraId="1CAC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509" w:type="dxa"/>
            <w:gridSpan w:val="4"/>
            <w:tcBorders>
              <w:top w:val="single" w:color="auto" w:sz="4" w:space="0"/>
              <w:left w:val="single" w:color="auto" w:sz="4" w:space="0"/>
              <w:bottom w:val="single" w:color="auto" w:sz="4" w:space="0"/>
              <w:right w:val="single" w:color="auto" w:sz="4" w:space="0"/>
            </w:tcBorders>
            <w:vAlign w:val="center"/>
          </w:tcPr>
          <w:p w14:paraId="27F27A07">
            <w:pPr>
              <w:spacing w:line="360" w:lineRule="auto"/>
              <w:jc w:val="center"/>
              <w:rPr>
                <w:rFonts w:ascii="宋体"/>
                <w:bCs/>
                <w:color w:val="auto"/>
                <w:sz w:val="24"/>
                <w:highlight w:val="none"/>
              </w:rPr>
            </w:pPr>
            <w:r>
              <w:rPr>
                <w:rFonts w:hint="eastAsia" w:ascii="宋体"/>
                <w:bCs/>
                <w:color w:val="auto"/>
                <w:sz w:val="24"/>
                <w:highlight w:val="none"/>
              </w:rPr>
              <w:t>应答文件编制</w:t>
            </w:r>
          </w:p>
        </w:tc>
      </w:tr>
      <w:tr w14:paraId="52EE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21DFA740">
            <w:pPr>
              <w:spacing w:line="360" w:lineRule="auto"/>
              <w:jc w:val="center"/>
              <w:rPr>
                <w:rFonts w:ascii="宋体"/>
                <w:bCs/>
                <w:color w:val="auto"/>
                <w:sz w:val="24"/>
                <w:highlight w:val="none"/>
              </w:rPr>
            </w:pPr>
            <w:r>
              <w:rPr>
                <w:rFonts w:hint="eastAsia" w:ascii="宋体"/>
                <w:bCs/>
                <w:color w:val="auto"/>
                <w:sz w:val="24"/>
                <w:highlight w:val="none"/>
              </w:rPr>
              <w:t>6</w:t>
            </w:r>
          </w:p>
        </w:tc>
        <w:tc>
          <w:tcPr>
            <w:tcW w:w="2043" w:type="dxa"/>
            <w:tcBorders>
              <w:top w:val="single" w:color="auto" w:sz="4" w:space="0"/>
              <w:left w:val="single" w:color="auto" w:sz="4" w:space="0"/>
              <w:bottom w:val="single" w:color="auto" w:sz="4" w:space="0"/>
              <w:right w:val="single" w:color="auto" w:sz="4" w:space="0"/>
            </w:tcBorders>
            <w:vAlign w:val="center"/>
          </w:tcPr>
          <w:p w14:paraId="4A9C39FB">
            <w:pPr>
              <w:spacing w:line="360" w:lineRule="auto"/>
              <w:jc w:val="center"/>
              <w:rPr>
                <w:rFonts w:ascii="宋体"/>
                <w:bCs/>
                <w:color w:val="auto"/>
                <w:sz w:val="24"/>
                <w:highlight w:val="none"/>
              </w:rPr>
            </w:pPr>
            <w:r>
              <w:rPr>
                <w:rFonts w:hint="eastAsia" w:ascii="宋体"/>
                <w:bCs/>
                <w:color w:val="auto"/>
                <w:sz w:val="24"/>
                <w:highlight w:val="none"/>
              </w:rPr>
              <w:t>响应报价</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0E897DC0">
            <w:pPr>
              <w:spacing w:line="360" w:lineRule="auto"/>
              <w:ind w:firstLine="2"/>
              <w:rPr>
                <w:rFonts w:hint="eastAsia" w:ascii="宋体"/>
                <w:bCs/>
                <w:color w:val="auto"/>
                <w:sz w:val="24"/>
                <w:highlight w:val="none"/>
                <w:lang w:val="en-US" w:eastAsia="zh-CN"/>
              </w:rPr>
            </w:pPr>
            <w:r>
              <w:rPr>
                <w:rFonts w:hint="eastAsia" w:ascii="宋体"/>
                <w:bCs/>
                <w:color w:val="auto"/>
                <w:sz w:val="24"/>
                <w:highlight w:val="none"/>
                <w:lang w:val="en-US" w:eastAsia="zh-CN"/>
              </w:rPr>
              <w:t>1.项目报价方式为折扣率报价，0＜折扣率≤100%，且该折扣率必须为固定数值，不接受区间报价（如80%～90%），响应报价不得出现上浮否则作无效报价。</w:t>
            </w:r>
          </w:p>
          <w:p w14:paraId="079BDF08">
            <w:pPr>
              <w:spacing w:line="360" w:lineRule="auto"/>
              <w:ind w:firstLine="2"/>
              <w:rPr>
                <w:rFonts w:hint="eastAsia" w:ascii="宋体"/>
                <w:bCs/>
                <w:color w:val="auto"/>
                <w:sz w:val="24"/>
                <w:highlight w:val="none"/>
                <w:lang w:val="en-US" w:eastAsia="zh-CN"/>
              </w:rPr>
            </w:pPr>
            <w:r>
              <w:rPr>
                <w:rFonts w:hint="eastAsia" w:ascii="宋体"/>
                <w:bCs/>
                <w:color w:val="auto"/>
                <w:sz w:val="24"/>
                <w:highlight w:val="none"/>
                <w:lang w:val="en-US" w:eastAsia="zh-CN"/>
              </w:rPr>
              <w:t>2.合同执行期内，不论成交供应商供应货物的来源何地均按成交折扣率结算，成交折扣率在合同期内不作调整。</w:t>
            </w:r>
          </w:p>
          <w:p w14:paraId="53D9B610">
            <w:pPr>
              <w:spacing w:line="360" w:lineRule="auto"/>
              <w:ind w:firstLine="2"/>
              <w:rPr>
                <w:rFonts w:ascii="宋体"/>
                <w:bCs/>
                <w:color w:val="auto"/>
                <w:sz w:val="24"/>
                <w:highlight w:val="none"/>
              </w:rPr>
            </w:pPr>
            <w:r>
              <w:rPr>
                <w:rFonts w:hint="eastAsia" w:ascii="宋体"/>
                <w:bCs/>
                <w:color w:val="auto"/>
                <w:sz w:val="24"/>
                <w:highlight w:val="none"/>
                <w:lang w:val="en-US" w:eastAsia="zh-CN"/>
              </w:rPr>
              <w:t>3.供应价格应包含货物的税费、加工、运输、检验、包装、仓储、送货、装卸、质保期保障等一切费用，采购人不再承担其他任何费用。</w:t>
            </w:r>
          </w:p>
        </w:tc>
      </w:tr>
      <w:tr w14:paraId="5B5F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959" w:type="dxa"/>
            <w:tcBorders>
              <w:top w:val="single" w:color="auto" w:sz="4" w:space="0"/>
              <w:left w:val="single" w:color="auto" w:sz="4" w:space="0"/>
              <w:right w:val="single" w:color="auto" w:sz="4" w:space="0"/>
            </w:tcBorders>
            <w:vAlign w:val="center"/>
          </w:tcPr>
          <w:p w14:paraId="42F42534">
            <w:pPr>
              <w:spacing w:line="360" w:lineRule="auto"/>
              <w:jc w:val="center"/>
              <w:rPr>
                <w:rFonts w:ascii="宋体"/>
                <w:bCs/>
                <w:color w:val="auto"/>
                <w:sz w:val="24"/>
                <w:highlight w:val="none"/>
              </w:rPr>
            </w:pPr>
            <w:r>
              <w:rPr>
                <w:rFonts w:hint="eastAsia" w:ascii="宋体"/>
                <w:bCs/>
                <w:color w:val="auto"/>
                <w:sz w:val="24"/>
                <w:highlight w:val="none"/>
              </w:rPr>
              <w:t>7</w:t>
            </w:r>
          </w:p>
        </w:tc>
        <w:tc>
          <w:tcPr>
            <w:tcW w:w="2043" w:type="dxa"/>
            <w:tcBorders>
              <w:top w:val="single" w:color="auto" w:sz="4" w:space="0"/>
              <w:left w:val="single" w:color="auto" w:sz="4" w:space="0"/>
              <w:right w:val="single" w:color="auto" w:sz="4" w:space="0"/>
            </w:tcBorders>
            <w:vAlign w:val="center"/>
          </w:tcPr>
          <w:p w14:paraId="3BBAE962">
            <w:pPr>
              <w:spacing w:line="360" w:lineRule="auto"/>
              <w:jc w:val="center"/>
              <w:rPr>
                <w:rFonts w:ascii="宋体"/>
                <w:bCs/>
                <w:color w:val="auto"/>
                <w:sz w:val="24"/>
                <w:highlight w:val="none"/>
              </w:rPr>
            </w:pPr>
            <w:r>
              <w:rPr>
                <w:rFonts w:hint="eastAsia" w:ascii="宋体"/>
                <w:bCs/>
                <w:color w:val="auto"/>
                <w:sz w:val="24"/>
                <w:highlight w:val="none"/>
                <w:lang w:val="en-US" w:eastAsia="zh-CN"/>
              </w:rPr>
              <w:t>磋商</w:t>
            </w:r>
            <w:r>
              <w:rPr>
                <w:rFonts w:hint="eastAsia" w:ascii="宋体"/>
                <w:bCs/>
                <w:color w:val="auto"/>
                <w:sz w:val="24"/>
                <w:highlight w:val="none"/>
              </w:rPr>
              <w:t>保证金</w:t>
            </w:r>
          </w:p>
        </w:tc>
        <w:tc>
          <w:tcPr>
            <w:tcW w:w="6507" w:type="dxa"/>
            <w:gridSpan w:val="2"/>
            <w:tcBorders>
              <w:top w:val="single" w:color="auto" w:sz="4" w:space="0"/>
              <w:left w:val="single" w:color="auto" w:sz="4" w:space="0"/>
              <w:right w:val="single" w:color="auto" w:sz="4" w:space="0"/>
            </w:tcBorders>
            <w:vAlign w:val="center"/>
          </w:tcPr>
          <w:p w14:paraId="00F44808">
            <w:pPr>
              <w:snapToGrid w:val="0"/>
              <w:spacing w:line="300" w:lineRule="exact"/>
              <w:ind w:left="361" w:hanging="361" w:hangingChars="150"/>
              <w:jc w:val="left"/>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不收取</w:t>
            </w:r>
          </w:p>
        </w:tc>
      </w:tr>
      <w:tr w14:paraId="5CDD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16FDD90B">
            <w:pPr>
              <w:spacing w:line="360" w:lineRule="auto"/>
              <w:jc w:val="center"/>
              <w:rPr>
                <w:rFonts w:ascii="宋体"/>
                <w:bCs/>
                <w:color w:val="auto"/>
                <w:sz w:val="24"/>
                <w:highlight w:val="none"/>
              </w:rPr>
            </w:pPr>
            <w:r>
              <w:rPr>
                <w:rFonts w:hint="eastAsia" w:ascii="宋体"/>
                <w:bCs/>
                <w:color w:val="auto"/>
                <w:sz w:val="24"/>
                <w:highlight w:val="none"/>
              </w:rPr>
              <w:t>8</w:t>
            </w:r>
          </w:p>
        </w:tc>
        <w:tc>
          <w:tcPr>
            <w:tcW w:w="2043" w:type="dxa"/>
            <w:tcBorders>
              <w:top w:val="single" w:color="auto" w:sz="4" w:space="0"/>
              <w:left w:val="single" w:color="auto" w:sz="4" w:space="0"/>
              <w:bottom w:val="single" w:color="auto" w:sz="4" w:space="0"/>
              <w:right w:val="single" w:color="auto" w:sz="4" w:space="0"/>
            </w:tcBorders>
            <w:vAlign w:val="center"/>
          </w:tcPr>
          <w:p w14:paraId="3E3BB85A">
            <w:pPr>
              <w:spacing w:line="360" w:lineRule="auto"/>
              <w:jc w:val="center"/>
              <w:rPr>
                <w:rFonts w:ascii="宋体"/>
                <w:color w:val="auto"/>
                <w:sz w:val="24"/>
                <w:highlight w:val="none"/>
              </w:rPr>
            </w:pPr>
            <w:r>
              <w:rPr>
                <w:rFonts w:hint="eastAsia" w:ascii="宋体"/>
                <w:bCs/>
                <w:color w:val="auto"/>
                <w:sz w:val="24"/>
                <w:highlight w:val="none"/>
              </w:rPr>
              <w:t>应答有效期</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24EA23E7">
            <w:pPr>
              <w:spacing w:line="360" w:lineRule="auto"/>
              <w:rPr>
                <w:rFonts w:ascii="宋体"/>
                <w:color w:val="auto"/>
                <w:sz w:val="24"/>
                <w:highlight w:val="none"/>
              </w:rPr>
            </w:pPr>
            <w:r>
              <w:rPr>
                <w:rFonts w:hint="eastAsia" w:ascii="宋体"/>
                <w:color w:val="auto"/>
                <w:sz w:val="24"/>
                <w:highlight w:val="none"/>
                <w:lang w:val="en-US" w:eastAsia="zh-CN"/>
              </w:rPr>
              <w:t>90天</w:t>
            </w:r>
            <w:r>
              <w:rPr>
                <w:rFonts w:hint="eastAsia" w:ascii="宋体"/>
                <w:color w:val="auto"/>
                <w:sz w:val="24"/>
                <w:highlight w:val="none"/>
              </w:rPr>
              <w:t>（从磋商评审日起计算）。</w:t>
            </w:r>
          </w:p>
        </w:tc>
      </w:tr>
      <w:tr w14:paraId="735E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509" w:type="dxa"/>
            <w:gridSpan w:val="4"/>
            <w:tcBorders>
              <w:top w:val="single" w:color="auto" w:sz="4" w:space="0"/>
              <w:left w:val="single" w:color="auto" w:sz="4" w:space="0"/>
              <w:bottom w:val="single" w:color="auto" w:sz="4" w:space="0"/>
              <w:right w:val="single" w:color="auto" w:sz="4" w:space="0"/>
            </w:tcBorders>
            <w:vAlign w:val="center"/>
          </w:tcPr>
          <w:p w14:paraId="54E7C0FA">
            <w:pPr>
              <w:spacing w:line="360" w:lineRule="auto"/>
              <w:jc w:val="center"/>
              <w:rPr>
                <w:rFonts w:ascii="宋体"/>
                <w:bCs/>
                <w:color w:val="auto"/>
                <w:sz w:val="24"/>
                <w:highlight w:val="none"/>
              </w:rPr>
            </w:pPr>
            <w:r>
              <w:rPr>
                <w:rFonts w:hint="eastAsia" w:ascii="宋体"/>
                <w:bCs/>
                <w:color w:val="auto"/>
                <w:sz w:val="24"/>
                <w:highlight w:val="none"/>
              </w:rPr>
              <w:t>应答文件准备与递交</w:t>
            </w:r>
          </w:p>
        </w:tc>
      </w:tr>
      <w:tr w14:paraId="3A1E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54E37DDC">
            <w:pPr>
              <w:spacing w:line="360" w:lineRule="auto"/>
              <w:jc w:val="center"/>
              <w:rPr>
                <w:rFonts w:ascii="宋体"/>
                <w:bCs/>
                <w:color w:val="auto"/>
                <w:sz w:val="24"/>
                <w:highlight w:val="none"/>
              </w:rPr>
            </w:pPr>
            <w:r>
              <w:rPr>
                <w:rFonts w:hint="eastAsia" w:ascii="宋体"/>
                <w:bCs/>
                <w:color w:val="auto"/>
                <w:sz w:val="24"/>
                <w:highlight w:val="none"/>
              </w:rPr>
              <w:t>9</w:t>
            </w:r>
          </w:p>
        </w:tc>
        <w:tc>
          <w:tcPr>
            <w:tcW w:w="2043" w:type="dxa"/>
            <w:tcBorders>
              <w:top w:val="single" w:color="auto" w:sz="4" w:space="0"/>
              <w:left w:val="single" w:color="auto" w:sz="4" w:space="0"/>
              <w:bottom w:val="single" w:color="auto" w:sz="4" w:space="0"/>
              <w:right w:val="single" w:color="auto" w:sz="4" w:space="0"/>
            </w:tcBorders>
            <w:vAlign w:val="center"/>
          </w:tcPr>
          <w:p w14:paraId="555BC47E">
            <w:pPr>
              <w:spacing w:line="360" w:lineRule="auto"/>
              <w:jc w:val="center"/>
              <w:rPr>
                <w:rFonts w:ascii="宋体"/>
                <w:bCs/>
                <w:color w:val="auto"/>
                <w:sz w:val="24"/>
                <w:highlight w:val="none"/>
              </w:rPr>
            </w:pPr>
            <w:r>
              <w:rPr>
                <w:rFonts w:hint="eastAsia" w:ascii="宋体"/>
                <w:bCs/>
                <w:color w:val="auto"/>
                <w:sz w:val="24"/>
                <w:highlight w:val="none"/>
              </w:rPr>
              <w:t>应答文件份数</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543BA773">
            <w:pPr>
              <w:spacing w:line="360" w:lineRule="auto"/>
              <w:rPr>
                <w:rFonts w:ascii="宋体"/>
                <w:color w:val="auto"/>
                <w:sz w:val="24"/>
                <w:highlight w:val="none"/>
              </w:rPr>
            </w:pPr>
            <w:r>
              <w:rPr>
                <w:rFonts w:hint="eastAsia" w:ascii="宋体"/>
                <w:color w:val="auto"/>
                <w:sz w:val="24"/>
                <w:highlight w:val="none"/>
              </w:rPr>
              <w:t>应答</w:t>
            </w:r>
            <w:r>
              <w:rPr>
                <w:rFonts w:hint="eastAsia" w:ascii="宋体"/>
                <w:color w:val="auto"/>
                <w:kern w:val="0"/>
                <w:sz w:val="24"/>
                <w:highlight w:val="none"/>
              </w:rPr>
              <w:t>文件正本1份、副本</w:t>
            </w:r>
            <w:r>
              <w:rPr>
                <w:rFonts w:hint="eastAsia" w:ascii="宋体"/>
                <w:color w:val="auto"/>
                <w:kern w:val="0"/>
                <w:sz w:val="24"/>
                <w:highlight w:val="none"/>
                <w:lang w:val="en-US" w:eastAsia="zh-CN"/>
              </w:rPr>
              <w:t>4</w:t>
            </w:r>
            <w:r>
              <w:rPr>
                <w:rFonts w:hint="eastAsia" w:ascii="宋体"/>
                <w:color w:val="auto"/>
                <w:kern w:val="0"/>
                <w:sz w:val="24"/>
                <w:highlight w:val="none"/>
              </w:rPr>
              <w:t>份及电子版1份（光盘）。</w:t>
            </w:r>
          </w:p>
        </w:tc>
      </w:tr>
      <w:tr w14:paraId="1735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09" w:type="dxa"/>
            <w:gridSpan w:val="4"/>
            <w:tcBorders>
              <w:top w:val="single" w:color="auto" w:sz="4" w:space="0"/>
              <w:left w:val="single" w:color="auto" w:sz="4" w:space="0"/>
              <w:bottom w:val="single" w:color="auto" w:sz="4" w:space="0"/>
              <w:right w:val="single" w:color="auto" w:sz="4" w:space="0"/>
            </w:tcBorders>
            <w:vAlign w:val="center"/>
          </w:tcPr>
          <w:p w14:paraId="4750E1DE">
            <w:pPr>
              <w:spacing w:line="360" w:lineRule="auto"/>
              <w:jc w:val="center"/>
              <w:rPr>
                <w:rFonts w:ascii="宋体"/>
                <w:color w:val="auto"/>
                <w:sz w:val="24"/>
                <w:highlight w:val="none"/>
              </w:rPr>
            </w:pPr>
            <w:r>
              <w:rPr>
                <w:rFonts w:hint="eastAsia" w:ascii="宋体"/>
                <w:color w:val="auto"/>
                <w:sz w:val="24"/>
                <w:highlight w:val="none"/>
              </w:rPr>
              <w:t>评审</w:t>
            </w:r>
          </w:p>
        </w:tc>
      </w:tr>
      <w:tr w14:paraId="2750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39354046">
            <w:pPr>
              <w:pStyle w:val="1376"/>
              <w:spacing w:line="360" w:lineRule="auto"/>
              <w:jc w:val="center"/>
              <w:rPr>
                <w:rFonts w:ascii="宋体"/>
                <w:bCs/>
                <w:color w:val="auto"/>
                <w:sz w:val="24"/>
                <w:szCs w:val="24"/>
                <w:highlight w:val="none"/>
              </w:rPr>
            </w:pPr>
            <w:r>
              <w:rPr>
                <w:rFonts w:hint="eastAsia" w:ascii="宋体"/>
                <w:bCs/>
                <w:color w:val="auto"/>
                <w:sz w:val="24"/>
                <w:szCs w:val="24"/>
                <w:highlight w:val="none"/>
              </w:rPr>
              <w:t>10</w:t>
            </w:r>
          </w:p>
        </w:tc>
        <w:tc>
          <w:tcPr>
            <w:tcW w:w="2043" w:type="dxa"/>
            <w:tcBorders>
              <w:top w:val="single" w:color="auto" w:sz="4" w:space="0"/>
              <w:left w:val="single" w:color="auto" w:sz="4" w:space="0"/>
              <w:bottom w:val="single" w:color="auto" w:sz="4" w:space="0"/>
              <w:right w:val="single" w:color="auto" w:sz="4" w:space="0"/>
            </w:tcBorders>
            <w:vAlign w:val="center"/>
          </w:tcPr>
          <w:p w14:paraId="30186729">
            <w:pPr>
              <w:spacing w:line="360" w:lineRule="auto"/>
              <w:jc w:val="center"/>
              <w:rPr>
                <w:rFonts w:ascii="宋体"/>
                <w:bCs/>
                <w:color w:val="auto"/>
                <w:sz w:val="24"/>
                <w:highlight w:val="none"/>
              </w:rPr>
            </w:pPr>
            <w:r>
              <w:rPr>
                <w:rFonts w:hint="eastAsia" w:ascii="宋体"/>
                <w:bCs/>
                <w:color w:val="auto"/>
                <w:sz w:val="24"/>
                <w:highlight w:val="none"/>
              </w:rPr>
              <w:t>落实政府采购政策</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6D03C7D5">
            <w:pPr>
              <w:tabs>
                <w:tab w:val="left" w:pos="1125"/>
              </w:tabs>
              <w:spacing w:line="360" w:lineRule="auto"/>
              <w:rPr>
                <w:rFonts w:ascii="宋体"/>
                <w:color w:val="auto"/>
                <w:sz w:val="24"/>
                <w:highlight w:val="none"/>
              </w:rPr>
            </w:pPr>
            <w:r>
              <w:rPr>
                <w:rFonts w:hint="eastAsia" w:ascii="宋体"/>
                <w:color w:val="auto"/>
                <w:sz w:val="24"/>
                <w:highlight w:val="none"/>
                <w:lang w:val="en-US" w:eastAsia="zh-CN"/>
              </w:rPr>
              <w:t>本项目整体专门面向中小企业采购。</w:t>
            </w:r>
            <w:r>
              <w:rPr>
                <w:rFonts w:hint="eastAsia" w:ascii="宋体"/>
                <w:color w:val="auto"/>
                <w:sz w:val="24"/>
                <w:highlight w:val="none"/>
                <w:lang w:eastAsia="zh-CN"/>
              </w:rPr>
              <w:t>（</w:t>
            </w:r>
            <w:r>
              <w:rPr>
                <w:rFonts w:hint="eastAsia" w:ascii="宋体"/>
                <w:color w:val="auto"/>
                <w:sz w:val="24"/>
                <w:highlight w:val="none"/>
              </w:rPr>
              <w:t>本项目</w:t>
            </w:r>
            <w:r>
              <w:rPr>
                <w:rFonts w:hint="eastAsia" w:ascii="宋体"/>
                <w:color w:val="auto"/>
                <w:sz w:val="24"/>
                <w:highlight w:val="none"/>
                <w:lang w:val="en-US" w:eastAsia="zh-CN"/>
              </w:rPr>
              <w:t>所属</w:t>
            </w:r>
            <w:r>
              <w:rPr>
                <w:rFonts w:hint="eastAsia" w:ascii="宋体"/>
                <w:color w:val="auto"/>
                <w:sz w:val="24"/>
                <w:highlight w:val="none"/>
              </w:rPr>
              <w:t>行业：</w:t>
            </w:r>
            <w:r>
              <w:rPr>
                <w:rFonts w:hint="eastAsia" w:ascii="宋体"/>
                <w:color w:val="auto"/>
                <w:sz w:val="24"/>
                <w:highlight w:val="none"/>
                <w:lang w:val="en-US" w:eastAsia="zh-CN"/>
              </w:rPr>
              <w:t>批发业</w:t>
            </w:r>
            <w:r>
              <w:rPr>
                <w:rFonts w:hint="eastAsia" w:ascii="宋体"/>
                <w:color w:val="auto"/>
                <w:sz w:val="24"/>
                <w:highlight w:val="none"/>
                <w:lang w:eastAsia="zh-CN"/>
              </w:rPr>
              <w:t>）</w:t>
            </w:r>
          </w:p>
        </w:tc>
      </w:tr>
      <w:tr w14:paraId="5021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72922056">
            <w:pPr>
              <w:spacing w:line="360" w:lineRule="auto"/>
              <w:jc w:val="center"/>
              <w:rPr>
                <w:rFonts w:ascii="宋体"/>
                <w:bCs/>
                <w:color w:val="auto"/>
                <w:sz w:val="24"/>
                <w:highlight w:val="none"/>
              </w:rPr>
            </w:pPr>
            <w:r>
              <w:rPr>
                <w:rFonts w:hint="eastAsia" w:ascii="宋体"/>
                <w:bCs/>
                <w:color w:val="auto"/>
                <w:sz w:val="24"/>
                <w:highlight w:val="none"/>
              </w:rPr>
              <w:t>11</w:t>
            </w:r>
          </w:p>
        </w:tc>
        <w:tc>
          <w:tcPr>
            <w:tcW w:w="2043" w:type="dxa"/>
            <w:tcBorders>
              <w:top w:val="single" w:color="auto" w:sz="4" w:space="0"/>
              <w:left w:val="single" w:color="auto" w:sz="4" w:space="0"/>
              <w:bottom w:val="single" w:color="auto" w:sz="4" w:space="0"/>
              <w:right w:val="single" w:color="auto" w:sz="4" w:space="0"/>
            </w:tcBorders>
            <w:vAlign w:val="center"/>
          </w:tcPr>
          <w:p w14:paraId="1AC507D1">
            <w:pPr>
              <w:spacing w:line="360" w:lineRule="auto"/>
              <w:jc w:val="center"/>
              <w:rPr>
                <w:rFonts w:ascii="宋体"/>
                <w:bCs/>
                <w:color w:val="auto"/>
                <w:sz w:val="24"/>
                <w:highlight w:val="none"/>
              </w:rPr>
            </w:pPr>
            <w:r>
              <w:rPr>
                <w:rFonts w:hint="eastAsia" w:ascii="宋体"/>
                <w:bCs/>
                <w:color w:val="auto"/>
                <w:sz w:val="24"/>
                <w:highlight w:val="none"/>
              </w:rPr>
              <w:t>评审方法</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55ED41D5">
            <w:pPr>
              <w:tabs>
                <w:tab w:val="left" w:pos="1125"/>
              </w:tabs>
              <w:spacing w:line="360" w:lineRule="auto"/>
              <w:rPr>
                <w:rFonts w:ascii="宋体"/>
                <w:color w:val="auto"/>
                <w:sz w:val="24"/>
                <w:highlight w:val="none"/>
              </w:rPr>
            </w:pPr>
            <w:r>
              <w:rPr>
                <w:rFonts w:hint="eastAsia" w:ascii="宋体"/>
                <w:color w:val="auto"/>
                <w:sz w:val="24"/>
                <w:highlight w:val="none"/>
              </w:rPr>
              <w:t>综合评分法</w:t>
            </w:r>
          </w:p>
        </w:tc>
      </w:tr>
      <w:tr w14:paraId="2587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1C7C02C7">
            <w:pPr>
              <w:spacing w:line="360" w:lineRule="auto"/>
              <w:jc w:val="center"/>
              <w:rPr>
                <w:rFonts w:ascii="宋体"/>
                <w:bCs/>
                <w:color w:val="auto"/>
                <w:sz w:val="24"/>
                <w:highlight w:val="none"/>
              </w:rPr>
            </w:pPr>
            <w:r>
              <w:rPr>
                <w:rFonts w:hint="eastAsia" w:ascii="宋体"/>
                <w:bCs/>
                <w:color w:val="auto"/>
                <w:sz w:val="24"/>
                <w:highlight w:val="none"/>
              </w:rPr>
              <w:t>12</w:t>
            </w:r>
          </w:p>
        </w:tc>
        <w:tc>
          <w:tcPr>
            <w:tcW w:w="2043" w:type="dxa"/>
            <w:tcBorders>
              <w:top w:val="single" w:color="auto" w:sz="4" w:space="0"/>
              <w:left w:val="single" w:color="auto" w:sz="4" w:space="0"/>
              <w:bottom w:val="single" w:color="auto" w:sz="4" w:space="0"/>
              <w:right w:val="single" w:color="auto" w:sz="4" w:space="0"/>
            </w:tcBorders>
            <w:vAlign w:val="center"/>
          </w:tcPr>
          <w:p w14:paraId="2804BD46">
            <w:pPr>
              <w:spacing w:line="360" w:lineRule="auto"/>
              <w:jc w:val="center"/>
              <w:rPr>
                <w:rFonts w:ascii="宋体"/>
                <w:bCs/>
                <w:color w:val="auto"/>
                <w:sz w:val="24"/>
                <w:highlight w:val="none"/>
              </w:rPr>
            </w:pPr>
            <w:r>
              <w:rPr>
                <w:rFonts w:hint="eastAsia" w:ascii="宋体"/>
                <w:bCs/>
                <w:color w:val="auto"/>
                <w:sz w:val="24"/>
                <w:highlight w:val="none"/>
              </w:rPr>
              <w:t>推荐成交原则</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491137F0">
            <w:pPr>
              <w:spacing w:line="360" w:lineRule="auto"/>
              <w:rPr>
                <w:rFonts w:ascii="宋体"/>
                <w:color w:val="auto"/>
                <w:sz w:val="24"/>
                <w:highlight w:val="none"/>
              </w:rPr>
            </w:pPr>
            <w:r>
              <w:rPr>
                <w:rFonts w:hint="eastAsia" w:ascii="宋体"/>
                <w:color w:val="auto"/>
                <w:sz w:val="24"/>
                <w:highlight w:val="none"/>
              </w:rPr>
              <w:t>按综合评分由高到低的排名顺序推荐成交候选人。</w:t>
            </w:r>
          </w:p>
        </w:tc>
      </w:tr>
      <w:tr w14:paraId="7612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509" w:type="dxa"/>
            <w:gridSpan w:val="4"/>
            <w:tcBorders>
              <w:top w:val="single" w:color="auto" w:sz="4" w:space="0"/>
              <w:left w:val="single" w:color="auto" w:sz="4" w:space="0"/>
              <w:bottom w:val="single" w:color="auto" w:sz="4" w:space="0"/>
              <w:right w:val="single" w:color="auto" w:sz="4" w:space="0"/>
            </w:tcBorders>
            <w:vAlign w:val="center"/>
          </w:tcPr>
          <w:p w14:paraId="7D969068">
            <w:pPr>
              <w:spacing w:line="360" w:lineRule="auto"/>
              <w:jc w:val="center"/>
              <w:rPr>
                <w:rFonts w:ascii="宋体"/>
                <w:color w:val="auto"/>
                <w:sz w:val="24"/>
                <w:highlight w:val="none"/>
              </w:rPr>
            </w:pPr>
            <w:r>
              <w:rPr>
                <w:rFonts w:hint="eastAsia" w:ascii="宋体"/>
                <w:color w:val="auto"/>
                <w:sz w:val="24"/>
                <w:highlight w:val="none"/>
              </w:rPr>
              <w:t>授予合同</w:t>
            </w:r>
          </w:p>
        </w:tc>
      </w:tr>
      <w:tr w14:paraId="43E7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11FE5FEF">
            <w:pPr>
              <w:spacing w:line="360" w:lineRule="auto"/>
              <w:jc w:val="center"/>
              <w:rPr>
                <w:rFonts w:ascii="宋体"/>
                <w:bCs/>
                <w:color w:val="auto"/>
                <w:sz w:val="24"/>
                <w:highlight w:val="none"/>
              </w:rPr>
            </w:pPr>
            <w:r>
              <w:rPr>
                <w:rFonts w:hint="eastAsia" w:ascii="宋体"/>
                <w:bCs/>
                <w:color w:val="auto"/>
                <w:sz w:val="24"/>
                <w:highlight w:val="none"/>
              </w:rPr>
              <w:t>13</w:t>
            </w:r>
          </w:p>
        </w:tc>
        <w:tc>
          <w:tcPr>
            <w:tcW w:w="2043" w:type="dxa"/>
            <w:tcBorders>
              <w:top w:val="single" w:color="auto" w:sz="4" w:space="0"/>
              <w:left w:val="single" w:color="auto" w:sz="4" w:space="0"/>
              <w:bottom w:val="single" w:color="auto" w:sz="4" w:space="0"/>
              <w:right w:val="single" w:color="auto" w:sz="4" w:space="0"/>
            </w:tcBorders>
            <w:vAlign w:val="center"/>
          </w:tcPr>
          <w:p w14:paraId="0C758C7E">
            <w:pPr>
              <w:spacing w:line="360" w:lineRule="auto"/>
              <w:jc w:val="center"/>
              <w:rPr>
                <w:rFonts w:ascii="宋体"/>
                <w:bCs/>
                <w:color w:val="auto"/>
                <w:sz w:val="24"/>
                <w:highlight w:val="none"/>
              </w:rPr>
            </w:pPr>
            <w:r>
              <w:rPr>
                <w:rFonts w:hint="eastAsia" w:ascii="宋体"/>
                <w:bCs/>
                <w:color w:val="auto"/>
                <w:sz w:val="24"/>
                <w:highlight w:val="none"/>
              </w:rPr>
              <w:t>履约保证金</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40F18830">
            <w:pPr>
              <w:spacing w:line="360" w:lineRule="auto"/>
              <w:rPr>
                <w:rFonts w:hint="default" w:ascii="宋体" w:eastAsia="宋体"/>
                <w:color w:val="auto"/>
                <w:sz w:val="24"/>
                <w:highlight w:val="none"/>
                <w:lang w:val="en-US" w:eastAsia="zh-CN"/>
              </w:rPr>
            </w:pPr>
            <w:r>
              <w:rPr>
                <w:rFonts w:hint="eastAsia" w:ascii="宋体"/>
                <w:color w:val="auto"/>
                <w:sz w:val="24"/>
                <w:highlight w:val="none"/>
                <w:lang w:val="en-US" w:eastAsia="zh-CN"/>
              </w:rPr>
              <w:t>/</w:t>
            </w:r>
          </w:p>
        </w:tc>
      </w:tr>
      <w:tr w14:paraId="304E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509" w:type="dxa"/>
            <w:gridSpan w:val="4"/>
            <w:tcBorders>
              <w:top w:val="single" w:color="auto" w:sz="4" w:space="0"/>
              <w:left w:val="single" w:color="auto" w:sz="4" w:space="0"/>
              <w:bottom w:val="single" w:color="auto" w:sz="4" w:space="0"/>
              <w:right w:val="single" w:color="auto" w:sz="4" w:space="0"/>
            </w:tcBorders>
            <w:vAlign w:val="center"/>
          </w:tcPr>
          <w:p w14:paraId="5952FA58">
            <w:pPr>
              <w:pStyle w:val="1374"/>
              <w:tabs>
                <w:tab w:val="left" w:pos="420"/>
                <w:tab w:val="clear" w:pos="0"/>
              </w:tabs>
              <w:spacing w:line="360" w:lineRule="auto"/>
              <w:jc w:val="center"/>
              <w:rPr>
                <w:bCs/>
                <w:color w:val="auto"/>
                <w:sz w:val="24"/>
                <w:szCs w:val="24"/>
                <w:highlight w:val="none"/>
              </w:rPr>
            </w:pPr>
            <w:r>
              <w:rPr>
                <w:rFonts w:hint="eastAsia"/>
                <w:bCs/>
                <w:color w:val="auto"/>
                <w:sz w:val="24"/>
                <w:szCs w:val="24"/>
                <w:highlight w:val="none"/>
              </w:rPr>
              <w:t>合同文本主要条款</w:t>
            </w:r>
          </w:p>
        </w:tc>
      </w:tr>
      <w:tr w14:paraId="7654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30CCDB3D">
            <w:pPr>
              <w:spacing w:line="360" w:lineRule="auto"/>
              <w:jc w:val="center"/>
              <w:rPr>
                <w:rFonts w:ascii="宋体"/>
                <w:bCs/>
                <w:color w:val="auto"/>
                <w:sz w:val="24"/>
                <w:highlight w:val="none"/>
              </w:rPr>
            </w:pPr>
            <w:r>
              <w:rPr>
                <w:rFonts w:hint="eastAsia" w:ascii="宋体"/>
                <w:bCs/>
                <w:color w:val="auto"/>
                <w:sz w:val="24"/>
                <w:highlight w:val="none"/>
              </w:rPr>
              <w:t>14</w:t>
            </w:r>
          </w:p>
        </w:tc>
        <w:tc>
          <w:tcPr>
            <w:tcW w:w="2043" w:type="dxa"/>
            <w:tcBorders>
              <w:top w:val="single" w:color="auto" w:sz="4" w:space="0"/>
              <w:left w:val="single" w:color="auto" w:sz="4" w:space="0"/>
              <w:bottom w:val="single" w:color="auto" w:sz="4" w:space="0"/>
              <w:right w:val="single" w:color="auto" w:sz="4" w:space="0"/>
            </w:tcBorders>
            <w:vAlign w:val="center"/>
          </w:tcPr>
          <w:p w14:paraId="142FF993">
            <w:pPr>
              <w:spacing w:line="360" w:lineRule="auto"/>
              <w:jc w:val="center"/>
              <w:rPr>
                <w:rFonts w:ascii="宋体"/>
                <w:bCs/>
                <w:color w:val="auto"/>
                <w:sz w:val="24"/>
                <w:highlight w:val="none"/>
              </w:rPr>
            </w:pPr>
            <w:r>
              <w:rPr>
                <w:rFonts w:hint="eastAsia" w:ascii="宋体"/>
                <w:bCs/>
                <w:color w:val="auto"/>
                <w:sz w:val="24"/>
                <w:highlight w:val="none"/>
              </w:rPr>
              <w:t>项目服务期限与地点</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701379D4">
            <w:pPr>
              <w:spacing w:line="360" w:lineRule="auto"/>
              <w:rPr>
                <w:rFonts w:ascii="宋体"/>
                <w:color w:val="auto"/>
                <w:sz w:val="24"/>
                <w:highlight w:val="none"/>
              </w:rPr>
            </w:pPr>
            <w:r>
              <w:rPr>
                <w:rFonts w:hint="eastAsia" w:ascii="宋体"/>
                <w:color w:val="auto"/>
                <w:sz w:val="24"/>
                <w:highlight w:val="none"/>
              </w:rPr>
              <w:t>1.项目服务期限：</w:t>
            </w:r>
            <w:r>
              <w:rPr>
                <w:rFonts w:hint="eastAsia" w:ascii="宋体"/>
                <w:color w:val="auto"/>
                <w:sz w:val="24"/>
                <w:highlight w:val="none"/>
                <w:lang w:val="en-US" w:eastAsia="zh-CN"/>
              </w:rPr>
              <w:t>自合同签订生效之日起一年或累计结算金额达到本项目采购预算金额时，以先到者为期限。</w:t>
            </w:r>
          </w:p>
          <w:p w14:paraId="6537A187">
            <w:pPr>
              <w:spacing w:line="360" w:lineRule="auto"/>
              <w:rPr>
                <w:rFonts w:ascii="宋体"/>
                <w:color w:val="auto"/>
                <w:sz w:val="24"/>
                <w:highlight w:val="none"/>
              </w:rPr>
            </w:pPr>
            <w:r>
              <w:rPr>
                <w:rFonts w:hint="eastAsia" w:ascii="宋体"/>
                <w:color w:val="auto"/>
                <w:sz w:val="24"/>
                <w:highlight w:val="none"/>
              </w:rPr>
              <w:t>2.履约地点：</w:t>
            </w:r>
            <w:r>
              <w:rPr>
                <w:rFonts w:hint="eastAsia" w:ascii="宋体"/>
                <w:color w:val="auto"/>
                <w:sz w:val="24"/>
                <w:highlight w:val="none"/>
                <w:lang w:val="en-US" w:eastAsia="zh-CN"/>
              </w:rPr>
              <w:t>采购人指定地点。</w:t>
            </w:r>
          </w:p>
        </w:tc>
      </w:tr>
      <w:tr w14:paraId="3B2A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2770D440">
            <w:pPr>
              <w:spacing w:line="360" w:lineRule="auto"/>
              <w:jc w:val="center"/>
              <w:rPr>
                <w:rFonts w:hint="eastAsia" w:ascii="宋体" w:hAnsi="Times New Roman" w:eastAsia="宋体" w:cs="Times New Roman"/>
                <w:bCs/>
                <w:color w:val="auto"/>
                <w:kern w:val="2"/>
                <w:sz w:val="24"/>
                <w:szCs w:val="24"/>
                <w:highlight w:val="none"/>
                <w:lang w:val="en-US" w:eastAsia="zh-CN" w:bidi="ar-SA"/>
              </w:rPr>
            </w:pPr>
            <w:r>
              <w:rPr>
                <w:rFonts w:hint="eastAsia" w:ascii="宋体"/>
                <w:bCs/>
                <w:color w:val="auto"/>
                <w:sz w:val="24"/>
                <w:highlight w:val="none"/>
              </w:rPr>
              <w:t>15</w:t>
            </w:r>
          </w:p>
        </w:tc>
        <w:tc>
          <w:tcPr>
            <w:tcW w:w="2043" w:type="dxa"/>
            <w:tcBorders>
              <w:top w:val="single" w:color="auto" w:sz="4" w:space="0"/>
              <w:left w:val="single" w:color="auto" w:sz="4" w:space="0"/>
              <w:bottom w:val="single" w:color="auto" w:sz="4" w:space="0"/>
              <w:right w:val="single" w:color="auto" w:sz="4" w:space="0"/>
            </w:tcBorders>
            <w:shd w:val="clear" w:color="auto" w:fill="auto"/>
            <w:vAlign w:val="center"/>
          </w:tcPr>
          <w:p w14:paraId="606A559B">
            <w:pPr>
              <w:spacing w:line="360" w:lineRule="auto"/>
              <w:jc w:val="center"/>
              <w:rPr>
                <w:rFonts w:hint="eastAsia" w:ascii="宋体" w:hAnsi="Times New Roman" w:eastAsia="宋体" w:cs="Times New Roman"/>
                <w:bCs/>
                <w:color w:val="auto"/>
                <w:kern w:val="2"/>
                <w:sz w:val="24"/>
                <w:szCs w:val="24"/>
                <w:highlight w:val="none"/>
                <w:lang w:val="en-US" w:eastAsia="zh-CN" w:bidi="ar-SA"/>
              </w:rPr>
            </w:pPr>
            <w:r>
              <w:rPr>
                <w:rFonts w:hint="eastAsia" w:ascii="宋体"/>
                <w:bCs/>
                <w:color w:val="auto"/>
                <w:sz w:val="24"/>
                <w:highlight w:val="none"/>
              </w:rPr>
              <w:t>合同签订要求</w:t>
            </w:r>
          </w:p>
        </w:tc>
        <w:tc>
          <w:tcPr>
            <w:tcW w:w="65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04C695">
            <w:pPr>
              <w:spacing w:line="360" w:lineRule="auto"/>
              <w:rPr>
                <w:rFonts w:hint="default" w:ascii="宋体" w:eastAsia="宋体"/>
                <w:color w:val="auto"/>
                <w:sz w:val="24"/>
                <w:highlight w:val="none"/>
                <w:lang w:val="en-US" w:eastAsia="zh-CN"/>
              </w:rPr>
            </w:pPr>
            <w:r>
              <w:rPr>
                <w:rFonts w:hint="eastAsia" w:ascii="宋体"/>
                <w:color w:val="auto"/>
                <w:sz w:val="24"/>
                <w:highlight w:val="none"/>
                <w:lang w:val="en-US" w:eastAsia="zh-CN"/>
              </w:rPr>
              <w:t>1.本次采购项目为中华人民共和国阳江海关和阳江海关综合技术服务中心共两个单位联合采购，成交供应商需与两个单位分别签订合同，月结算时与两个单位分别结算。</w:t>
            </w:r>
          </w:p>
          <w:p w14:paraId="772A3184">
            <w:pPr>
              <w:spacing w:line="360" w:lineRule="auto"/>
              <w:rPr>
                <w:rFonts w:hint="eastAsia" w:ascii="宋体" w:hAnsi="Times New Roman" w:eastAsia="宋体" w:cs="Times New Roman"/>
                <w:color w:val="auto"/>
                <w:kern w:val="2"/>
                <w:sz w:val="24"/>
                <w:szCs w:val="24"/>
                <w:highlight w:val="none"/>
                <w:lang w:val="en-US" w:eastAsia="zh-CN" w:bidi="ar-SA"/>
              </w:rPr>
            </w:pPr>
            <w:r>
              <w:rPr>
                <w:rFonts w:hint="eastAsia" w:ascii="宋体"/>
                <w:color w:val="auto"/>
                <w:sz w:val="24"/>
                <w:highlight w:val="none"/>
                <w:lang w:val="en-US" w:eastAsia="zh-CN"/>
              </w:rPr>
              <w:t>2.</w:t>
            </w:r>
            <w:r>
              <w:rPr>
                <w:rFonts w:hint="eastAsia" w:ascii="宋体"/>
                <w:color w:val="auto"/>
                <w:sz w:val="24"/>
                <w:highlight w:val="none"/>
              </w:rPr>
              <w:t>采购合同由成交供应商凭《成交通知书》与采购人双方签订，签订时间《成交通知书》发出之日起30日内。</w:t>
            </w:r>
          </w:p>
        </w:tc>
      </w:tr>
      <w:tr w14:paraId="3780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56BFDE0E">
            <w:pPr>
              <w:spacing w:line="360" w:lineRule="auto"/>
              <w:jc w:val="center"/>
              <w:rPr>
                <w:rFonts w:hint="default" w:ascii="宋体" w:hAnsi="Times New Roman" w:eastAsia="宋体" w:cs="Times New Roman"/>
                <w:bCs/>
                <w:color w:val="auto"/>
                <w:kern w:val="2"/>
                <w:sz w:val="24"/>
                <w:szCs w:val="24"/>
                <w:highlight w:val="none"/>
                <w:lang w:val="en-US" w:eastAsia="zh-CN" w:bidi="ar-SA"/>
              </w:rPr>
            </w:pPr>
            <w:r>
              <w:rPr>
                <w:rFonts w:hint="eastAsia" w:ascii="宋体"/>
                <w:bCs/>
                <w:color w:val="auto"/>
                <w:sz w:val="24"/>
                <w:highlight w:val="none"/>
                <w:lang w:val="en-US" w:eastAsia="zh-CN"/>
              </w:rPr>
              <w:t>16</w:t>
            </w:r>
          </w:p>
        </w:tc>
        <w:tc>
          <w:tcPr>
            <w:tcW w:w="2043" w:type="dxa"/>
            <w:tcBorders>
              <w:top w:val="single" w:color="auto" w:sz="4" w:space="0"/>
              <w:left w:val="single" w:color="auto" w:sz="4" w:space="0"/>
              <w:bottom w:val="single" w:color="auto" w:sz="4" w:space="0"/>
              <w:right w:val="single" w:color="auto" w:sz="4" w:space="0"/>
            </w:tcBorders>
            <w:vAlign w:val="center"/>
          </w:tcPr>
          <w:p w14:paraId="6B3CA6C9">
            <w:pPr>
              <w:tabs>
                <w:tab w:val="left" w:pos="1125"/>
              </w:tabs>
              <w:spacing w:line="360" w:lineRule="auto"/>
              <w:jc w:val="center"/>
              <w:rPr>
                <w:rFonts w:hint="eastAsia" w:ascii="宋体" w:eastAsia="宋体"/>
                <w:color w:val="auto"/>
                <w:sz w:val="24"/>
                <w:highlight w:val="none"/>
              </w:rPr>
            </w:pPr>
            <w:r>
              <w:rPr>
                <w:rFonts w:hint="eastAsia" w:ascii="宋体" w:eastAsia="宋体"/>
                <w:color w:val="auto"/>
                <w:sz w:val="24"/>
                <w:highlight w:val="none"/>
                <w:lang w:val="en-US" w:eastAsia="zh-CN"/>
              </w:rPr>
              <w:t>定价方式</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47D0FA7A">
            <w:pPr>
              <w:tabs>
                <w:tab w:val="left" w:pos="1125"/>
              </w:tabs>
              <w:spacing w:line="360" w:lineRule="auto"/>
              <w:rPr>
                <w:rFonts w:hint="eastAsia" w:ascii="宋体" w:eastAsia="宋体"/>
                <w:color w:val="auto"/>
                <w:sz w:val="24"/>
                <w:highlight w:val="none"/>
              </w:rPr>
            </w:pPr>
            <w:r>
              <w:rPr>
                <w:rFonts w:hint="eastAsia" w:ascii="宋体" w:eastAsia="宋体"/>
                <w:color w:val="auto"/>
                <w:sz w:val="24"/>
                <w:highlight w:val="none"/>
                <w:lang w:val="en-US" w:eastAsia="zh-CN"/>
              </w:rPr>
              <w:t>1.</w:t>
            </w:r>
            <w:r>
              <w:rPr>
                <w:rFonts w:hint="eastAsia" w:ascii="宋体" w:eastAsia="宋体"/>
                <w:color w:val="auto"/>
                <w:sz w:val="24"/>
                <w:highlight w:val="none"/>
              </w:rPr>
              <w:t>本项目价格以阳江市发展和改革局或政府部门每月在政府信息公开网站公布的价格为基准价格，未公布的品种根据双方共同协定的参考市场价为基准价。</w:t>
            </w:r>
            <w:r>
              <w:rPr>
                <w:rFonts w:hint="eastAsia" w:ascii="宋体" w:eastAsia="宋体"/>
                <w:color w:val="auto"/>
                <w:sz w:val="24"/>
                <w:highlight w:val="none"/>
                <w:lang w:val="en-US" w:eastAsia="zh-CN"/>
              </w:rPr>
              <w:t>肉类、蔬菜类、水果类、水产类参考采购人所在地周边（5公里范围内）肉菜市场的价格，粮油、调味料、厨房辅材用品类参考采购人所在地周边（5公里范围内）正规大型商超同类同质产品的价格。</w:t>
            </w:r>
            <w:r>
              <w:rPr>
                <w:rFonts w:hint="eastAsia" w:ascii="宋体" w:eastAsia="宋体"/>
                <w:color w:val="auto"/>
                <w:sz w:val="24"/>
                <w:highlight w:val="none"/>
              </w:rPr>
              <w:t>若仍无法参照同类或相近品种产品的，由</w:t>
            </w:r>
            <w:r>
              <w:rPr>
                <w:rFonts w:hint="eastAsia" w:ascii="宋体" w:eastAsia="宋体"/>
                <w:color w:val="auto"/>
                <w:sz w:val="24"/>
                <w:highlight w:val="none"/>
                <w:lang w:val="en-US" w:eastAsia="zh-CN"/>
              </w:rPr>
              <w:t>采购人与成交供应商</w:t>
            </w:r>
            <w:r>
              <w:rPr>
                <w:rFonts w:hint="eastAsia" w:ascii="宋体" w:eastAsia="宋体"/>
                <w:color w:val="auto"/>
                <w:sz w:val="24"/>
                <w:highlight w:val="none"/>
              </w:rPr>
              <w:t>双方共同调研的价格为基准价格（价格需由</w:t>
            </w:r>
            <w:r>
              <w:rPr>
                <w:rFonts w:hint="eastAsia" w:ascii="宋体" w:eastAsia="宋体"/>
                <w:color w:val="auto"/>
                <w:sz w:val="24"/>
                <w:highlight w:val="none"/>
                <w:lang w:val="en-US" w:eastAsia="zh-CN"/>
              </w:rPr>
              <w:t>采购人</w:t>
            </w:r>
            <w:r>
              <w:rPr>
                <w:rFonts w:hint="eastAsia" w:ascii="宋体" w:eastAsia="宋体"/>
                <w:color w:val="auto"/>
                <w:sz w:val="24"/>
                <w:highlight w:val="none"/>
              </w:rPr>
              <w:t>确认）。</w:t>
            </w:r>
          </w:p>
          <w:p w14:paraId="414F1006">
            <w:pPr>
              <w:tabs>
                <w:tab w:val="left" w:pos="1125"/>
              </w:tabs>
              <w:spacing w:line="360" w:lineRule="auto"/>
              <w:rPr>
                <w:rFonts w:hint="eastAsia" w:ascii="宋体" w:eastAsia="宋体"/>
                <w:color w:val="auto"/>
                <w:sz w:val="24"/>
                <w:highlight w:val="none"/>
              </w:rPr>
            </w:pPr>
            <w:r>
              <w:rPr>
                <w:rFonts w:hint="eastAsia" w:ascii="宋体" w:eastAsia="宋体"/>
                <w:color w:val="auto"/>
                <w:sz w:val="24"/>
                <w:highlight w:val="none"/>
                <w:lang w:val="en-US" w:eastAsia="zh-CN"/>
              </w:rPr>
              <w:t>2.当月结算价：各类产品货款=对应品种的政府基准价（或市场调查价或协商价）×当月实际供货数量×成交折扣率。</w:t>
            </w:r>
          </w:p>
        </w:tc>
      </w:tr>
      <w:tr w14:paraId="0F08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0314D8A0">
            <w:pPr>
              <w:spacing w:line="360" w:lineRule="auto"/>
              <w:jc w:val="center"/>
              <w:rPr>
                <w:rFonts w:hint="default" w:ascii="宋体" w:hAnsi="Times New Roman" w:eastAsia="宋体" w:cs="Times New Roman"/>
                <w:bCs/>
                <w:color w:val="auto"/>
                <w:kern w:val="2"/>
                <w:sz w:val="24"/>
                <w:szCs w:val="24"/>
                <w:highlight w:val="none"/>
                <w:lang w:val="en-US" w:eastAsia="zh-CN" w:bidi="ar-SA"/>
              </w:rPr>
            </w:pPr>
            <w:r>
              <w:rPr>
                <w:rFonts w:hint="eastAsia" w:ascii="宋体"/>
                <w:bCs/>
                <w:color w:val="auto"/>
                <w:sz w:val="24"/>
                <w:highlight w:val="none"/>
                <w:lang w:val="en-US" w:eastAsia="zh-CN"/>
              </w:rPr>
              <w:t>17</w:t>
            </w:r>
          </w:p>
        </w:tc>
        <w:tc>
          <w:tcPr>
            <w:tcW w:w="2043" w:type="dxa"/>
            <w:tcBorders>
              <w:top w:val="single" w:color="auto" w:sz="4" w:space="0"/>
              <w:left w:val="single" w:color="auto" w:sz="4" w:space="0"/>
              <w:bottom w:val="single" w:color="auto" w:sz="4" w:space="0"/>
              <w:right w:val="single" w:color="auto" w:sz="4" w:space="0"/>
            </w:tcBorders>
            <w:vAlign w:val="center"/>
          </w:tcPr>
          <w:p w14:paraId="1FD81F92">
            <w:pPr>
              <w:tabs>
                <w:tab w:val="left" w:pos="1125"/>
              </w:tabs>
              <w:spacing w:line="360" w:lineRule="auto"/>
              <w:jc w:val="center"/>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付款方式</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14AB721D">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1.由采购人每月结算一次。</w:t>
            </w:r>
          </w:p>
          <w:p w14:paraId="3D9872AD">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2.付款方式：成交供应商完成当月供货，采购人与成交供应商核对当月供货数量和金额无误后，采购人在收到成交供应商发票后的30个工作日内结清当月货款。</w:t>
            </w:r>
          </w:p>
          <w:p w14:paraId="2CE307A2">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注：</w:t>
            </w:r>
          </w:p>
          <w:p w14:paraId="49F5271A">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1）付款方式采用支票、银行汇付（含电汇）等形式。每期申请支付合同款项时，成交供应商须向采购人提供中华人民共和国大陆地区合法有效发票。</w:t>
            </w:r>
          </w:p>
          <w:p w14:paraId="61DF03C0">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2）合同付款时间为采购人向政府采购支付部门提出支付申请的时间（不含政府采购支付部门的审核和支付时间），在规定时间内提交付款申请即视为采购人已履行。</w:t>
            </w:r>
          </w:p>
          <w:p w14:paraId="24831DB1">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3）因财政集中支付延误时间不计算在内，成交供应商提交付款单据延迟或缺失的，采购人有权相应顺延付款期限；因出现不可抗力、国家政策调整等特殊情况影响合同款项支付进度的，双方应通过补充协议形式予以解决。</w:t>
            </w:r>
          </w:p>
        </w:tc>
      </w:tr>
      <w:tr w14:paraId="67B0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71947D8F">
            <w:pPr>
              <w:spacing w:line="360" w:lineRule="auto"/>
              <w:jc w:val="center"/>
              <w:rPr>
                <w:rFonts w:hint="eastAsia" w:ascii="宋体" w:hAnsi="Times New Roman" w:eastAsia="宋体" w:cs="Times New Roman"/>
                <w:bCs/>
                <w:color w:val="auto"/>
                <w:kern w:val="2"/>
                <w:sz w:val="24"/>
                <w:szCs w:val="24"/>
                <w:highlight w:val="none"/>
                <w:lang w:val="en-US" w:eastAsia="zh-CN" w:bidi="ar-SA"/>
              </w:rPr>
            </w:pPr>
            <w:r>
              <w:rPr>
                <w:rFonts w:hint="eastAsia" w:ascii="宋体"/>
                <w:bCs/>
                <w:color w:val="auto"/>
                <w:sz w:val="24"/>
                <w:highlight w:val="none"/>
              </w:rPr>
              <w:t>1</w:t>
            </w:r>
            <w:r>
              <w:rPr>
                <w:rFonts w:hint="eastAsia" w:ascii="宋体"/>
                <w:bCs/>
                <w:color w:val="auto"/>
                <w:sz w:val="24"/>
                <w:highlight w:val="none"/>
                <w:lang w:val="en-US" w:eastAsia="zh-CN"/>
              </w:rPr>
              <w:t>8</w:t>
            </w:r>
          </w:p>
        </w:tc>
        <w:tc>
          <w:tcPr>
            <w:tcW w:w="2043" w:type="dxa"/>
            <w:tcBorders>
              <w:top w:val="single" w:color="auto" w:sz="4" w:space="0"/>
              <w:left w:val="single" w:color="auto" w:sz="4" w:space="0"/>
              <w:bottom w:val="single" w:color="auto" w:sz="4" w:space="0"/>
              <w:right w:val="single" w:color="auto" w:sz="4" w:space="0"/>
            </w:tcBorders>
            <w:vAlign w:val="center"/>
          </w:tcPr>
          <w:p w14:paraId="6E37B745">
            <w:pPr>
              <w:tabs>
                <w:tab w:val="left" w:pos="1125"/>
              </w:tabs>
              <w:spacing w:line="360" w:lineRule="auto"/>
              <w:jc w:val="center"/>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验收要求</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7A346882">
            <w:pPr>
              <w:tabs>
                <w:tab w:val="left" w:pos="1125"/>
              </w:tabs>
              <w:spacing w:line="360" w:lineRule="auto"/>
              <w:rPr>
                <w:rFonts w:hint="eastAsia" w:ascii="宋体" w:eastAsia="宋体"/>
                <w:b/>
                <w:bCs/>
                <w:color w:val="auto"/>
                <w:sz w:val="24"/>
                <w:highlight w:val="none"/>
                <w:lang w:val="en-US" w:eastAsia="zh-CN"/>
              </w:rPr>
            </w:pPr>
            <w:r>
              <w:rPr>
                <w:rFonts w:hint="eastAsia" w:ascii="宋体" w:eastAsia="宋体"/>
                <w:b/>
                <w:bCs/>
                <w:color w:val="auto"/>
                <w:sz w:val="24"/>
                <w:highlight w:val="none"/>
                <w:lang w:val="en-US" w:eastAsia="zh-CN"/>
              </w:rPr>
              <w:t>（一）验收流程</w:t>
            </w:r>
          </w:p>
          <w:p w14:paraId="7F4F48D4">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1.做好卸货前的检查。双方验收人员卸货前应对场地和验收设备做好准备，并对物品的外观质量进行初步了解。食品运输必须采用符合卫生标准的外包装和运输工具，保持清洁和定期消毒，车厢内无不良气味、异味。冷藏、冷冻食品必须用专用冷藏、冷冻载具运输，在运输过程中保持安全的冷藏、冷冻温度，冷冻食品没有曾经解冻痕迹或软化现象，包装呈干爽状态。食品应清洁，无损伤、腐烂现象，外包装完整，无寄生虫或已受虫害现象。</w:t>
            </w:r>
          </w:p>
          <w:p w14:paraId="34ABC3F6">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2.采取现场验收的方式，双方验收人员应认真检查物资的质量，按索票——验证——抽查——过磅——入库的程序完成验收，成交供应商可提供原件的留原件，原件只有一份而无法提供给采购人的，查验原件后索取复印件留存。</w:t>
            </w:r>
          </w:p>
          <w:p w14:paraId="0D283AFE">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3.每批次每种货物均抽查验收，对数量在50箱以上（含50箱）的抽查率为10%,50箱以下的抽查率为15%。</w:t>
            </w:r>
          </w:p>
          <w:p w14:paraId="139F0AB4">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4.验收人员应按</w:t>
            </w:r>
            <w:r>
              <w:rPr>
                <w:rFonts w:hint="eastAsia" w:ascii="宋体"/>
                <w:color w:val="auto"/>
                <w:sz w:val="24"/>
                <w:highlight w:val="none"/>
                <w:lang w:val="en-US" w:eastAsia="zh-CN"/>
              </w:rPr>
              <w:t>磋商文件</w:t>
            </w:r>
            <w:r>
              <w:rPr>
                <w:rFonts w:hint="eastAsia" w:ascii="宋体" w:eastAsia="宋体"/>
                <w:color w:val="auto"/>
                <w:sz w:val="24"/>
                <w:highlight w:val="none"/>
                <w:lang w:val="en-US" w:eastAsia="zh-CN"/>
              </w:rPr>
              <w:t>产品质量要求对货物质量进行抽查，比较相关文件，以确保食品品种符合要求。如确定有所差异，应即刻通知送货人员。如发现食品有损坏的情况，应在相关单据上记录所有损坏情况。建议对货物损坏情况进行拍照并存档。对于食品验收的全部信息数据，采购人使用单位验收人员应和成交供应商送货人员一起确认，并保留双方签字单据。</w:t>
            </w:r>
          </w:p>
          <w:p w14:paraId="7DB8DDCF">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5.抽查发现食品安全质量问题的处理。</w:t>
            </w:r>
          </w:p>
          <w:p w14:paraId="04BAEA9E">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（1）对危及人身安全的食品质量问题采取零容忍措施，一经发现，当日所送同批次产品全部退货，如水产品中发现河豚鱼，发现腐败变质肉类等。</w:t>
            </w:r>
          </w:p>
          <w:p w14:paraId="00B241DA">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（2）若抽查未发现问题，而在加工食用前发现部分产品质量问题，应立即通知成交供应商，将问题产品退货处理。</w:t>
            </w:r>
          </w:p>
          <w:p w14:paraId="575469F2">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6.抽查发现资质证照不全问题的处理。</w:t>
            </w:r>
          </w:p>
          <w:p w14:paraId="7EAA0DFC">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（1）畜禽冻肉类整批产品无政府部门出具的动植物检疫合格证明的全部退货。</w:t>
            </w:r>
          </w:p>
          <w:p w14:paraId="0C12BFAA">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2）抽查发现部分畜禽冻肉类产品无政府部门出具的动植物检疫合格证明，加抽15%，两次抽查数50%以上没有动植物检疫合格证明的，全部退货；50%以下没有动植物检疫合格证明的，将无动植物检疫合格证明的物品退货。</w:t>
            </w:r>
          </w:p>
          <w:p w14:paraId="382EDB4C">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（3）整批产品有省地市出具的动植物检疫合格证明，随箱产品合格证不齐全的，加抽15%。两次抽查数50%以上没有产品合格证的，全部退货：50%以下没有产品合格证明的，将无产品合格证明的货物退货。</w:t>
            </w:r>
          </w:p>
          <w:p w14:paraId="63D80C74">
            <w:pPr>
              <w:tabs>
                <w:tab w:val="left" w:pos="1125"/>
              </w:tabs>
              <w:spacing w:line="360" w:lineRule="auto"/>
              <w:rPr>
                <w:rFonts w:hint="eastAsia" w:ascii="宋体" w:eastAsia="宋体"/>
                <w:b/>
                <w:bCs/>
                <w:color w:val="auto"/>
                <w:sz w:val="24"/>
                <w:highlight w:val="none"/>
                <w:lang w:val="en-US" w:eastAsia="zh-CN"/>
              </w:rPr>
            </w:pPr>
            <w:r>
              <w:rPr>
                <w:rFonts w:hint="eastAsia" w:ascii="宋体" w:eastAsia="宋体"/>
                <w:b/>
                <w:bCs/>
                <w:color w:val="auto"/>
                <w:sz w:val="24"/>
                <w:highlight w:val="none"/>
                <w:lang w:val="en-US" w:eastAsia="zh-CN"/>
              </w:rPr>
              <w:t>（二）退（补）货流程</w:t>
            </w:r>
          </w:p>
          <w:p w14:paraId="32E44091">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对不符合质量要求的货物由采购人使用单位验收人员提出清退，如双方对质量或重量有争议的可送具有检验资质的部门检测，同时留样备检。对数量不足或部分退货的，责成成交供应商以不影响伙食供应为前提尽快补送。在退货过程中，对有碍公共卫生安全的食品，应按国家有关规定处理或进行协议销毁，不退货给成交供应商。</w:t>
            </w:r>
          </w:p>
          <w:p w14:paraId="697F0CF0">
            <w:pPr>
              <w:tabs>
                <w:tab w:val="left" w:pos="1125"/>
              </w:tabs>
              <w:spacing w:line="360" w:lineRule="auto"/>
              <w:rPr>
                <w:rFonts w:hint="eastAsia" w:ascii="宋体" w:eastAsia="宋体"/>
                <w:b/>
                <w:bCs/>
                <w:color w:val="auto"/>
                <w:sz w:val="24"/>
                <w:highlight w:val="none"/>
                <w:lang w:val="en-US" w:eastAsia="zh-CN"/>
              </w:rPr>
            </w:pPr>
            <w:r>
              <w:rPr>
                <w:rFonts w:hint="eastAsia" w:ascii="宋体" w:eastAsia="宋体"/>
                <w:b/>
                <w:bCs/>
                <w:color w:val="auto"/>
                <w:sz w:val="24"/>
                <w:highlight w:val="none"/>
                <w:lang w:val="en-US" w:eastAsia="zh-CN"/>
              </w:rPr>
              <w:t>（三）验收记录</w:t>
            </w:r>
          </w:p>
          <w:p w14:paraId="6FFE5261">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对每次验收的货物均记录货物名称、数量，验收情况等事项，并由双方验收人员签名确认。</w:t>
            </w:r>
          </w:p>
          <w:p w14:paraId="4C8D29E0">
            <w:pPr>
              <w:tabs>
                <w:tab w:val="left" w:pos="1125"/>
              </w:tabs>
              <w:spacing w:line="360" w:lineRule="auto"/>
              <w:rPr>
                <w:rFonts w:hint="eastAsia" w:ascii="宋体" w:eastAsia="宋体"/>
                <w:b/>
                <w:bCs/>
                <w:color w:val="auto"/>
                <w:sz w:val="24"/>
                <w:highlight w:val="none"/>
                <w:lang w:val="en-US" w:eastAsia="zh-CN"/>
              </w:rPr>
            </w:pPr>
            <w:r>
              <w:rPr>
                <w:rFonts w:hint="eastAsia" w:ascii="宋体" w:eastAsia="宋体"/>
                <w:b/>
                <w:bCs/>
                <w:color w:val="auto"/>
                <w:sz w:val="24"/>
                <w:highlight w:val="none"/>
                <w:lang w:val="en-US" w:eastAsia="zh-CN"/>
              </w:rPr>
              <w:t>（四）验收条款</w:t>
            </w:r>
          </w:p>
          <w:p w14:paraId="2B185994">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1.成交供应商所提供的物品必须符合《中华人民共和国食品安全法》要求。</w:t>
            </w:r>
          </w:p>
          <w:p w14:paraId="00158C90">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2.成交供应商所提供的物品必须符合国家行业生产及经营标准，货真价实，均能提供相应批次的合格检验证明。</w:t>
            </w:r>
          </w:p>
          <w:p w14:paraId="3DDEDE1F">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3.成交供应商所提供的物品各项技术指标必须完全符合国家有关质量检测、环保标准及产品出厂标准。</w:t>
            </w:r>
          </w:p>
          <w:p w14:paraId="494335DD">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4.所有货物指标要符合国家强制性标准要求。</w:t>
            </w:r>
          </w:p>
          <w:p w14:paraId="3B1C0712">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5.成交供应商必须负责成交货物的运输、质量检测等工作，所产生的费用由成交供应商负责。</w:t>
            </w:r>
          </w:p>
          <w:p w14:paraId="02A740E7">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6.成交供应商配送货物必须按时按量按质送到采购人指定地点，并当面核实克重。验收完毕后，双方必须在货物收货清单（格式自定，但必须包括货物单价、数量、重量、合价等内容）上签名确认，货物收货清单作为采购人支付货款的依据之一。</w:t>
            </w:r>
          </w:p>
          <w:p w14:paraId="7E918933">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7.验收方式</w:t>
            </w:r>
          </w:p>
          <w:p w14:paraId="27B6D5BD">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称重验收与数量验收相结合的方法。</w:t>
            </w:r>
          </w:p>
          <w:p w14:paraId="53F57CB2">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8.成交供应商提供假冒伪劣、过期、变质的、有毒食品的，一经发现，除按采购人要求无条件退货或换货外，还应承担如下违约责任：</w:t>
            </w:r>
          </w:p>
          <w:p w14:paraId="51D0E7EE">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1）成交供应商提供假冒伪劣、过期、变质食品的，采购人有权要求无条件退货或换货，成交供应商将被处以当次供应食品货款2倍的违约金，违约金在供货结算款内扣除。</w:t>
            </w:r>
          </w:p>
          <w:p w14:paraId="4F6321DD">
            <w:pPr>
              <w:tabs>
                <w:tab w:val="left" w:pos="1125"/>
              </w:tabs>
              <w:spacing w:line="360" w:lineRule="auto"/>
              <w:rPr>
                <w:rFonts w:hint="eastAsia" w:ascii="宋体" w:eastAsia="宋体"/>
                <w:color w:val="auto"/>
                <w:sz w:val="24"/>
                <w:highlight w:val="none"/>
                <w:lang w:val="en-US" w:eastAsia="zh-CN"/>
              </w:rPr>
            </w:pPr>
            <w:r>
              <w:rPr>
                <w:rFonts w:hint="eastAsia" w:ascii="宋体" w:eastAsia="宋体"/>
                <w:color w:val="auto"/>
                <w:sz w:val="24"/>
                <w:highlight w:val="none"/>
                <w:lang w:val="en-US" w:eastAsia="zh-CN"/>
              </w:rPr>
              <w:t>2）成交供应商若提供有毒食品，造成食品安全事故的，经有关单位鉴定原因后，如确实为成交供应商提供的食品问题，视为成交供应商单方违约，成交供应商须负担全额的医药费及赔偿款项，采购人将取消该成交供应商的供货资格并解除合同，成交供应商同时承担相应的民事及刑事法律责任及放弃先诉抗辩权。</w:t>
            </w:r>
          </w:p>
        </w:tc>
      </w:tr>
      <w:tr w14:paraId="7210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570ECE34">
            <w:pPr>
              <w:spacing w:line="360" w:lineRule="auto"/>
              <w:jc w:val="center"/>
              <w:rPr>
                <w:rFonts w:hint="eastAsia" w:ascii="宋体" w:hAnsi="Times New Roman" w:eastAsia="宋体" w:cs="Times New Roman"/>
                <w:color w:val="auto"/>
                <w:kern w:val="2"/>
                <w:sz w:val="24"/>
                <w:szCs w:val="24"/>
                <w:highlight w:val="none"/>
                <w:lang w:val="en-US" w:eastAsia="zh-CN" w:bidi="ar-SA"/>
              </w:rPr>
            </w:pPr>
            <w:r>
              <w:rPr>
                <w:rFonts w:hint="eastAsia" w:ascii="宋体"/>
                <w:color w:val="auto"/>
                <w:sz w:val="24"/>
                <w:highlight w:val="none"/>
              </w:rPr>
              <w:t>1</w:t>
            </w:r>
            <w:r>
              <w:rPr>
                <w:rFonts w:hint="eastAsia" w:ascii="宋体"/>
                <w:color w:val="auto"/>
                <w:sz w:val="24"/>
                <w:highlight w:val="none"/>
                <w:lang w:val="en-US" w:eastAsia="zh-CN"/>
              </w:rPr>
              <w:t>9</w:t>
            </w:r>
          </w:p>
        </w:tc>
        <w:tc>
          <w:tcPr>
            <w:tcW w:w="2043" w:type="dxa"/>
            <w:tcBorders>
              <w:top w:val="single" w:color="auto" w:sz="4" w:space="0"/>
              <w:left w:val="single" w:color="auto" w:sz="4" w:space="0"/>
              <w:bottom w:val="single" w:color="auto" w:sz="4" w:space="0"/>
              <w:right w:val="single" w:color="auto" w:sz="4" w:space="0"/>
            </w:tcBorders>
            <w:vAlign w:val="center"/>
          </w:tcPr>
          <w:p w14:paraId="42A5DD73">
            <w:pPr>
              <w:spacing w:line="360" w:lineRule="auto"/>
              <w:jc w:val="center"/>
              <w:rPr>
                <w:rFonts w:ascii="宋体"/>
                <w:bCs/>
                <w:color w:val="auto"/>
                <w:sz w:val="24"/>
                <w:highlight w:val="none"/>
              </w:rPr>
            </w:pPr>
            <w:r>
              <w:rPr>
                <w:rFonts w:hint="eastAsia" w:ascii="宋体"/>
                <w:bCs/>
                <w:color w:val="auto"/>
                <w:sz w:val="24"/>
                <w:highlight w:val="none"/>
                <w:lang w:val="en-US" w:eastAsia="zh-CN"/>
              </w:rPr>
              <w:t>保密条款</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5C068F3F">
            <w:pPr>
              <w:spacing w:line="360" w:lineRule="auto"/>
              <w:ind w:firstLine="480" w:firstLineChars="200"/>
              <w:rPr>
                <w:rFonts w:ascii="宋体"/>
                <w:color w:val="auto"/>
                <w:sz w:val="24"/>
                <w:highlight w:val="none"/>
              </w:rPr>
            </w:pPr>
            <w:r>
              <w:rPr>
                <w:rFonts w:hint="eastAsia" w:ascii="宋体"/>
                <w:color w:val="auto"/>
                <w:sz w:val="24"/>
                <w:highlight w:val="none"/>
                <w:lang w:eastAsia="zh-CN"/>
              </w:rPr>
              <w:t>成交</w:t>
            </w:r>
            <w:r>
              <w:rPr>
                <w:rFonts w:hint="eastAsia" w:ascii="宋体"/>
                <w:color w:val="auto"/>
                <w:sz w:val="24"/>
                <w:highlight w:val="none"/>
              </w:rPr>
              <w:t>供应商在实施</w:t>
            </w:r>
            <w:r>
              <w:rPr>
                <w:rFonts w:hint="eastAsia" w:ascii="宋体"/>
                <w:color w:val="auto"/>
                <w:sz w:val="24"/>
                <w:highlight w:val="none"/>
                <w:lang w:eastAsia="zh-CN"/>
              </w:rPr>
              <w:t>食品食材</w:t>
            </w:r>
            <w:r>
              <w:rPr>
                <w:rFonts w:hint="eastAsia" w:ascii="宋体"/>
                <w:color w:val="auto"/>
                <w:sz w:val="24"/>
                <w:highlight w:val="none"/>
              </w:rPr>
              <w:t>供货期间，不得将供货的实际数量及供货地点泄露给其他企业或者个人，</w:t>
            </w:r>
            <w:r>
              <w:rPr>
                <w:rFonts w:hint="eastAsia" w:ascii="宋体"/>
                <w:color w:val="auto"/>
                <w:sz w:val="24"/>
                <w:highlight w:val="none"/>
                <w:lang w:eastAsia="zh-CN"/>
              </w:rPr>
              <w:t>成交</w:t>
            </w:r>
            <w:r>
              <w:rPr>
                <w:rFonts w:hint="eastAsia" w:ascii="宋体"/>
                <w:color w:val="auto"/>
                <w:sz w:val="24"/>
                <w:highlight w:val="none"/>
              </w:rPr>
              <w:t>供应商必须指派相对固定的人员完成</w:t>
            </w:r>
            <w:r>
              <w:rPr>
                <w:rFonts w:hint="eastAsia" w:ascii="宋体"/>
                <w:color w:val="auto"/>
                <w:sz w:val="24"/>
                <w:highlight w:val="none"/>
                <w:lang w:eastAsia="zh-CN"/>
              </w:rPr>
              <w:t>食品食材</w:t>
            </w:r>
            <w:r>
              <w:rPr>
                <w:rFonts w:hint="eastAsia" w:ascii="宋体"/>
                <w:color w:val="auto"/>
                <w:sz w:val="24"/>
                <w:highlight w:val="none"/>
              </w:rPr>
              <w:t>配送服务，并需将配送人员的详细资料报采购人备案，配送人员必须遵纪守法、品行良好，无违法犯罪记录。如需要更换配送人员必须事先通知采购人并将其个人资料送采购人审批，审批合格者才能更换。</w:t>
            </w:r>
          </w:p>
        </w:tc>
      </w:tr>
      <w:tr w14:paraId="0FA5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1416AE6D">
            <w:pPr>
              <w:spacing w:line="360" w:lineRule="auto"/>
              <w:jc w:val="center"/>
              <w:rPr>
                <w:rFonts w:hint="default" w:ascii="宋体" w:eastAsia="宋体"/>
                <w:color w:val="auto"/>
                <w:sz w:val="24"/>
                <w:highlight w:val="none"/>
                <w:lang w:val="en-US" w:eastAsia="zh-CN"/>
              </w:rPr>
            </w:pPr>
            <w:r>
              <w:rPr>
                <w:rFonts w:hint="eastAsia" w:ascii="宋体"/>
                <w:color w:val="auto"/>
                <w:sz w:val="24"/>
                <w:highlight w:val="none"/>
                <w:lang w:val="en-US" w:eastAsia="zh-CN"/>
              </w:rPr>
              <w:t>20</w:t>
            </w:r>
          </w:p>
        </w:tc>
        <w:tc>
          <w:tcPr>
            <w:tcW w:w="2043" w:type="dxa"/>
            <w:tcBorders>
              <w:top w:val="single" w:color="auto" w:sz="4" w:space="0"/>
              <w:left w:val="single" w:color="auto" w:sz="4" w:space="0"/>
              <w:bottom w:val="single" w:color="auto" w:sz="4" w:space="0"/>
              <w:right w:val="single" w:color="auto" w:sz="4" w:space="0"/>
            </w:tcBorders>
            <w:vAlign w:val="center"/>
          </w:tcPr>
          <w:p w14:paraId="289B25E8">
            <w:pPr>
              <w:spacing w:line="360" w:lineRule="auto"/>
              <w:jc w:val="center"/>
              <w:rPr>
                <w:rFonts w:hint="eastAsia" w:ascii="宋体"/>
                <w:bCs/>
                <w:color w:val="auto"/>
                <w:sz w:val="24"/>
                <w:highlight w:val="none"/>
                <w:lang w:val="en-US" w:eastAsia="zh-CN"/>
              </w:rPr>
            </w:pPr>
            <w:r>
              <w:rPr>
                <w:rFonts w:hint="eastAsia" w:ascii="宋体"/>
                <w:bCs/>
                <w:color w:val="auto"/>
                <w:sz w:val="24"/>
                <w:highlight w:val="none"/>
                <w:lang w:val="en-US" w:eastAsia="zh-CN"/>
              </w:rPr>
              <w:t>售后服务要求</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1BF458AE">
            <w:pPr>
              <w:spacing w:line="360" w:lineRule="auto"/>
              <w:ind w:firstLine="480" w:firstLineChars="200"/>
              <w:rPr>
                <w:rFonts w:hint="eastAsia" w:ascii="宋体"/>
                <w:color w:val="auto"/>
                <w:sz w:val="24"/>
                <w:highlight w:val="none"/>
                <w:lang w:eastAsia="zh-CN"/>
              </w:rPr>
            </w:pPr>
            <w:r>
              <w:rPr>
                <w:rFonts w:hint="eastAsia" w:ascii="宋体"/>
                <w:color w:val="auto"/>
                <w:sz w:val="24"/>
                <w:highlight w:val="none"/>
                <w:lang w:eastAsia="zh-CN"/>
              </w:rPr>
              <w:t>非采购人人为原因而出现</w:t>
            </w:r>
            <w:r>
              <w:rPr>
                <w:rFonts w:hint="eastAsia" w:ascii="宋体"/>
                <w:color w:val="auto"/>
                <w:sz w:val="24"/>
                <w:highlight w:val="none"/>
                <w:lang w:val="en-US" w:eastAsia="zh-CN"/>
              </w:rPr>
              <w:t>的</w:t>
            </w:r>
            <w:r>
              <w:rPr>
                <w:rFonts w:hint="eastAsia" w:ascii="宋体"/>
                <w:color w:val="auto"/>
                <w:sz w:val="24"/>
                <w:highlight w:val="none"/>
                <w:lang w:eastAsia="zh-CN"/>
              </w:rPr>
              <w:t>产品质量问题，由成交供应商负责包换或包退，并承担因此而产生的一切费用，由于成交供应商所供货物质量原因（以有资质的质检部门</w:t>
            </w:r>
            <w:r>
              <w:rPr>
                <w:rFonts w:hint="eastAsia" w:ascii="宋体"/>
                <w:color w:val="auto"/>
                <w:sz w:val="24"/>
                <w:highlight w:val="none"/>
                <w:lang w:val="en-US" w:eastAsia="zh-CN"/>
              </w:rPr>
              <w:t>出具</w:t>
            </w:r>
            <w:r>
              <w:rPr>
                <w:rFonts w:hint="eastAsia" w:ascii="宋体"/>
                <w:color w:val="auto"/>
                <w:sz w:val="24"/>
                <w:highlight w:val="none"/>
                <w:lang w:eastAsia="zh-CN"/>
              </w:rPr>
              <w:t>的质检报告为准），造成采购</w:t>
            </w:r>
            <w:r>
              <w:rPr>
                <w:rFonts w:hint="eastAsia" w:ascii="宋体"/>
                <w:color w:val="auto"/>
                <w:sz w:val="24"/>
                <w:highlight w:val="none"/>
                <w:lang w:val="en-US" w:eastAsia="zh-CN"/>
              </w:rPr>
              <w:t>人</w:t>
            </w:r>
            <w:r>
              <w:rPr>
                <w:rFonts w:hint="eastAsia" w:ascii="宋体"/>
                <w:color w:val="auto"/>
                <w:sz w:val="24"/>
                <w:highlight w:val="none"/>
                <w:lang w:eastAsia="zh-CN"/>
              </w:rPr>
              <w:t>用餐人员发生食品安全事故的，成交供应商须承担所有相关的经济赔偿及法律责任。</w:t>
            </w:r>
          </w:p>
        </w:tc>
      </w:tr>
      <w:tr w14:paraId="2B7C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2DC94B84">
            <w:pPr>
              <w:spacing w:line="360" w:lineRule="auto"/>
              <w:jc w:val="center"/>
              <w:rPr>
                <w:rFonts w:hint="default" w:ascii="宋体"/>
                <w:color w:val="auto"/>
                <w:sz w:val="24"/>
                <w:highlight w:val="none"/>
                <w:lang w:val="en-US" w:eastAsia="zh-CN"/>
              </w:rPr>
            </w:pPr>
            <w:r>
              <w:rPr>
                <w:rFonts w:hint="eastAsia" w:ascii="宋体"/>
                <w:color w:val="auto"/>
                <w:sz w:val="24"/>
                <w:highlight w:val="none"/>
                <w:lang w:val="en-US" w:eastAsia="zh-CN"/>
              </w:rPr>
              <w:t>21</w:t>
            </w:r>
          </w:p>
        </w:tc>
        <w:tc>
          <w:tcPr>
            <w:tcW w:w="2043" w:type="dxa"/>
            <w:tcBorders>
              <w:top w:val="single" w:color="auto" w:sz="4" w:space="0"/>
              <w:left w:val="single" w:color="auto" w:sz="4" w:space="0"/>
              <w:bottom w:val="single" w:color="auto" w:sz="4" w:space="0"/>
              <w:right w:val="single" w:color="auto" w:sz="4" w:space="0"/>
            </w:tcBorders>
            <w:vAlign w:val="center"/>
          </w:tcPr>
          <w:p w14:paraId="3A716CEA">
            <w:pPr>
              <w:spacing w:line="360" w:lineRule="auto"/>
              <w:jc w:val="center"/>
              <w:rPr>
                <w:rFonts w:hint="eastAsia" w:ascii="宋体"/>
                <w:bCs/>
                <w:color w:val="auto"/>
                <w:sz w:val="24"/>
                <w:highlight w:val="none"/>
                <w:lang w:val="en-US" w:eastAsia="zh-CN"/>
              </w:rPr>
            </w:pPr>
            <w:r>
              <w:rPr>
                <w:rFonts w:hint="eastAsia" w:ascii="宋体"/>
                <w:bCs/>
                <w:color w:val="auto"/>
                <w:sz w:val="24"/>
                <w:highlight w:val="none"/>
                <w:lang w:val="en-US" w:eastAsia="zh-CN"/>
              </w:rPr>
              <w:t>退出机制及相关说明</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51F527D7">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1.成交供应商按要求与采购人签订配送合同、安全承诺书、廉洁承诺书，在服务期满后自然退出。</w:t>
            </w:r>
          </w:p>
          <w:p w14:paraId="165E8341">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2.服务期内，若成交供应商配送服务与采购文件中各配送品种质量要求不一致，或提供不合格产品或不按要求配送，或延迟配送影响正常就餐的，按照退出机制或合同约定方式，采购人有权单方面解除合同，如造成责任事故的一并追究其法律责任。</w:t>
            </w:r>
          </w:p>
          <w:p w14:paraId="3DCE51BA">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3.在磋商过程中以弄虚作假等欺诈手段成交，或配送过程中由于情况变化不再符合准入条件的，采购人有权立即取消其配送资格，解除合同。</w:t>
            </w:r>
          </w:p>
          <w:p w14:paraId="37F51D8A">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4.按合同约定供货，成交供应商不得转包、分包，否则采购人有权单方面终止合同，成交供应商承担由此给采购人造成一切损失。</w:t>
            </w:r>
          </w:p>
          <w:p w14:paraId="4563A6AA">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5.成交供应商在合同期间未按配送要求提供食材等商品，影响正常就餐的，三次及以上者，采购人有权立即取消其配送资格，解除合同。</w:t>
            </w:r>
          </w:p>
          <w:p w14:paraId="0771A7E6">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6.确认为成交供应商而造成的食物中毒事故或配送食品质量引发重大食品安全事故，采购人有权立即取消其配送资格并解除合同，对所造成的损失有权追究成交供应商的法律责任和经济赔偿。</w:t>
            </w:r>
          </w:p>
          <w:p w14:paraId="72D4566B">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7.服务期内，如成交供应商不能按时、保质、保量供货，则由采购人的相关人员自行采购，成交供应商必须赔偿采购人由此造成的经济损失和承担责任。</w:t>
            </w:r>
          </w:p>
          <w:p w14:paraId="5C1EE427">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8.成交供应商在合同履行期间内保证对采购人的货物供应，若成交后反悔或不能履行合同的，采购人有权单方终止合同，由此产生的一切经济损失由成交供应商自行承担。</w:t>
            </w:r>
          </w:p>
          <w:p w14:paraId="56C10D4A">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9.供应商拟派在该项目中的项目负责人和其他工作人员需有食品配送相关工作经验。成交供应商在后期项目实施过程中更换项目负责人或其他工作人员需经采购人同意，未经采购人同意擅自更换项目负责人或其他人员的，食材不符合国家标准的，发现一次采购人有权终止合同。</w:t>
            </w:r>
          </w:p>
          <w:p w14:paraId="325979C7">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10.考核机制：</w:t>
            </w:r>
          </w:p>
          <w:p w14:paraId="1A80E18E">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1）签订合同前，采购人对成交供应商进行现场考察，如考察发现成交供应商在磋商过程中以弄虚作假等欺诈手段成交的、或存在与响应文件提供内容不一致的，采购人有权立即取消其成交资格，并追究成交供应商的法律责任。</w:t>
            </w:r>
          </w:p>
          <w:p w14:paraId="53A048A7">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（2）采购人采取月度形式对成交供应商的服务和管理情况进行考核：</w:t>
            </w:r>
          </w:p>
          <w:p w14:paraId="0441B552">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①月度考核内容见附件1：《供应商配送服务质量考核评价表》，并根据考核的结果、反映的情况，要求成交供应商进行相应的整改；</w:t>
            </w:r>
          </w:p>
          <w:p w14:paraId="67AD1F58">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②《供应商配送服务质量考核评价表》总得分低于95分，采购人将出具书面通知要求成交供应商进行整改。连续两个月考评分低于85分，采购人将当月结算款的10%作为违约金。连续3个月考评分低于85分，甲方将无条件解除合同，如对甲方造成损失由成交供应商负责。</w:t>
            </w:r>
          </w:p>
          <w:p w14:paraId="274313F3">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③若因采购人原因导致成交供应商无法按《供应商配送服务质量考核评价表》完成工作的项目，该服务评价项目评价不予扣分。</w:t>
            </w:r>
          </w:p>
          <w:p w14:paraId="4C916DE9">
            <w:pPr>
              <w:spacing w:line="360" w:lineRule="auto"/>
              <w:rPr>
                <w:rFonts w:hint="eastAsia" w:ascii="宋体"/>
                <w:color w:val="auto"/>
                <w:sz w:val="24"/>
                <w:highlight w:val="none"/>
                <w:lang w:eastAsia="zh-CN"/>
              </w:rPr>
            </w:pPr>
            <w:r>
              <w:rPr>
                <w:rFonts w:hint="eastAsia" w:ascii="宋体"/>
                <w:color w:val="auto"/>
                <w:sz w:val="24"/>
                <w:highlight w:val="none"/>
                <w:lang w:val="en-US" w:eastAsia="zh-CN"/>
              </w:rPr>
              <w:t>④因特殊情况，成交供应商不能达到考核项要求的，应在考核前7天书面告知采购人，经采购人管理部门同意后，可免除对应项的考核扣分。</w:t>
            </w:r>
          </w:p>
        </w:tc>
      </w:tr>
      <w:tr w14:paraId="721D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74F3365B">
            <w:pPr>
              <w:spacing w:line="360" w:lineRule="auto"/>
              <w:jc w:val="center"/>
              <w:rPr>
                <w:rFonts w:hint="default" w:ascii="宋体"/>
                <w:color w:val="auto"/>
                <w:sz w:val="24"/>
                <w:highlight w:val="none"/>
                <w:lang w:val="en-US" w:eastAsia="zh-CN"/>
              </w:rPr>
            </w:pPr>
            <w:r>
              <w:rPr>
                <w:rFonts w:hint="eastAsia" w:ascii="宋体"/>
                <w:color w:val="auto"/>
                <w:sz w:val="24"/>
                <w:highlight w:val="none"/>
                <w:lang w:val="en-US" w:eastAsia="zh-CN"/>
              </w:rPr>
              <w:t>22</w:t>
            </w:r>
          </w:p>
        </w:tc>
        <w:tc>
          <w:tcPr>
            <w:tcW w:w="2043" w:type="dxa"/>
            <w:tcBorders>
              <w:top w:val="single" w:color="auto" w:sz="4" w:space="0"/>
              <w:left w:val="single" w:color="auto" w:sz="4" w:space="0"/>
              <w:bottom w:val="single" w:color="auto" w:sz="4" w:space="0"/>
              <w:right w:val="single" w:color="auto" w:sz="4" w:space="0"/>
            </w:tcBorders>
            <w:vAlign w:val="center"/>
          </w:tcPr>
          <w:p w14:paraId="263B914D">
            <w:pPr>
              <w:spacing w:line="360" w:lineRule="auto"/>
              <w:jc w:val="center"/>
              <w:rPr>
                <w:rFonts w:hint="eastAsia" w:ascii="宋体"/>
                <w:bCs/>
                <w:color w:val="auto"/>
                <w:sz w:val="24"/>
                <w:highlight w:val="none"/>
                <w:lang w:val="en-US" w:eastAsia="zh-CN"/>
              </w:rPr>
            </w:pPr>
            <w:r>
              <w:rPr>
                <w:rFonts w:hint="eastAsia" w:ascii="宋体"/>
                <w:bCs/>
                <w:color w:val="auto"/>
                <w:sz w:val="24"/>
                <w:highlight w:val="none"/>
                <w:lang w:val="en-US" w:eastAsia="zh-CN"/>
              </w:rPr>
              <w:t>其他要求</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62DF3051">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1.成交供应商需严格履行采购文件和合同的约定，保质、保量、按时配送食品。</w:t>
            </w:r>
          </w:p>
          <w:p w14:paraId="1E179189">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2.成交供应商在食品配送过程中如出现需向采购人支付经济赔偿金、违约金等相关费用时，采购人可直接在每月食品配送结算金额中扣除。</w:t>
            </w:r>
          </w:p>
          <w:p w14:paraId="4F569FF0">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3.合同期内，如因成交供应商违约原因被采购人解除合同或成交供应商单方解除合同时，经济赔偿金、违约罚金等相关费用按如下处理：</w:t>
            </w:r>
          </w:p>
          <w:p w14:paraId="6D9CE3DB">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（1）如成交供应商出现需向采购人支付经济赔偿金、违约罚金等相关费用，而食品配送结算金额不足以支付时，差额部分成交供应商需3日内另行向采购人支付。</w:t>
            </w:r>
          </w:p>
          <w:p w14:paraId="257C5F85">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（2）成交供应商因违反合同约定给采购人造成重大影响或经济损失或未及时向采购人支付经济赔偿金、违约金等相关费用差额的，采购人保留法律追究权。</w:t>
            </w:r>
          </w:p>
          <w:p w14:paraId="77EEC084">
            <w:pPr>
              <w:spacing w:line="360" w:lineRule="auto"/>
              <w:rPr>
                <w:rFonts w:hint="eastAsia" w:ascii="宋体"/>
                <w:color w:val="auto"/>
                <w:sz w:val="24"/>
                <w:highlight w:val="none"/>
                <w:lang w:val="en-US" w:eastAsia="zh-CN"/>
              </w:rPr>
            </w:pPr>
            <w:r>
              <w:rPr>
                <w:rFonts w:hint="eastAsia" w:ascii="宋体"/>
                <w:color w:val="auto"/>
                <w:sz w:val="24"/>
                <w:highlight w:val="none"/>
                <w:lang w:val="en-US" w:eastAsia="zh-CN"/>
              </w:rPr>
              <w:t>4.供应商拟派在该项目中的项目负责人和其他工作人员需有食品配送相关工作经验。成交供应商在后期项目实施过程中更换项目负责人或其他工作人员需经采购人同意，未经采购人同意擅自更换项目负责人或其他人员的，食材不符合国家标准的，发现一次采购人有权终止合同。</w:t>
            </w:r>
          </w:p>
        </w:tc>
      </w:tr>
      <w:tr w14:paraId="42A3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14:paraId="0F928D61">
            <w:pPr>
              <w:spacing w:line="360" w:lineRule="auto"/>
              <w:jc w:val="center"/>
              <w:rPr>
                <w:rFonts w:hint="default" w:ascii="宋体" w:eastAsia="宋体"/>
                <w:color w:val="auto"/>
                <w:sz w:val="24"/>
                <w:highlight w:val="none"/>
                <w:lang w:val="en-US" w:eastAsia="zh-CN"/>
              </w:rPr>
            </w:pPr>
            <w:r>
              <w:rPr>
                <w:rFonts w:hint="eastAsia" w:ascii="宋体"/>
                <w:color w:val="auto"/>
                <w:sz w:val="24"/>
                <w:highlight w:val="none"/>
                <w:lang w:val="en-US" w:eastAsia="zh-CN"/>
              </w:rPr>
              <w:t>23</w:t>
            </w:r>
          </w:p>
        </w:tc>
        <w:tc>
          <w:tcPr>
            <w:tcW w:w="2043" w:type="dxa"/>
            <w:tcBorders>
              <w:top w:val="single" w:color="auto" w:sz="4" w:space="0"/>
              <w:left w:val="single" w:color="auto" w:sz="4" w:space="0"/>
              <w:bottom w:val="single" w:color="auto" w:sz="4" w:space="0"/>
              <w:right w:val="single" w:color="auto" w:sz="4" w:space="0"/>
            </w:tcBorders>
            <w:vAlign w:val="center"/>
          </w:tcPr>
          <w:p w14:paraId="6818E5E1">
            <w:pPr>
              <w:spacing w:line="360" w:lineRule="auto"/>
              <w:jc w:val="center"/>
              <w:rPr>
                <w:rFonts w:ascii="宋体"/>
                <w:color w:val="auto"/>
                <w:sz w:val="24"/>
                <w:highlight w:val="none"/>
              </w:rPr>
            </w:pPr>
            <w:r>
              <w:rPr>
                <w:rFonts w:hint="eastAsia" w:ascii="宋体"/>
                <w:color w:val="auto"/>
                <w:sz w:val="24"/>
                <w:highlight w:val="none"/>
              </w:rPr>
              <w:t>是否允许转包、分包</w:t>
            </w:r>
          </w:p>
        </w:tc>
        <w:tc>
          <w:tcPr>
            <w:tcW w:w="6507" w:type="dxa"/>
            <w:gridSpan w:val="2"/>
            <w:tcBorders>
              <w:top w:val="single" w:color="auto" w:sz="4" w:space="0"/>
              <w:left w:val="single" w:color="auto" w:sz="4" w:space="0"/>
              <w:bottom w:val="single" w:color="auto" w:sz="4" w:space="0"/>
              <w:right w:val="single" w:color="auto" w:sz="4" w:space="0"/>
            </w:tcBorders>
            <w:vAlign w:val="center"/>
          </w:tcPr>
          <w:p w14:paraId="1CD94DA3">
            <w:pPr>
              <w:spacing w:line="360" w:lineRule="auto"/>
              <w:rPr>
                <w:rFonts w:ascii="宋体"/>
                <w:color w:val="auto"/>
                <w:sz w:val="24"/>
                <w:highlight w:val="none"/>
              </w:rPr>
            </w:pPr>
            <w:r>
              <w:rPr>
                <w:rFonts w:hint="eastAsia" w:ascii="宋体"/>
                <w:color w:val="auto"/>
                <w:sz w:val="24"/>
                <w:szCs w:val="24"/>
                <w:highlight w:val="none"/>
              </w:rPr>
              <w:t>本项目不允许转包</w:t>
            </w:r>
            <w:r>
              <w:rPr>
                <w:rFonts w:hint="eastAsia" w:ascii="宋体"/>
                <w:color w:val="auto"/>
                <w:sz w:val="24"/>
                <w:szCs w:val="24"/>
                <w:highlight w:val="none"/>
                <w:lang w:eastAsia="zh-CN"/>
              </w:rPr>
              <w:t>、</w:t>
            </w:r>
            <w:r>
              <w:rPr>
                <w:rFonts w:hint="eastAsia" w:ascii="宋体"/>
                <w:color w:val="auto"/>
                <w:sz w:val="24"/>
                <w:highlight w:val="none"/>
              </w:rPr>
              <w:t>分包。</w:t>
            </w:r>
          </w:p>
        </w:tc>
      </w:tr>
      <w:tr w14:paraId="59F3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9" w:type="dxa"/>
            <w:gridSpan w:val="4"/>
            <w:tcBorders>
              <w:top w:val="single" w:color="auto" w:sz="4" w:space="0"/>
              <w:left w:val="single" w:color="auto" w:sz="4" w:space="0"/>
              <w:bottom w:val="single" w:color="auto" w:sz="4" w:space="0"/>
              <w:right w:val="single" w:color="auto" w:sz="4" w:space="0"/>
            </w:tcBorders>
            <w:vAlign w:val="center"/>
          </w:tcPr>
          <w:p w14:paraId="068FDBD2">
            <w:pPr>
              <w:pStyle w:val="30"/>
              <w:spacing w:line="360" w:lineRule="auto"/>
              <w:jc w:val="center"/>
              <w:rPr>
                <w:rFonts w:ascii="宋体"/>
                <w:color w:val="auto"/>
                <w:sz w:val="24"/>
                <w:highlight w:val="none"/>
              </w:rPr>
            </w:pPr>
            <w:bookmarkStart w:id="58" w:name="_Toc70687140"/>
            <w:bookmarkStart w:id="59" w:name="_Toc53722841"/>
            <w:bookmarkStart w:id="60" w:name="_Toc249525160"/>
            <w:bookmarkStart w:id="61" w:name="_Toc256342144"/>
            <w:bookmarkStart w:id="62" w:name="_Toc249515391"/>
            <w:bookmarkStart w:id="63" w:name="_Toc499711044"/>
            <w:bookmarkStart w:id="64" w:name="_Toc177817335"/>
            <w:bookmarkStart w:id="65" w:name="_Toc500747190"/>
            <w:bookmarkStart w:id="66" w:name="_Toc232176273"/>
            <w:bookmarkStart w:id="67" w:name="_Toc385992326"/>
            <w:bookmarkStart w:id="68" w:name="_Toc177995474"/>
            <w:bookmarkStart w:id="69" w:name="_Toc184043013"/>
            <w:bookmarkStart w:id="70" w:name="_Toc177189236"/>
            <w:bookmarkStart w:id="71" w:name="_Toc232395213"/>
            <w:bookmarkStart w:id="72" w:name="_Toc492955416"/>
            <w:bookmarkStart w:id="73" w:name="_Toc503063423"/>
            <w:bookmarkStart w:id="74" w:name="_Toc389620165"/>
            <w:bookmarkStart w:id="75" w:name="_Toc230099798"/>
            <w:bookmarkStart w:id="76" w:name="_Toc496324580"/>
            <w:bookmarkStart w:id="77" w:name="_Toc176882543"/>
            <w:bookmarkStart w:id="78" w:name="_Toc249515279"/>
            <w:bookmarkStart w:id="79" w:name="_Toc499711885"/>
            <w:bookmarkStart w:id="80" w:name="_Toc500746967"/>
            <w:bookmarkStart w:id="81" w:name="_Toc500747063"/>
            <w:bookmarkStart w:id="82" w:name="_Toc230013633"/>
            <w:bookmarkStart w:id="83" w:name="_Toc230583542"/>
            <w:r>
              <w:rPr>
                <w:rFonts w:hint="eastAsia" w:ascii="宋体"/>
                <w:color w:val="auto"/>
                <w:sz w:val="24"/>
                <w:highlight w:val="none"/>
              </w:rPr>
              <w:t>其他</w:t>
            </w:r>
          </w:p>
        </w:tc>
      </w:tr>
      <w:tr w14:paraId="195C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restart"/>
            <w:tcBorders>
              <w:top w:val="single" w:color="auto" w:sz="4" w:space="0"/>
              <w:left w:val="single" w:color="auto" w:sz="4" w:space="0"/>
              <w:right w:val="single" w:color="auto" w:sz="4" w:space="0"/>
            </w:tcBorders>
            <w:vAlign w:val="center"/>
          </w:tcPr>
          <w:p w14:paraId="4E3AE3B8">
            <w:pPr>
              <w:spacing w:line="360" w:lineRule="auto"/>
              <w:jc w:val="center"/>
              <w:rPr>
                <w:rFonts w:hint="default" w:ascii="宋体" w:eastAsia="宋体"/>
                <w:color w:val="auto"/>
                <w:sz w:val="24"/>
                <w:highlight w:val="none"/>
                <w:lang w:val="en-US" w:eastAsia="zh-CN"/>
              </w:rPr>
            </w:pPr>
            <w:r>
              <w:rPr>
                <w:rFonts w:hint="eastAsia" w:ascii="宋体"/>
                <w:color w:val="auto"/>
                <w:sz w:val="24"/>
                <w:highlight w:val="none"/>
                <w:lang w:val="en-US" w:eastAsia="zh-CN"/>
              </w:rPr>
              <w:t>24</w:t>
            </w:r>
          </w:p>
        </w:tc>
        <w:tc>
          <w:tcPr>
            <w:tcW w:w="2043" w:type="dxa"/>
            <w:vMerge w:val="restart"/>
            <w:tcBorders>
              <w:top w:val="single" w:color="auto" w:sz="4" w:space="0"/>
              <w:left w:val="single" w:color="auto" w:sz="4" w:space="0"/>
              <w:right w:val="single" w:color="auto" w:sz="4" w:space="0"/>
            </w:tcBorders>
            <w:vAlign w:val="center"/>
          </w:tcPr>
          <w:p w14:paraId="2A2E1DDA">
            <w:pPr>
              <w:spacing w:line="300" w:lineRule="exact"/>
              <w:jc w:val="center"/>
              <w:rPr>
                <w:rFonts w:ascii="宋体" w:hAnsi="宋体"/>
                <w:b/>
                <w:color w:val="auto"/>
                <w:sz w:val="24"/>
                <w:highlight w:val="none"/>
              </w:rPr>
            </w:pPr>
            <w:r>
              <w:rPr>
                <w:rFonts w:hint="eastAsia" w:ascii="宋体" w:hAnsi="宋体"/>
                <w:b/>
                <w:color w:val="auto"/>
                <w:sz w:val="24"/>
                <w:highlight w:val="none"/>
              </w:rPr>
              <w:t>成交服务费</w:t>
            </w:r>
          </w:p>
          <w:p w14:paraId="0E379BE5">
            <w:pPr>
              <w:spacing w:line="360" w:lineRule="auto"/>
              <w:rPr>
                <w:rFonts w:ascii="宋体"/>
                <w:color w:val="auto"/>
                <w:sz w:val="24"/>
                <w:highlight w:val="none"/>
              </w:rPr>
            </w:pPr>
            <w:r>
              <w:rPr>
                <w:rFonts w:hint="eastAsia" w:ascii="宋体" w:hAnsi="宋体"/>
                <w:bCs/>
                <w:color w:val="auto"/>
                <w:sz w:val="24"/>
                <w:highlight w:val="none"/>
              </w:rPr>
              <w:t>（以银行转账、电汇方式提交）</w:t>
            </w:r>
          </w:p>
        </w:tc>
        <w:tc>
          <w:tcPr>
            <w:tcW w:w="1921" w:type="dxa"/>
            <w:tcBorders>
              <w:top w:val="single" w:color="auto" w:sz="4" w:space="0"/>
              <w:left w:val="single" w:color="auto" w:sz="4" w:space="0"/>
              <w:bottom w:val="single" w:color="auto" w:sz="4" w:space="0"/>
              <w:right w:val="single" w:color="auto" w:sz="4" w:space="0"/>
            </w:tcBorders>
            <w:vAlign w:val="center"/>
          </w:tcPr>
          <w:p w14:paraId="7C42F2AC">
            <w:pPr>
              <w:spacing w:line="300" w:lineRule="exact"/>
              <w:jc w:val="center"/>
              <w:rPr>
                <w:rFonts w:ascii="宋体" w:hAnsi="宋体"/>
                <w:bCs/>
                <w:color w:val="auto"/>
                <w:sz w:val="24"/>
                <w:highlight w:val="none"/>
              </w:rPr>
            </w:pPr>
            <w:r>
              <w:rPr>
                <w:rFonts w:hint="eastAsia" w:ascii="宋体" w:hAnsi="宋体"/>
                <w:color w:val="auto"/>
                <w:sz w:val="24"/>
                <w:highlight w:val="none"/>
              </w:rPr>
              <w:t>收费标准：</w:t>
            </w:r>
          </w:p>
        </w:tc>
        <w:tc>
          <w:tcPr>
            <w:tcW w:w="4586" w:type="dxa"/>
            <w:tcBorders>
              <w:top w:val="single" w:color="auto" w:sz="4" w:space="0"/>
              <w:left w:val="single" w:color="auto" w:sz="4" w:space="0"/>
              <w:bottom w:val="single" w:color="auto" w:sz="4" w:space="0"/>
              <w:right w:val="single" w:color="auto" w:sz="4" w:space="0"/>
            </w:tcBorders>
            <w:vAlign w:val="center"/>
          </w:tcPr>
          <w:p w14:paraId="0FD58771">
            <w:pPr>
              <w:widowControl/>
              <w:spacing w:line="300" w:lineRule="exact"/>
              <w:jc w:val="left"/>
              <w:rPr>
                <w:rFonts w:ascii="宋体" w:hAnsi="宋体"/>
                <w:bCs/>
                <w:color w:val="auto"/>
                <w:sz w:val="24"/>
                <w:highlight w:val="none"/>
              </w:rPr>
            </w:pPr>
            <w:r>
              <w:rPr>
                <w:rFonts w:hint="eastAsia" w:ascii="宋体" w:hAnsi="宋体"/>
                <w:bCs/>
                <w:color w:val="auto"/>
                <w:sz w:val="24"/>
                <w:highlight w:val="none"/>
              </w:rPr>
              <w:t>参考发改价格[2011]534号文的规定</w:t>
            </w:r>
            <w:r>
              <w:rPr>
                <w:rFonts w:hint="eastAsia" w:ascii="宋体" w:hAnsi="宋体"/>
                <w:color w:val="auto"/>
                <w:sz w:val="24"/>
                <w:highlight w:val="none"/>
              </w:rPr>
              <w:t>，招标代理服务费按差额定率累进法计算</w:t>
            </w:r>
            <w:r>
              <w:rPr>
                <w:rFonts w:hint="eastAsia" w:ascii="宋体" w:hAnsi="宋体"/>
                <w:color w:val="auto"/>
                <w:sz w:val="24"/>
                <w:highlight w:val="none"/>
                <w:lang w:eastAsia="zh-CN"/>
              </w:rPr>
              <w:t>，</w:t>
            </w:r>
            <w:r>
              <w:rPr>
                <w:rFonts w:hint="eastAsia" w:ascii="宋体" w:hAnsi="宋体"/>
                <w:color w:val="auto"/>
                <w:sz w:val="24"/>
                <w:highlight w:val="none"/>
              </w:rPr>
              <w:t>按标准总费用*80%计算</w:t>
            </w:r>
            <w:r>
              <w:rPr>
                <w:rFonts w:hint="eastAsia" w:ascii="宋体" w:hAnsi="宋体"/>
                <w:color w:val="auto"/>
                <w:sz w:val="24"/>
                <w:highlight w:val="none"/>
                <w:lang w:eastAsia="zh-CN"/>
              </w:rPr>
              <w:t>。</w:t>
            </w:r>
            <w:r>
              <w:rPr>
                <w:rFonts w:hint="eastAsia" w:ascii="宋体" w:hAnsi="宋体"/>
                <w:color w:val="auto"/>
                <w:sz w:val="24"/>
                <w:highlight w:val="none"/>
              </w:rPr>
              <w:t>成交服务费由成交供应商在领取成交通知书前以银行转账方式一次性支付。</w:t>
            </w:r>
          </w:p>
        </w:tc>
      </w:tr>
      <w:tr w14:paraId="1E32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continue"/>
            <w:tcBorders>
              <w:left w:val="single" w:color="auto" w:sz="4" w:space="0"/>
              <w:right w:val="single" w:color="auto" w:sz="4" w:space="0"/>
            </w:tcBorders>
            <w:vAlign w:val="center"/>
          </w:tcPr>
          <w:p w14:paraId="1FCAE3C3">
            <w:pPr>
              <w:spacing w:line="360" w:lineRule="auto"/>
              <w:jc w:val="center"/>
              <w:rPr>
                <w:rFonts w:ascii="宋体"/>
                <w:color w:val="auto"/>
                <w:sz w:val="24"/>
                <w:highlight w:val="none"/>
              </w:rPr>
            </w:pPr>
          </w:p>
        </w:tc>
        <w:tc>
          <w:tcPr>
            <w:tcW w:w="2043" w:type="dxa"/>
            <w:vMerge w:val="continue"/>
            <w:tcBorders>
              <w:left w:val="single" w:color="auto" w:sz="4" w:space="0"/>
              <w:right w:val="single" w:color="auto" w:sz="4" w:space="0"/>
            </w:tcBorders>
            <w:vAlign w:val="center"/>
          </w:tcPr>
          <w:p w14:paraId="2F4842BE">
            <w:pPr>
              <w:spacing w:line="360" w:lineRule="auto"/>
              <w:rPr>
                <w:rFonts w:ascii="宋体" w:hAnsi="宋体"/>
                <w:bCs/>
                <w:color w:val="auto"/>
                <w:sz w:val="24"/>
                <w:highlight w:val="none"/>
              </w:rPr>
            </w:pPr>
          </w:p>
        </w:tc>
        <w:tc>
          <w:tcPr>
            <w:tcW w:w="1921" w:type="dxa"/>
            <w:tcBorders>
              <w:top w:val="single" w:color="auto" w:sz="4" w:space="0"/>
              <w:left w:val="single" w:color="auto" w:sz="4" w:space="0"/>
              <w:bottom w:val="single" w:color="auto" w:sz="4" w:space="0"/>
              <w:right w:val="single" w:color="auto" w:sz="4" w:space="0"/>
            </w:tcBorders>
            <w:vAlign w:val="center"/>
          </w:tcPr>
          <w:p w14:paraId="3494AAC8">
            <w:pPr>
              <w:spacing w:line="300" w:lineRule="exact"/>
              <w:jc w:val="center"/>
              <w:rPr>
                <w:rFonts w:ascii="宋体" w:hAnsi="宋体"/>
                <w:bCs/>
                <w:color w:val="auto"/>
                <w:sz w:val="24"/>
                <w:highlight w:val="none"/>
              </w:rPr>
            </w:pPr>
            <w:r>
              <w:rPr>
                <w:rFonts w:hint="eastAsia" w:ascii="宋体" w:hAnsi="宋体"/>
                <w:bCs/>
                <w:color w:val="auto"/>
                <w:sz w:val="24"/>
                <w:highlight w:val="none"/>
              </w:rPr>
              <w:t>开户名称</w:t>
            </w:r>
          </w:p>
        </w:tc>
        <w:tc>
          <w:tcPr>
            <w:tcW w:w="4586" w:type="dxa"/>
            <w:tcBorders>
              <w:top w:val="single" w:color="auto" w:sz="4" w:space="0"/>
              <w:left w:val="single" w:color="auto" w:sz="4" w:space="0"/>
              <w:bottom w:val="single" w:color="auto" w:sz="4" w:space="0"/>
              <w:right w:val="single" w:color="auto" w:sz="4" w:space="0"/>
            </w:tcBorders>
            <w:vAlign w:val="center"/>
          </w:tcPr>
          <w:p w14:paraId="39DF5208">
            <w:pPr>
              <w:widowControl/>
              <w:spacing w:line="300" w:lineRule="exact"/>
              <w:jc w:val="left"/>
              <w:rPr>
                <w:rFonts w:ascii="宋体" w:hAnsi="宋体"/>
                <w:bCs/>
                <w:color w:val="auto"/>
                <w:sz w:val="24"/>
                <w:highlight w:val="none"/>
              </w:rPr>
            </w:pPr>
            <w:r>
              <w:rPr>
                <w:rFonts w:hint="eastAsia" w:ascii="宋体" w:hAnsi="宋体"/>
                <w:b/>
                <w:bCs/>
                <w:color w:val="auto"/>
                <w:sz w:val="24"/>
                <w:highlight w:val="none"/>
              </w:rPr>
              <w:t>广东业信采购招标有限公司</w:t>
            </w:r>
          </w:p>
        </w:tc>
      </w:tr>
      <w:tr w14:paraId="1213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continue"/>
            <w:tcBorders>
              <w:left w:val="single" w:color="auto" w:sz="4" w:space="0"/>
              <w:right w:val="single" w:color="auto" w:sz="4" w:space="0"/>
            </w:tcBorders>
            <w:vAlign w:val="center"/>
          </w:tcPr>
          <w:p w14:paraId="7911B98D">
            <w:pPr>
              <w:spacing w:line="360" w:lineRule="auto"/>
              <w:jc w:val="center"/>
              <w:rPr>
                <w:rFonts w:ascii="宋体"/>
                <w:color w:val="auto"/>
                <w:sz w:val="24"/>
                <w:highlight w:val="none"/>
              </w:rPr>
            </w:pPr>
          </w:p>
        </w:tc>
        <w:tc>
          <w:tcPr>
            <w:tcW w:w="2043" w:type="dxa"/>
            <w:vMerge w:val="continue"/>
            <w:tcBorders>
              <w:left w:val="single" w:color="auto" w:sz="4" w:space="0"/>
              <w:right w:val="single" w:color="auto" w:sz="4" w:space="0"/>
            </w:tcBorders>
            <w:vAlign w:val="center"/>
          </w:tcPr>
          <w:p w14:paraId="56171B01">
            <w:pPr>
              <w:spacing w:line="360" w:lineRule="auto"/>
              <w:rPr>
                <w:rFonts w:ascii="宋体" w:hAnsi="宋体"/>
                <w:bCs/>
                <w:color w:val="auto"/>
                <w:sz w:val="24"/>
                <w:highlight w:val="none"/>
              </w:rPr>
            </w:pPr>
          </w:p>
        </w:tc>
        <w:tc>
          <w:tcPr>
            <w:tcW w:w="1921" w:type="dxa"/>
            <w:tcBorders>
              <w:top w:val="single" w:color="auto" w:sz="4" w:space="0"/>
              <w:left w:val="single" w:color="auto" w:sz="4" w:space="0"/>
              <w:bottom w:val="single" w:color="auto" w:sz="4" w:space="0"/>
              <w:right w:val="single" w:color="auto" w:sz="4" w:space="0"/>
            </w:tcBorders>
            <w:vAlign w:val="center"/>
          </w:tcPr>
          <w:p w14:paraId="18D45233">
            <w:pPr>
              <w:spacing w:line="300" w:lineRule="exact"/>
              <w:jc w:val="center"/>
              <w:rPr>
                <w:rFonts w:ascii="宋体" w:hAnsi="宋体"/>
                <w:bCs/>
                <w:color w:val="auto"/>
                <w:sz w:val="24"/>
                <w:highlight w:val="none"/>
              </w:rPr>
            </w:pPr>
            <w:r>
              <w:rPr>
                <w:rFonts w:hint="eastAsia" w:ascii="宋体" w:hAnsi="宋体"/>
                <w:bCs/>
                <w:color w:val="auto"/>
                <w:sz w:val="24"/>
                <w:highlight w:val="none"/>
              </w:rPr>
              <w:t>账    号</w:t>
            </w:r>
          </w:p>
        </w:tc>
        <w:tc>
          <w:tcPr>
            <w:tcW w:w="4586" w:type="dxa"/>
            <w:tcBorders>
              <w:top w:val="single" w:color="auto" w:sz="4" w:space="0"/>
              <w:left w:val="single" w:color="auto" w:sz="4" w:space="0"/>
              <w:bottom w:val="single" w:color="auto" w:sz="4" w:space="0"/>
              <w:right w:val="single" w:color="auto" w:sz="4" w:space="0"/>
            </w:tcBorders>
            <w:vAlign w:val="center"/>
          </w:tcPr>
          <w:p w14:paraId="0FDA6A9F">
            <w:pPr>
              <w:widowControl/>
              <w:spacing w:line="300" w:lineRule="exact"/>
              <w:jc w:val="left"/>
              <w:rPr>
                <w:rFonts w:ascii="宋体" w:hAnsi="宋体"/>
                <w:bCs/>
                <w:color w:val="auto"/>
                <w:sz w:val="24"/>
                <w:highlight w:val="none"/>
              </w:rPr>
            </w:pPr>
            <w:r>
              <w:rPr>
                <w:rFonts w:hint="eastAsia" w:ascii="宋体" w:hAnsi="宋体"/>
                <w:b/>
                <w:bCs/>
                <w:color w:val="auto"/>
                <w:sz w:val="24"/>
                <w:highlight w:val="none"/>
              </w:rPr>
              <w:t>44547801040002249</w:t>
            </w:r>
          </w:p>
        </w:tc>
      </w:tr>
      <w:tr w14:paraId="04E0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continue"/>
            <w:tcBorders>
              <w:left w:val="single" w:color="auto" w:sz="4" w:space="0"/>
              <w:right w:val="single" w:color="auto" w:sz="4" w:space="0"/>
            </w:tcBorders>
            <w:vAlign w:val="center"/>
          </w:tcPr>
          <w:p w14:paraId="427965BA">
            <w:pPr>
              <w:spacing w:line="360" w:lineRule="auto"/>
              <w:jc w:val="center"/>
              <w:rPr>
                <w:rFonts w:ascii="宋体"/>
                <w:color w:val="auto"/>
                <w:sz w:val="24"/>
                <w:highlight w:val="none"/>
              </w:rPr>
            </w:pPr>
          </w:p>
        </w:tc>
        <w:tc>
          <w:tcPr>
            <w:tcW w:w="2043" w:type="dxa"/>
            <w:vMerge w:val="continue"/>
            <w:tcBorders>
              <w:left w:val="single" w:color="auto" w:sz="4" w:space="0"/>
              <w:right w:val="single" w:color="auto" w:sz="4" w:space="0"/>
            </w:tcBorders>
            <w:vAlign w:val="center"/>
          </w:tcPr>
          <w:p w14:paraId="51B6E644">
            <w:pPr>
              <w:spacing w:line="360" w:lineRule="auto"/>
              <w:rPr>
                <w:rFonts w:ascii="宋体" w:hAnsi="宋体"/>
                <w:bCs/>
                <w:color w:val="auto"/>
                <w:sz w:val="24"/>
                <w:highlight w:val="none"/>
              </w:rPr>
            </w:pPr>
          </w:p>
        </w:tc>
        <w:tc>
          <w:tcPr>
            <w:tcW w:w="1921" w:type="dxa"/>
            <w:tcBorders>
              <w:top w:val="single" w:color="auto" w:sz="4" w:space="0"/>
              <w:left w:val="single" w:color="auto" w:sz="4" w:space="0"/>
              <w:bottom w:val="single" w:color="auto" w:sz="4" w:space="0"/>
              <w:right w:val="single" w:color="auto" w:sz="4" w:space="0"/>
            </w:tcBorders>
            <w:vAlign w:val="center"/>
          </w:tcPr>
          <w:p w14:paraId="6575514A">
            <w:pPr>
              <w:spacing w:line="300" w:lineRule="exact"/>
              <w:jc w:val="center"/>
              <w:rPr>
                <w:rFonts w:ascii="宋体" w:hAnsi="宋体"/>
                <w:bCs/>
                <w:color w:val="auto"/>
                <w:sz w:val="24"/>
                <w:highlight w:val="none"/>
              </w:rPr>
            </w:pPr>
            <w:r>
              <w:rPr>
                <w:rFonts w:hint="eastAsia" w:ascii="宋体" w:hAnsi="宋体"/>
                <w:bCs/>
                <w:color w:val="auto"/>
                <w:sz w:val="24"/>
                <w:highlight w:val="none"/>
              </w:rPr>
              <w:t>开户银行</w:t>
            </w:r>
          </w:p>
        </w:tc>
        <w:tc>
          <w:tcPr>
            <w:tcW w:w="4586" w:type="dxa"/>
            <w:tcBorders>
              <w:top w:val="single" w:color="auto" w:sz="4" w:space="0"/>
              <w:left w:val="single" w:color="auto" w:sz="4" w:space="0"/>
              <w:bottom w:val="single" w:color="auto" w:sz="4" w:space="0"/>
              <w:right w:val="single" w:color="auto" w:sz="4" w:space="0"/>
            </w:tcBorders>
            <w:vAlign w:val="center"/>
          </w:tcPr>
          <w:p w14:paraId="00320660">
            <w:pPr>
              <w:widowControl/>
              <w:spacing w:line="300" w:lineRule="exact"/>
              <w:jc w:val="left"/>
              <w:rPr>
                <w:rFonts w:ascii="宋体" w:hAnsi="宋体"/>
                <w:bCs/>
                <w:color w:val="auto"/>
                <w:sz w:val="24"/>
                <w:highlight w:val="none"/>
              </w:rPr>
            </w:pPr>
            <w:r>
              <w:rPr>
                <w:rFonts w:hint="eastAsia" w:ascii="宋体" w:hAnsi="宋体"/>
                <w:b/>
                <w:bCs/>
                <w:color w:val="auto"/>
                <w:sz w:val="24"/>
                <w:highlight w:val="none"/>
              </w:rPr>
              <w:t>中国农业银行股份有限公司阳江江城支行</w:t>
            </w:r>
          </w:p>
        </w:tc>
      </w:tr>
      <w:tr w14:paraId="0396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restart"/>
            <w:tcBorders>
              <w:left w:val="single" w:color="auto" w:sz="4" w:space="0"/>
              <w:right w:val="single" w:color="auto" w:sz="4" w:space="0"/>
            </w:tcBorders>
            <w:vAlign w:val="center"/>
          </w:tcPr>
          <w:p w14:paraId="25E4604C">
            <w:pPr>
              <w:spacing w:line="360" w:lineRule="auto"/>
              <w:jc w:val="center"/>
              <w:rPr>
                <w:rFonts w:hint="default" w:ascii="宋体" w:hAnsi="Times New Roman" w:eastAsia="宋体" w:cs="Times New Roman"/>
                <w:color w:val="auto"/>
                <w:kern w:val="2"/>
                <w:sz w:val="24"/>
                <w:szCs w:val="24"/>
                <w:highlight w:val="none"/>
                <w:lang w:val="en-US" w:eastAsia="zh-CN" w:bidi="ar-SA"/>
              </w:rPr>
            </w:pPr>
            <w:r>
              <w:rPr>
                <w:rFonts w:hint="eastAsia" w:ascii="宋体"/>
                <w:color w:val="auto"/>
                <w:sz w:val="24"/>
                <w:highlight w:val="none"/>
                <w:lang w:val="en-US" w:eastAsia="zh-CN"/>
              </w:rPr>
              <w:t>25</w:t>
            </w:r>
          </w:p>
        </w:tc>
        <w:tc>
          <w:tcPr>
            <w:tcW w:w="2043" w:type="dxa"/>
            <w:vMerge w:val="restart"/>
            <w:tcBorders>
              <w:left w:val="single" w:color="auto" w:sz="4" w:space="0"/>
              <w:right w:val="single" w:color="auto" w:sz="4" w:space="0"/>
            </w:tcBorders>
            <w:vAlign w:val="center"/>
          </w:tcPr>
          <w:p w14:paraId="1ECEC529">
            <w:pPr>
              <w:spacing w:line="360" w:lineRule="auto"/>
              <w:rPr>
                <w:rFonts w:ascii="宋体" w:hAnsi="宋体" w:eastAsia="宋体" w:cs="Times New Roman"/>
                <w:bCs/>
                <w:color w:val="auto"/>
                <w:kern w:val="2"/>
                <w:sz w:val="24"/>
                <w:szCs w:val="24"/>
                <w:highlight w:val="none"/>
                <w:lang w:val="en-US" w:eastAsia="zh-CN" w:bidi="ar-SA"/>
              </w:rPr>
            </w:pPr>
            <w:r>
              <w:rPr>
                <w:rFonts w:hint="eastAsia" w:ascii="宋体" w:hAnsi="宋体"/>
                <w:bCs/>
                <w:color w:val="auto"/>
                <w:sz w:val="24"/>
                <w:highlight w:val="none"/>
              </w:rPr>
              <w:t>信息公告媒体</w:t>
            </w:r>
          </w:p>
        </w:tc>
        <w:tc>
          <w:tcPr>
            <w:tcW w:w="1921" w:type="dxa"/>
            <w:tcBorders>
              <w:top w:val="single" w:color="auto" w:sz="4" w:space="0"/>
              <w:left w:val="single" w:color="auto" w:sz="4" w:space="0"/>
              <w:bottom w:val="single" w:color="auto" w:sz="4" w:space="0"/>
              <w:right w:val="single" w:color="auto" w:sz="4" w:space="0"/>
            </w:tcBorders>
            <w:shd w:val="clear" w:color="auto" w:fill="auto"/>
            <w:vAlign w:val="center"/>
          </w:tcPr>
          <w:p w14:paraId="6B03AAF1">
            <w:pPr>
              <w:spacing w:line="300" w:lineRule="exact"/>
              <w:jc w:val="center"/>
              <w:rPr>
                <w:rFonts w:hint="eastAsia" w:ascii="宋体" w:hAnsi="宋体" w:eastAsia="宋体"/>
                <w:bCs/>
                <w:color w:val="auto"/>
                <w:sz w:val="24"/>
                <w:highlight w:val="none"/>
                <w:lang w:val="en-US" w:eastAsia="zh-CN"/>
              </w:rPr>
            </w:pPr>
            <w:r>
              <w:rPr>
                <w:rFonts w:hint="eastAsia" w:ascii="宋体" w:hAnsi="宋体" w:eastAsia="宋体"/>
                <w:bCs/>
                <w:color w:val="auto"/>
                <w:sz w:val="24"/>
                <w:highlight w:val="none"/>
              </w:rPr>
              <w:t>全国招标采购公共服务平台</w:t>
            </w:r>
          </w:p>
        </w:tc>
        <w:tc>
          <w:tcPr>
            <w:tcW w:w="4586" w:type="dxa"/>
            <w:tcBorders>
              <w:top w:val="single" w:color="auto" w:sz="4" w:space="0"/>
              <w:left w:val="single" w:color="auto" w:sz="4" w:space="0"/>
              <w:bottom w:val="single" w:color="auto" w:sz="4" w:space="0"/>
              <w:right w:val="single" w:color="auto" w:sz="4" w:space="0"/>
            </w:tcBorders>
            <w:shd w:val="clear" w:color="auto" w:fill="auto"/>
            <w:vAlign w:val="center"/>
          </w:tcPr>
          <w:p w14:paraId="16181BCE">
            <w:pPr>
              <w:spacing w:line="300" w:lineRule="exact"/>
              <w:jc w:val="left"/>
              <w:rPr>
                <w:rFonts w:hint="eastAsia" w:ascii="宋体" w:hAnsi="宋体" w:eastAsia="宋体"/>
                <w:bCs/>
                <w:color w:val="auto"/>
                <w:sz w:val="24"/>
                <w:highlight w:val="none"/>
                <w:lang w:val="en-US" w:eastAsia="zh-CN"/>
              </w:rPr>
            </w:pPr>
            <w:r>
              <w:rPr>
                <w:rFonts w:hint="eastAsia" w:ascii="宋体" w:hAnsi="宋体" w:eastAsia="宋体"/>
                <w:bCs/>
                <w:color w:val="auto"/>
                <w:sz w:val="24"/>
                <w:highlight w:val="none"/>
              </w:rPr>
              <w:t>https://www.hnzbcgxxw.com/</w:t>
            </w:r>
          </w:p>
        </w:tc>
      </w:tr>
      <w:tr w14:paraId="58AA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continue"/>
            <w:tcBorders>
              <w:left w:val="single" w:color="auto" w:sz="4" w:space="0"/>
              <w:right w:val="single" w:color="auto" w:sz="4" w:space="0"/>
            </w:tcBorders>
            <w:vAlign w:val="center"/>
          </w:tcPr>
          <w:p w14:paraId="66E588DF">
            <w:pPr>
              <w:spacing w:line="360" w:lineRule="auto"/>
              <w:jc w:val="center"/>
              <w:rPr>
                <w:rFonts w:ascii="宋体"/>
                <w:color w:val="auto"/>
                <w:sz w:val="24"/>
                <w:highlight w:val="none"/>
              </w:rPr>
            </w:pPr>
          </w:p>
        </w:tc>
        <w:tc>
          <w:tcPr>
            <w:tcW w:w="2043" w:type="dxa"/>
            <w:vMerge w:val="continue"/>
            <w:tcBorders>
              <w:left w:val="single" w:color="auto" w:sz="4" w:space="0"/>
              <w:right w:val="single" w:color="auto" w:sz="4" w:space="0"/>
            </w:tcBorders>
            <w:vAlign w:val="center"/>
          </w:tcPr>
          <w:p w14:paraId="6A83EC07">
            <w:pPr>
              <w:spacing w:line="360" w:lineRule="auto"/>
              <w:rPr>
                <w:rFonts w:ascii="宋体" w:hAnsi="宋体"/>
                <w:bCs/>
                <w:color w:val="auto"/>
                <w:sz w:val="24"/>
                <w:highlight w:val="none"/>
              </w:rPr>
            </w:pPr>
          </w:p>
        </w:tc>
        <w:tc>
          <w:tcPr>
            <w:tcW w:w="1921" w:type="dxa"/>
            <w:vMerge w:val="restart"/>
            <w:tcBorders>
              <w:top w:val="single" w:color="auto" w:sz="4" w:space="0"/>
              <w:left w:val="single" w:color="auto" w:sz="4" w:space="0"/>
              <w:right w:val="single" w:color="auto" w:sz="4" w:space="0"/>
            </w:tcBorders>
            <w:vAlign w:val="center"/>
          </w:tcPr>
          <w:p w14:paraId="35CAE7D8">
            <w:pPr>
              <w:spacing w:line="300" w:lineRule="exact"/>
              <w:jc w:val="center"/>
              <w:rPr>
                <w:rFonts w:hint="eastAsia" w:ascii="宋体" w:hAnsi="宋体" w:eastAsia="宋体" w:cs="Times New Roman"/>
                <w:bCs/>
                <w:color w:val="auto"/>
                <w:kern w:val="2"/>
                <w:sz w:val="24"/>
                <w:szCs w:val="24"/>
                <w:highlight w:val="none"/>
                <w:lang w:val="en-US" w:eastAsia="zh-CN" w:bidi="ar-SA"/>
              </w:rPr>
            </w:pPr>
            <w:r>
              <w:rPr>
                <w:rFonts w:hint="eastAsia" w:ascii="宋体" w:hAnsi="宋体"/>
                <w:bCs/>
                <w:color w:val="auto"/>
                <w:sz w:val="24"/>
                <w:highlight w:val="none"/>
              </w:rPr>
              <w:t>广东业信采购招标有限公司网</w:t>
            </w:r>
          </w:p>
        </w:tc>
        <w:tc>
          <w:tcPr>
            <w:tcW w:w="4586" w:type="dxa"/>
            <w:tcBorders>
              <w:top w:val="single" w:color="auto" w:sz="4" w:space="0"/>
              <w:left w:val="single" w:color="auto" w:sz="4" w:space="0"/>
              <w:bottom w:val="single" w:color="auto" w:sz="4" w:space="0"/>
              <w:right w:val="single" w:color="auto" w:sz="4" w:space="0"/>
            </w:tcBorders>
            <w:vAlign w:val="center"/>
          </w:tcPr>
          <w:p w14:paraId="190129D1">
            <w:pPr>
              <w:spacing w:line="300" w:lineRule="exact"/>
              <w:jc w:val="left"/>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sz w:val="24"/>
                <w:highlight w:val="none"/>
              </w:rPr>
              <w:fldChar w:fldCharType="begin"/>
            </w:r>
            <w:r>
              <w:rPr>
                <w:rFonts w:hint="eastAsia" w:ascii="宋体" w:hAnsi="宋体" w:eastAsia="宋体" w:cs="Times New Roman"/>
                <w:bCs/>
                <w:color w:val="auto"/>
                <w:sz w:val="24"/>
                <w:highlight w:val="none"/>
              </w:rPr>
              <w:instrText xml:space="preserve"> HYPERLINK "http://www.gdgpo.gov.cn" </w:instrText>
            </w:r>
            <w:r>
              <w:rPr>
                <w:rFonts w:hint="eastAsia" w:ascii="宋体" w:hAnsi="宋体" w:eastAsia="宋体" w:cs="Times New Roman"/>
                <w:bCs/>
                <w:color w:val="auto"/>
                <w:sz w:val="24"/>
                <w:highlight w:val="none"/>
              </w:rPr>
              <w:fldChar w:fldCharType="separate"/>
            </w:r>
            <w:r>
              <w:rPr>
                <w:rFonts w:hint="eastAsia" w:ascii="宋体" w:hAnsi="宋体" w:eastAsia="宋体" w:cs="Times New Roman"/>
                <w:bCs/>
                <w:color w:val="auto"/>
                <w:sz w:val="24"/>
                <w:highlight w:val="none"/>
              </w:rPr>
              <w:t>http://www.gdgpo.</w:t>
            </w:r>
            <w:r>
              <w:rPr>
                <w:rFonts w:hint="eastAsia" w:ascii="宋体" w:hAnsi="宋体" w:eastAsia="宋体" w:cs="Times New Roman"/>
                <w:bCs/>
                <w:color w:val="auto"/>
                <w:sz w:val="24"/>
                <w:highlight w:val="none"/>
                <w:lang w:val="en-US" w:eastAsia="zh-CN"/>
              </w:rPr>
              <w:t>com.</w:t>
            </w:r>
            <w:r>
              <w:rPr>
                <w:rFonts w:hint="eastAsia" w:ascii="宋体" w:hAnsi="宋体" w:eastAsia="宋体" w:cs="Times New Roman"/>
                <w:bCs/>
                <w:color w:val="auto"/>
                <w:sz w:val="24"/>
                <w:highlight w:val="none"/>
              </w:rPr>
              <w:t>cn</w:t>
            </w:r>
            <w:r>
              <w:rPr>
                <w:rFonts w:hint="eastAsia" w:ascii="宋体" w:hAnsi="宋体" w:eastAsia="宋体" w:cs="Times New Roman"/>
                <w:bCs/>
                <w:color w:val="auto"/>
                <w:sz w:val="24"/>
                <w:highlight w:val="none"/>
              </w:rPr>
              <w:fldChar w:fldCharType="end"/>
            </w:r>
          </w:p>
        </w:tc>
      </w:tr>
      <w:tr w14:paraId="0DF1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continue"/>
            <w:tcBorders>
              <w:left w:val="single" w:color="auto" w:sz="4" w:space="0"/>
              <w:right w:val="single" w:color="auto" w:sz="4" w:space="0"/>
            </w:tcBorders>
            <w:vAlign w:val="center"/>
          </w:tcPr>
          <w:p w14:paraId="484FCA4F">
            <w:pPr>
              <w:spacing w:line="360" w:lineRule="auto"/>
              <w:jc w:val="center"/>
              <w:rPr>
                <w:rFonts w:ascii="宋体"/>
                <w:color w:val="auto"/>
                <w:sz w:val="24"/>
                <w:highlight w:val="none"/>
              </w:rPr>
            </w:pPr>
          </w:p>
        </w:tc>
        <w:tc>
          <w:tcPr>
            <w:tcW w:w="2043" w:type="dxa"/>
            <w:vMerge w:val="continue"/>
            <w:tcBorders>
              <w:left w:val="single" w:color="auto" w:sz="4" w:space="0"/>
              <w:right w:val="single" w:color="auto" w:sz="4" w:space="0"/>
            </w:tcBorders>
            <w:vAlign w:val="center"/>
          </w:tcPr>
          <w:p w14:paraId="54D097B2">
            <w:pPr>
              <w:spacing w:line="360" w:lineRule="auto"/>
              <w:rPr>
                <w:rFonts w:ascii="宋体" w:hAnsi="宋体"/>
                <w:bCs/>
                <w:color w:val="auto"/>
                <w:sz w:val="24"/>
                <w:highlight w:val="none"/>
              </w:rPr>
            </w:pPr>
          </w:p>
        </w:tc>
        <w:tc>
          <w:tcPr>
            <w:tcW w:w="1921" w:type="dxa"/>
            <w:vMerge w:val="continue"/>
            <w:tcBorders>
              <w:left w:val="single" w:color="auto" w:sz="4" w:space="0"/>
              <w:right w:val="single" w:color="auto" w:sz="4" w:space="0"/>
            </w:tcBorders>
            <w:vAlign w:val="center"/>
          </w:tcPr>
          <w:p w14:paraId="32A47F9D">
            <w:pPr>
              <w:spacing w:line="300" w:lineRule="exact"/>
              <w:jc w:val="center"/>
              <w:rPr>
                <w:rFonts w:hint="eastAsia" w:ascii="宋体" w:hAnsi="宋体"/>
                <w:bCs/>
                <w:color w:val="auto"/>
                <w:sz w:val="24"/>
                <w:highlight w:val="none"/>
              </w:rPr>
            </w:pPr>
          </w:p>
        </w:tc>
        <w:tc>
          <w:tcPr>
            <w:tcW w:w="4586" w:type="dxa"/>
            <w:tcBorders>
              <w:top w:val="single" w:color="auto" w:sz="4" w:space="0"/>
              <w:left w:val="single" w:color="auto" w:sz="4" w:space="0"/>
              <w:bottom w:val="single" w:color="auto" w:sz="4" w:space="0"/>
              <w:right w:val="single" w:color="auto" w:sz="4" w:space="0"/>
            </w:tcBorders>
            <w:vAlign w:val="center"/>
          </w:tcPr>
          <w:p w14:paraId="275AD9EB">
            <w:pPr>
              <w:spacing w:line="300" w:lineRule="exact"/>
              <w:jc w:val="left"/>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sz w:val="24"/>
                <w:highlight w:val="none"/>
              </w:rPr>
              <w:t>http://www.yjcg.cc</w:t>
            </w:r>
          </w:p>
        </w:tc>
      </w:tr>
      <w:tr w14:paraId="1B87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9" w:type="dxa"/>
            <w:vMerge w:val="continue"/>
            <w:tcBorders>
              <w:left w:val="single" w:color="auto" w:sz="4" w:space="0"/>
              <w:bottom w:val="single" w:color="auto" w:sz="4" w:space="0"/>
              <w:right w:val="single" w:color="auto" w:sz="4" w:space="0"/>
            </w:tcBorders>
            <w:vAlign w:val="center"/>
          </w:tcPr>
          <w:p w14:paraId="4125DC66">
            <w:pPr>
              <w:spacing w:line="360" w:lineRule="auto"/>
              <w:jc w:val="center"/>
              <w:rPr>
                <w:rFonts w:ascii="宋体"/>
                <w:color w:val="auto"/>
                <w:sz w:val="24"/>
                <w:highlight w:val="none"/>
              </w:rPr>
            </w:pPr>
          </w:p>
        </w:tc>
        <w:tc>
          <w:tcPr>
            <w:tcW w:w="2043" w:type="dxa"/>
            <w:vMerge w:val="continue"/>
            <w:tcBorders>
              <w:left w:val="single" w:color="auto" w:sz="4" w:space="0"/>
              <w:bottom w:val="single" w:color="auto" w:sz="4" w:space="0"/>
              <w:right w:val="single" w:color="auto" w:sz="4" w:space="0"/>
            </w:tcBorders>
            <w:vAlign w:val="center"/>
          </w:tcPr>
          <w:p w14:paraId="5F070FDB">
            <w:pPr>
              <w:spacing w:line="360" w:lineRule="auto"/>
              <w:rPr>
                <w:rFonts w:ascii="宋体" w:hAnsi="宋体"/>
                <w:bCs/>
                <w:color w:val="auto"/>
                <w:sz w:val="24"/>
                <w:highlight w:val="none"/>
              </w:rPr>
            </w:pPr>
          </w:p>
        </w:tc>
        <w:tc>
          <w:tcPr>
            <w:tcW w:w="1921" w:type="dxa"/>
            <w:tcBorders>
              <w:left w:val="single" w:color="auto" w:sz="4" w:space="0"/>
              <w:bottom w:val="single" w:color="auto" w:sz="4" w:space="0"/>
              <w:right w:val="single" w:color="auto" w:sz="4" w:space="0"/>
            </w:tcBorders>
            <w:vAlign w:val="center"/>
          </w:tcPr>
          <w:p w14:paraId="2B146852">
            <w:pPr>
              <w:spacing w:line="300" w:lineRule="exact"/>
              <w:jc w:val="center"/>
              <w:rPr>
                <w:rFonts w:hint="eastAsia" w:ascii="宋体" w:hAnsi="宋体"/>
                <w:bCs/>
                <w:color w:val="auto"/>
                <w:sz w:val="24"/>
                <w:highlight w:val="none"/>
              </w:rPr>
            </w:pPr>
            <w:r>
              <w:rPr>
                <w:rFonts w:hint="eastAsia" w:ascii="宋体" w:hAnsi="宋体"/>
                <w:bCs/>
                <w:color w:val="auto"/>
                <w:sz w:val="24"/>
                <w:highlight w:val="none"/>
              </w:rPr>
              <w:t>中华</w:t>
            </w:r>
          </w:p>
          <w:p w14:paraId="170BA470">
            <w:pPr>
              <w:spacing w:line="300" w:lineRule="exact"/>
              <w:jc w:val="center"/>
              <w:rPr>
                <w:rFonts w:hint="eastAsia" w:ascii="宋体" w:hAnsi="宋体"/>
                <w:bCs/>
                <w:color w:val="auto"/>
                <w:sz w:val="24"/>
                <w:highlight w:val="none"/>
              </w:rPr>
            </w:pPr>
            <w:r>
              <w:rPr>
                <w:rFonts w:hint="eastAsia" w:ascii="宋体" w:hAnsi="宋体"/>
                <w:bCs/>
                <w:color w:val="auto"/>
                <w:sz w:val="24"/>
                <w:highlight w:val="none"/>
              </w:rPr>
              <w:t>人民共和国江门海关门户网站</w:t>
            </w:r>
          </w:p>
        </w:tc>
        <w:tc>
          <w:tcPr>
            <w:tcW w:w="4586" w:type="dxa"/>
            <w:tcBorders>
              <w:top w:val="single" w:color="auto" w:sz="4" w:space="0"/>
              <w:left w:val="single" w:color="auto" w:sz="4" w:space="0"/>
              <w:bottom w:val="single" w:color="auto" w:sz="4" w:space="0"/>
              <w:right w:val="single" w:color="auto" w:sz="4" w:space="0"/>
            </w:tcBorders>
            <w:vAlign w:val="center"/>
          </w:tcPr>
          <w:p w14:paraId="3192CEB6">
            <w:pPr>
              <w:spacing w:line="300" w:lineRule="exact"/>
              <w:jc w:val="left"/>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http://jiangmen.customs.gov.cn/</w:t>
            </w:r>
          </w:p>
        </w:tc>
      </w:tr>
      <w:bookmarkEnd w:id="16"/>
    </w:tbl>
    <w:p w14:paraId="0A023633">
      <w:pPr>
        <w:jc w:val="center"/>
        <w:outlineLvl w:val="1"/>
        <w:rPr>
          <w:rFonts w:ascii="宋体"/>
          <w:b/>
          <w:color w:val="auto"/>
          <w:sz w:val="24"/>
          <w:highlight w:val="none"/>
        </w:rPr>
      </w:pPr>
    </w:p>
    <w:p w14:paraId="319FC3C1">
      <w:pPr>
        <w:pStyle w:val="37"/>
        <w:jc w:val="center"/>
        <w:rPr>
          <w:rFonts w:cs="Times New Roman"/>
          <w:b/>
          <w:color w:val="auto"/>
          <w:kern w:val="2"/>
          <w:highlight w:val="none"/>
        </w:rPr>
      </w:pPr>
      <w:r>
        <w:rPr>
          <w:color w:val="auto"/>
          <w:highlight w:val="none"/>
        </w:rPr>
        <w:br w:type="page"/>
      </w:r>
      <w:r>
        <w:rPr>
          <w:rFonts w:hint="eastAsia" w:cs="Times New Roman"/>
          <w:b/>
          <w:color w:val="auto"/>
          <w:kern w:val="2"/>
          <w:highlight w:val="none"/>
        </w:rPr>
        <w:t>一、总则</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675D0A97">
      <w:pPr>
        <w:pStyle w:val="4"/>
        <w:numPr>
          <w:ilvl w:val="0"/>
          <w:numId w:val="7"/>
        </w:numPr>
        <w:rPr>
          <w:rFonts w:ascii="宋体"/>
          <w:color w:val="auto"/>
          <w:sz w:val="24"/>
          <w:szCs w:val="21"/>
          <w:highlight w:val="none"/>
        </w:rPr>
      </w:pPr>
      <w:bookmarkStart w:id="84" w:name="_Hlt14560612"/>
      <w:bookmarkEnd w:id="84"/>
      <w:bookmarkStart w:id="85" w:name="_Toc249525161"/>
      <w:bookmarkStart w:id="86" w:name="_Toc56534766"/>
      <w:bookmarkStart w:id="87" w:name="_Toc184043014"/>
      <w:bookmarkStart w:id="88" w:name="_Toc249515280"/>
      <w:bookmarkStart w:id="89" w:name="_Toc249515392"/>
      <w:r>
        <w:rPr>
          <w:rFonts w:hint="eastAsia" w:ascii="宋体"/>
          <w:color w:val="auto"/>
          <w:sz w:val="24"/>
          <w:szCs w:val="21"/>
          <w:highlight w:val="none"/>
        </w:rPr>
        <w:t>项目说明</w:t>
      </w:r>
      <w:bookmarkEnd w:id="85"/>
      <w:bookmarkEnd w:id="86"/>
      <w:bookmarkEnd w:id="87"/>
      <w:bookmarkEnd w:id="88"/>
      <w:bookmarkEnd w:id="89"/>
    </w:p>
    <w:p w14:paraId="4B14513C">
      <w:pPr>
        <w:pStyle w:val="58"/>
        <w:widowControl w:val="0"/>
        <w:numPr>
          <w:ilvl w:val="1"/>
          <w:numId w:val="7"/>
        </w:numPr>
        <w:tabs>
          <w:tab w:val="left" w:pos="360"/>
          <w:tab w:val="left" w:pos="588"/>
        </w:tabs>
        <w:spacing w:before="0" w:beforeAutospacing="0" w:after="0" w:afterAutospacing="0"/>
        <w:textAlignment w:val="auto"/>
        <w:rPr>
          <w:rFonts w:ascii="宋体"/>
          <w:color w:val="auto"/>
          <w:kern w:val="24"/>
          <w:szCs w:val="21"/>
          <w:highlight w:val="none"/>
        </w:rPr>
      </w:pPr>
      <w:r>
        <w:rPr>
          <w:rFonts w:hint="eastAsia" w:ascii="宋体"/>
          <w:color w:val="auto"/>
          <w:kern w:val="24"/>
          <w:szCs w:val="21"/>
          <w:highlight w:val="none"/>
        </w:rPr>
        <w:t xml:space="preserve"> 项目说明见“供应商须知前附表”。</w:t>
      </w:r>
    </w:p>
    <w:p w14:paraId="6A520E80">
      <w:pPr>
        <w:pStyle w:val="4"/>
        <w:numPr>
          <w:ilvl w:val="0"/>
          <w:numId w:val="7"/>
        </w:numPr>
        <w:rPr>
          <w:rFonts w:ascii="宋体"/>
          <w:color w:val="auto"/>
          <w:sz w:val="24"/>
          <w:szCs w:val="21"/>
          <w:highlight w:val="none"/>
        </w:rPr>
      </w:pPr>
      <w:bookmarkStart w:id="90" w:name="_Toc184043015"/>
      <w:bookmarkStart w:id="91" w:name="_Toc249515393"/>
      <w:bookmarkStart w:id="92" w:name="_Toc249525162"/>
      <w:bookmarkStart w:id="93" w:name="_Toc70687142"/>
      <w:bookmarkStart w:id="94" w:name="_Toc249515281"/>
      <w:bookmarkStart w:id="95" w:name="_Toc56534767"/>
      <w:r>
        <w:rPr>
          <w:rFonts w:hint="eastAsia" w:ascii="宋体"/>
          <w:color w:val="auto"/>
          <w:sz w:val="24"/>
          <w:szCs w:val="21"/>
          <w:highlight w:val="none"/>
        </w:rPr>
        <w:t>定义</w:t>
      </w:r>
      <w:bookmarkEnd w:id="90"/>
      <w:bookmarkEnd w:id="91"/>
      <w:bookmarkEnd w:id="92"/>
      <w:bookmarkEnd w:id="93"/>
      <w:bookmarkEnd w:id="94"/>
      <w:bookmarkEnd w:id="95"/>
    </w:p>
    <w:p w14:paraId="57602329">
      <w:pPr>
        <w:numPr>
          <w:ilvl w:val="1"/>
          <w:numId w:val="7"/>
        </w:numPr>
        <w:tabs>
          <w:tab w:val="left" w:pos="360"/>
          <w:tab w:val="left" w:pos="588"/>
        </w:tabs>
        <w:spacing w:line="360" w:lineRule="auto"/>
        <w:rPr>
          <w:rFonts w:ascii="宋体"/>
          <w:color w:val="auto"/>
          <w:sz w:val="24"/>
          <w:highlight w:val="none"/>
        </w:rPr>
      </w:pPr>
      <w:r>
        <w:rPr>
          <w:rFonts w:hint="eastAsia" w:ascii="宋体"/>
          <w:color w:val="auto"/>
          <w:sz w:val="24"/>
          <w:highlight w:val="none"/>
        </w:rPr>
        <w:t xml:space="preserve"> “采购人”系指中华人民共和国阳江海关。</w:t>
      </w:r>
    </w:p>
    <w:p w14:paraId="712D17A8">
      <w:pPr>
        <w:numPr>
          <w:ilvl w:val="1"/>
          <w:numId w:val="7"/>
        </w:numPr>
        <w:tabs>
          <w:tab w:val="left" w:pos="360"/>
          <w:tab w:val="left" w:pos="588"/>
        </w:tabs>
        <w:spacing w:line="360" w:lineRule="auto"/>
        <w:rPr>
          <w:rFonts w:ascii="宋体"/>
          <w:color w:val="auto"/>
          <w:sz w:val="24"/>
          <w:highlight w:val="none"/>
        </w:rPr>
      </w:pPr>
      <w:r>
        <w:rPr>
          <w:rFonts w:hint="eastAsia" w:ascii="宋体"/>
          <w:color w:val="auto"/>
          <w:sz w:val="24"/>
          <w:highlight w:val="none"/>
        </w:rPr>
        <w:t xml:space="preserve"> “采购机构”系指广东业信采购招标有限公司。</w:t>
      </w:r>
    </w:p>
    <w:p w14:paraId="4B3FB434">
      <w:pPr>
        <w:numPr>
          <w:ilvl w:val="1"/>
          <w:numId w:val="7"/>
        </w:numPr>
        <w:tabs>
          <w:tab w:val="left" w:pos="360"/>
          <w:tab w:val="left" w:pos="588"/>
        </w:tabs>
        <w:spacing w:line="360" w:lineRule="auto"/>
        <w:rPr>
          <w:rFonts w:ascii="宋体"/>
          <w:color w:val="auto"/>
          <w:sz w:val="24"/>
          <w:highlight w:val="none"/>
        </w:rPr>
      </w:pPr>
      <w:r>
        <w:rPr>
          <w:rFonts w:hint="eastAsia" w:ascii="宋体"/>
          <w:color w:val="auto"/>
          <w:sz w:val="24"/>
          <w:highlight w:val="none"/>
        </w:rPr>
        <w:t xml:space="preserve"> “供应商”系指响应采购人要求，向采购人提交响应文件的</w:t>
      </w:r>
      <w:r>
        <w:rPr>
          <w:rFonts w:hint="eastAsia" w:ascii="宋体"/>
          <w:color w:val="auto"/>
          <w:kern w:val="0"/>
          <w:sz w:val="24"/>
          <w:highlight w:val="none"/>
        </w:rPr>
        <w:t>参与竞争的企业法人、非企业法人的其他组织或者自然人</w:t>
      </w:r>
      <w:r>
        <w:rPr>
          <w:rFonts w:hint="eastAsia" w:ascii="宋体"/>
          <w:color w:val="auto"/>
          <w:sz w:val="24"/>
          <w:highlight w:val="none"/>
        </w:rPr>
        <w:t>。</w:t>
      </w:r>
    </w:p>
    <w:p w14:paraId="06F271F8">
      <w:pPr>
        <w:numPr>
          <w:ilvl w:val="1"/>
          <w:numId w:val="7"/>
        </w:numPr>
        <w:tabs>
          <w:tab w:val="left" w:pos="360"/>
          <w:tab w:val="left" w:pos="588"/>
        </w:tabs>
        <w:spacing w:line="360" w:lineRule="auto"/>
        <w:rPr>
          <w:rFonts w:ascii="宋体"/>
          <w:color w:val="auto"/>
          <w:sz w:val="24"/>
          <w:highlight w:val="none"/>
        </w:rPr>
      </w:pPr>
      <w:r>
        <w:rPr>
          <w:rFonts w:hint="eastAsia" w:ascii="宋体"/>
          <w:color w:val="auto"/>
          <w:sz w:val="24"/>
          <w:highlight w:val="none"/>
        </w:rPr>
        <w:t xml:space="preserve"> “★”标志的为实质性条款，如有其中一项不符合即被视为非实质性响应予以拒绝。</w:t>
      </w:r>
    </w:p>
    <w:p w14:paraId="281E1B58">
      <w:pPr>
        <w:numPr>
          <w:ilvl w:val="1"/>
          <w:numId w:val="7"/>
        </w:numPr>
        <w:tabs>
          <w:tab w:val="left" w:pos="360"/>
          <w:tab w:val="left" w:pos="588"/>
        </w:tabs>
        <w:spacing w:line="360" w:lineRule="auto"/>
        <w:rPr>
          <w:rFonts w:ascii="宋体"/>
          <w:color w:val="auto"/>
          <w:sz w:val="24"/>
          <w:highlight w:val="none"/>
        </w:rPr>
      </w:pPr>
      <w:r>
        <w:rPr>
          <w:rFonts w:hint="eastAsia" w:ascii="宋体"/>
          <w:color w:val="auto"/>
          <w:kern w:val="0"/>
          <w:sz w:val="24"/>
          <w:highlight w:val="none"/>
        </w:rPr>
        <w:t>“中小企业”系指满足《政府采购促进中小企业发展管理办法》(财库〔2020〕46号)第二条规定的企业。</w:t>
      </w:r>
    </w:p>
    <w:p w14:paraId="69E9984B">
      <w:pPr>
        <w:numPr>
          <w:ilvl w:val="1"/>
          <w:numId w:val="7"/>
        </w:numPr>
        <w:tabs>
          <w:tab w:val="left" w:pos="360"/>
          <w:tab w:val="left" w:pos="588"/>
        </w:tabs>
        <w:spacing w:line="360" w:lineRule="auto"/>
        <w:rPr>
          <w:rFonts w:ascii="宋体"/>
          <w:color w:val="auto"/>
          <w:sz w:val="24"/>
          <w:highlight w:val="none"/>
        </w:rPr>
      </w:pPr>
      <w:r>
        <w:rPr>
          <w:rFonts w:hint="eastAsia" w:ascii="宋体"/>
          <w:color w:val="auto"/>
          <w:kern w:val="0"/>
          <w:sz w:val="24"/>
          <w:highlight w:val="none"/>
        </w:rPr>
        <w:t>“监狱企业”系指《财政部、司法部关于政府采购支持监狱企业发展有关问题的通知》（财库〔2014〕68号）第一条规定的企业。</w:t>
      </w:r>
    </w:p>
    <w:p w14:paraId="0B38E77D">
      <w:pPr>
        <w:numPr>
          <w:ilvl w:val="1"/>
          <w:numId w:val="7"/>
        </w:numPr>
        <w:tabs>
          <w:tab w:val="left" w:pos="360"/>
          <w:tab w:val="left" w:pos="588"/>
        </w:tabs>
        <w:spacing w:line="360" w:lineRule="auto"/>
        <w:rPr>
          <w:rFonts w:ascii="宋体"/>
          <w:color w:val="auto"/>
          <w:sz w:val="24"/>
          <w:highlight w:val="none"/>
        </w:rPr>
      </w:pPr>
      <w:r>
        <w:rPr>
          <w:rFonts w:hint="eastAsia" w:ascii="宋体"/>
          <w:color w:val="auto"/>
          <w:kern w:val="0"/>
          <w:sz w:val="24"/>
          <w:highlight w:val="none"/>
        </w:rPr>
        <w:t>“残疾人福利性单位” 系指满足《财政部、民政部 中国残疾人联合会关于促进残疾人就业政府采购政策的通知》（财库【2017】141号）第一条规定的单位。</w:t>
      </w:r>
    </w:p>
    <w:p w14:paraId="4F4038C6">
      <w:pPr>
        <w:pStyle w:val="4"/>
        <w:numPr>
          <w:ilvl w:val="0"/>
          <w:numId w:val="7"/>
        </w:numPr>
        <w:rPr>
          <w:rFonts w:ascii="宋体"/>
          <w:color w:val="auto"/>
          <w:sz w:val="24"/>
          <w:szCs w:val="21"/>
          <w:highlight w:val="none"/>
        </w:rPr>
      </w:pPr>
      <w:bookmarkStart w:id="96" w:name="_Toc184043016"/>
      <w:bookmarkStart w:id="97" w:name="_Toc249525163"/>
      <w:bookmarkStart w:id="98" w:name="_Toc56534768"/>
      <w:bookmarkStart w:id="99" w:name="_Toc389620168"/>
      <w:bookmarkStart w:id="100" w:name="_Toc249515394"/>
      <w:bookmarkStart w:id="101" w:name="_Toc385992329"/>
      <w:bookmarkStart w:id="102" w:name="_Toc249515282"/>
      <w:bookmarkStart w:id="103" w:name="_Toc70687143"/>
      <w:r>
        <w:rPr>
          <w:rFonts w:hint="eastAsia" w:ascii="宋体"/>
          <w:color w:val="auto"/>
          <w:sz w:val="24"/>
          <w:szCs w:val="21"/>
          <w:highlight w:val="none"/>
        </w:rPr>
        <w:t>合格的</w:t>
      </w:r>
      <w:bookmarkEnd w:id="96"/>
      <w:bookmarkEnd w:id="97"/>
      <w:bookmarkEnd w:id="98"/>
      <w:bookmarkEnd w:id="99"/>
      <w:bookmarkEnd w:id="100"/>
      <w:bookmarkEnd w:id="101"/>
      <w:bookmarkEnd w:id="102"/>
      <w:bookmarkEnd w:id="103"/>
      <w:r>
        <w:rPr>
          <w:rFonts w:hint="eastAsia" w:ascii="宋体"/>
          <w:color w:val="auto"/>
          <w:sz w:val="24"/>
          <w:szCs w:val="21"/>
          <w:highlight w:val="none"/>
        </w:rPr>
        <w:t>供应商</w:t>
      </w:r>
    </w:p>
    <w:p w14:paraId="4C565F83">
      <w:pPr>
        <w:numPr>
          <w:ilvl w:val="1"/>
          <w:numId w:val="7"/>
        </w:numPr>
        <w:tabs>
          <w:tab w:val="left" w:pos="360"/>
          <w:tab w:val="left" w:pos="588"/>
        </w:tabs>
        <w:spacing w:line="360" w:lineRule="auto"/>
        <w:rPr>
          <w:rFonts w:ascii="宋体"/>
          <w:color w:val="auto"/>
          <w:kern w:val="24"/>
          <w:sz w:val="24"/>
          <w:szCs w:val="21"/>
          <w:highlight w:val="none"/>
        </w:rPr>
      </w:pPr>
      <w:r>
        <w:rPr>
          <w:rFonts w:hint="eastAsia" w:ascii="宋体"/>
          <w:color w:val="auto"/>
          <w:kern w:val="24"/>
          <w:sz w:val="24"/>
          <w:szCs w:val="21"/>
          <w:highlight w:val="none"/>
        </w:rPr>
        <w:t xml:space="preserve"> 供应商基本资质要求详见本项目供应商须知前附表。</w:t>
      </w:r>
    </w:p>
    <w:p w14:paraId="76F6FCA0">
      <w:pPr>
        <w:numPr>
          <w:ilvl w:val="1"/>
          <w:numId w:val="7"/>
        </w:numPr>
        <w:tabs>
          <w:tab w:val="left" w:pos="360"/>
          <w:tab w:val="left" w:pos="588"/>
        </w:tabs>
        <w:spacing w:line="360" w:lineRule="auto"/>
        <w:rPr>
          <w:rFonts w:ascii="宋体"/>
          <w:color w:val="auto"/>
          <w:kern w:val="24"/>
          <w:sz w:val="24"/>
          <w:szCs w:val="21"/>
          <w:highlight w:val="none"/>
        </w:rPr>
      </w:pPr>
      <w:r>
        <w:rPr>
          <w:rFonts w:hint="eastAsia" w:ascii="宋体"/>
          <w:color w:val="auto"/>
          <w:kern w:val="24"/>
          <w:sz w:val="24"/>
          <w:szCs w:val="21"/>
          <w:highlight w:val="none"/>
        </w:rPr>
        <w:t xml:space="preserve"> 供应商应遵守《中华人民共和国政府采购法》及其它有关的中国法律和法规。</w:t>
      </w:r>
    </w:p>
    <w:p w14:paraId="5392EA29">
      <w:pPr>
        <w:pStyle w:val="4"/>
        <w:numPr>
          <w:ilvl w:val="0"/>
          <w:numId w:val="7"/>
        </w:numPr>
        <w:rPr>
          <w:rFonts w:ascii="宋体"/>
          <w:color w:val="auto"/>
          <w:sz w:val="24"/>
          <w:szCs w:val="21"/>
          <w:highlight w:val="none"/>
        </w:rPr>
      </w:pPr>
      <w:bookmarkStart w:id="104" w:name="_Toc385992330"/>
      <w:bookmarkStart w:id="105" w:name="_Toc70687144"/>
      <w:bookmarkStart w:id="106" w:name="_Toc184043017"/>
      <w:bookmarkStart w:id="107" w:name="_Toc389620169"/>
      <w:bookmarkStart w:id="108" w:name="_Toc249515283"/>
      <w:bookmarkStart w:id="109" w:name="_Toc249515395"/>
      <w:bookmarkStart w:id="110" w:name="_Toc56534769"/>
      <w:bookmarkStart w:id="111" w:name="_Toc249525164"/>
      <w:r>
        <w:rPr>
          <w:rFonts w:hint="eastAsia" w:ascii="宋体"/>
          <w:color w:val="auto"/>
          <w:sz w:val="24"/>
          <w:szCs w:val="21"/>
          <w:highlight w:val="none"/>
        </w:rPr>
        <w:t>响应费用</w:t>
      </w:r>
      <w:bookmarkEnd w:id="104"/>
      <w:bookmarkEnd w:id="105"/>
      <w:bookmarkEnd w:id="106"/>
      <w:bookmarkEnd w:id="107"/>
      <w:bookmarkEnd w:id="108"/>
      <w:bookmarkEnd w:id="109"/>
      <w:bookmarkEnd w:id="110"/>
      <w:bookmarkEnd w:id="111"/>
    </w:p>
    <w:p w14:paraId="6A41A6A2">
      <w:pPr>
        <w:numPr>
          <w:ilvl w:val="1"/>
          <w:numId w:val="7"/>
        </w:numPr>
        <w:tabs>
          <w:tab w:val="left" w:pos="360"/>
          <w:tab w:val="left" w:pos="588"/>
        </w:tabs>
        <w:spacing w:line="360" w:lineRule="auto"/>
        <w:rPr>
          <w:rFonts w:ascii="宋体"/>
          <w:color w:val="auto"/>
          <w:kern w:val="24"/>
          <w:sz w:val="24"/>
          <w:szCs w:val="21"/>
          <w:highlight w:val="none"/>
        </w:rPr>
      </w:pPr>
      <w:r>
        <w:rPr>
          <w:rFonts w:hint="eastAsia" w:ascii="宋体"/>
          <w:color w:val="auto"/>
          <w:kern w:val="24"/>
          <w:sz w:val="24"/>
          <w:szCs w:val="21"/>
          <w:highlight w:val="none"/>
        </w:rPr>
        <w:t xml:space="preserve"> 供应商应承担所有与编写和提交响应文件有关的费用，无论响应过程和结果如何，采购人在任何情况下均无义务和责任承担这些费用。</w:t>
      </w:r>
    </w:p>
    <w:p w14:paraId="19AE4167">
      <w:pPr>
        <w:jc w:val="center"/>
        <w:outlineLvl w:val="1"/>
        <w:rPr>
          <w:rFonts w:ascii="宋体"/>
          <w:b/>
          <w:color w:val="auto"/>
          <w:sz w:val="24"/>
          <w:highlight w:val="none"/>
        </w:rPr>
      </w:pPr>
      <w:bookmarkStart w:id="112" w:name="_Toc499711045"/>
      <w:bookmarkStart w:id="113" w:name="_Toc177995475"/>
      <w:bookmarkStart w:id="114" w:name="_Toc232176274"/>
      <w:bookmarkStart w:id="115" w:name="_Toc500747064"/>
      <w:bookmarkStart w:id="116" w:name="_Toc256342145"/>
      <w:bookmarkStart w:id="117" w:name="_Toc249515284"/>
      <w:bookmarkStart w:id="118" w:name="_Toc385992331"/>
      <w:bookmarkStart w:id="119" w:name="_Toc70687145"/>
      <w:bookmarkStart w:id="120" w:name="_Toc53722842"/>
      <w:bookmarkStart w:id="121" w:name="_Toc503063424"/>
      <w:bookmarkStart w:id="122" w:name="_Toc184043018"/>
      <w:bookmarkStart w:id="123" w:name="_Toc230099799"/>
      <w:bookmarkStart w:id="124" w:name="_Toc496324581"/>
      <w:bookmarkStart w:id="125" w:name="_Toc177189237"/>
      <w:bookmarkStart w:id="126" w:name="_Toc176882544"/>
      <w:bookmarkStart w:id="127" w:name="_Toc177817336"/>
      <w:bookmarkStart w:id="128" w:name="_Toc249525165"/>
      <w:bookmarkStart w:id="129" w:name="_Toc499711886"/>
      <w:bookmarkStart w:id="130" w:name="_Toc389620170"/>
      <w:bookmarkStart w:id="131" w:name="_Toc500747191"/>
      <w:bookmarkStart w:id="132" w:name="_Toc492955417"/>
      <w:bookmarkStart w:id="133" w:name="_Toc249515396"/>
      <w:bookmarkStart w:id="134" w:name="_Toc500746968"/>
      <w:bookmarkStart w:id="135" w:name="_Toc230583543"/>
      <w:bookmarkStart w:id="136" w:name="_Toc232395214"/>
      <w:bookmarkStart w:id="137" w:name="_Toc230013634"/>
    </w:p>
    <w:p w14:paraId="78071CBF">
      <w:pPr>
        <w:jc w:val="center"/>
        <w:outlineLvl w:val="1"/>
        <w:rPr>
          <w:rFonts w:ascii="宋体"/>
          <w:b/>
          <w:color w:val="auto"/>
          <w:sz w:val="24"/>
          <w:highlight w:val="none"/>
        </w:rPr>
      </w:pPr>
    </w:p>
    <w:p w14:paraId="0145A1D3">
      <w:pPr>
        <w:jc w:val="center"/>
        <w:outlineLvl w:val="1"/>
        <w:rPr>
          <w:rFonts w:ascii="宋体"/>
          <w:b/>
          <w:color w:val="auto"/>
          <w:sz w:val="24"/>
          <w:highlight w:val="none"/>
        </w:rPr>
      </w:pPr>
    </w:p>
    <w:p w14:paraId="541DBCB7">
      <w:pPr>
        <w:jc w:val="center"/>
        <w:outlineLvl w:val="1"/>
        <w:rPr>
          <w:rFonts w:ascii="宋体"/>
          <w:b/>
          <w:color w:val="auto"/>
          <w:sz w:val="24"/>
          <w:highlight w:val="none"/>
        </w:rPr>
      </w:pPr>
      <w:bookmarkStart w:id="138" w:name="_Toc7889"/>
      <w:r>
        <w:rPr>
          <w:rFonts w:hint="eastAsia" w:ascii="宋体"/>
          <w:b/>
          <w:color w:val="auto"/>
          <w:sz w:val="24"/>
          <w:highlight w:val="none"/>
        </w:rPr>
        <w:t>二、竞争性磋商文件说明</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1315AF01">
      <w:pPr>
        <w:pStyle w:val="4"/>
        <w:numPr>
          <w:ilvl w:val="0"/>
          <w:numId w:val="7"/>
        </w:numPr>
        <w:rPr>
          <w:rFonts w:ascii="宋体"/>
          <w:color w:val="auto"/>
          <w:sz w:val="24"/>
          <w:szCs w:val="21"/>
          <w:highlight w:val="none"/>
        </w:rPr>
      </w:pPr>
      <w:bookmarkStart w:id="139" w:name="_Toc56534770"/>
      <w:bookmarkStart w:id="140" w:name="_Toc385992332"/>
      <w:bookmarkStart w:id="141" w:name="_Toc249515397"/>
      <w:bookmarkStart w:id="142" w:name="_Toc249515285"/>
      <w:bookmarkStart w:id="143" w:name="_Toc249525166"/>
      <w:bookmarkStart w:id="144" w:name="_Toc389620171"/>
      <w:bookmarkStart w:id="145" w:name="_Toc184043019"/>
      <w:bookmarkStart w:id="146" w:name="_Toc70687146"/>
      <w:r>
        <w:rPr>
          <w:rFonts w:hint="eastAsia" w:ascii="宋体"/>
          <w:color w:val="auto"/>
          <w:sz w:val="24"/>
          <w:szCs w:val="21"/>
          <w:highlight w:val="none"/>
        </w:rPr>
        <w:t>通知</w:t>
      </w:r>
      <w:bookmarkEnd w:id="139"/>
    </w:p>
    <w:p w14:paraId="5EF9946F">
      <w:pPr>
        <w:numPr>
          <w:ilvl w:val="1"/>
          <w:numId w:val="7"/>
        </w:numPr>
        <w:tabs>
          <w:tab w:val="left" w:pos="360"/>
          <w:tab w:val="left" w:pos="588"/>
        </w:tabs>
        <w:spacing w:line="360" w:lineRule="auto"/>
        <w:rPr>
          <w:rFonts w:ascii="宋体"/>
          <w:color w:val="auto"/>
          <w:kern w:val="24"/>
          <w:sz w:val="24"/>
          <w:szCs w:val="21"/>
          <w:highlight w:val="none"/>
        </w:rPr>
      </w:pPr>
      <w:r>
        <w:rPr>
          <w:rFonts w:hint="eastAsia" w:ascii="宋体"/>
          <w:color w:val="auto"/>
          <w:kern w:val="24"/>
          <w:sz w:val="24"/>
          <w:szCs w:val="21"/>
          <w:highlight w:val="none"/>
        </w:rPr>
        <w:t xml:space="preserve"> 对与本项目有关的通知，采购机构将以书面（包括书面材料、信函、传真、电子邮件等，下同）的形式，送达所有与通知有关的已登记备案并领取了竞争性磋商文件的供应商，传真号码以供应商登记的为准。供应商应于收到通知后按规定时间以书面方式予以回复确认。因潜在供应商提供信息有误或传真线路故障导致通知延迟送达或无法送达，采购机构不承担责任。</w:t>
      </w:r>
    </w:p>
    <w:p w14:paraId="2F20C6F1">
      <w:pPr>
        <w:numPr>
          <w:ilvl w:val="1"/>
          <w:numId w:val="7"/>
        </w:numPr>
        <w:tabs>
          <w:tab w:val="left" w:pos="360"/>
          <w:tab w:val="left" w:pos="588"/>
        </w:tabs>
        <w:spacing w:line="360" w:lineRule="auto"/>
        <w:rPr>
          <w:rFonts w:ascii="宋体"/>
          <w:color w:val="auto"/>
          <w:kern w:val="24"/>
          <w:sz w:val="24"/>
          <w:szCs w:val="21"/>
          <w:highlight w:val="none"/>
        </w:rPr>
      </w:pPr>
      <w:r>
        <w:rPr>
          <w:rFonts w:hint="eastAsia" w:ascii="宋体"/>
          <w:color w:val="auto"/>
          <w:kern w:val="24"/>
          <w:sz w:val="24"/>
          <w:szCs w:val="21"/>
          <w:highlight w:val="none"/>
        </w:rPr>
        <w:t>供应商应认真阅读磋商文件中所有的事项、格式条款和规范要求等。供应商须知晓因未对磋商文件做出全面的实质性响应所带来的一切风险。采购机构有权拒绝没有对磋商文件要求做出实质性响应的报价。</w:t>
      </w:r>
    </w:p>
    <w:p w14:paraId="0A89FBB4">
      <w:pPr>
        <w:pStyle w:val="4"/>
        <w:numPr>
          <w:ilvl w:val="0"/>
          <w:numId w:val="7"/>
        </w:numPr>
        <w:rPr>
          <w:rFonts w:ascii="宋体"/>
          <w:color w:val="auto"/>
          <w:sz w:val="24"/>
          <w:szCs w:val="21"/>
          <w:highlight w:val="none"/>
        </w:rPr>
      </w:pPr>
      <w:bookmarkStart w:id="147" w:name="_Toc56534771"/>
      <w:r>
        <w:rPr>
          <w:rFonts w:hint="eastAsia" w:ascii="宋体"/>
          <w:color w:val="auto"/>
          <w:sz w:val="24"/>
          <w:szCs w:val="21"/>
          <w:highlight w:val="none"/>
        </w:rPr>
        <w:t>竞争性磋商文件的构成</w:t>
      </w:r>
      <w:bookmarkEnd w:id="140"/>
      <w:bookmarkEnd w:id="141"/>
      <w:bookmarkEnd w:id="142"/>
      <w:bookmarkEnd w:id="143"/>
      <w:bookmarkEnd w:id="144"/>
      <w:bookmarkEnd w:id="145"/>
      <w:bookmarkEnd w:id="146"/>
      <w:bookmarkEnd w:id="147"/>
    </w:p>
    <w:p w14:paraId="40B32B1E">
      <w:pPr>
        <w:numPr>
          <w:ilvl w:val="1"/>
          <w:numId w:val="7"/>
        </w:numPr>
        <w:tabs>
          <w:tab w:val="left" w:pos="360"/>
          <w:tab w:val="left" w:pos="588"/>
        </w:tabs>
        <w:spacing w:line="360" w:lineRule="auto"/>
        <w:rPr>
          <w:rFonts w:ascii="宋体"/>
          <w:color w:val="auto"/>
          <w:sz w:val="24"/>
          <w:highlight w:val="none"/>
        </w:rPr>
      </w:pPr>
      <w:r>
        <w:rPr>
          <w:rFonts w:hint="eastAsia" w:ascii="宋体"/>
          <w:color w:val="auto"/>
          <w:sz w:val="24"/>
          <w:highlight w:val="none"/>
        </w:rPr>
        <w:t xml:space="preserve"> 竞争性磋商文件用以阐明供应商所需提供的货物/服务以及其它类似的义务、磋商程序和合同条款。竞争性磋商文件包括如下五部分内容：</w:t>
      </w:r>
    </w:p>
    <w:p w14:paraId="198939D6">
      <w:pPr>
        <w:numPr>
          <w:ilvl w:val="0"/>
          <w:numId w:val="8"/>
        </w:numPr>
        <w:tabs>
          <w:tab w:val="left" w:pos="588"/>
        </w:tabs>
        <w:spacing w:line="360" w:lineRule="auto"/>
        <w:ind w:left="1798" w:hanging="958"/>
        <w:rPr>
          <w:rFonts w:ascii="宋体"/>
          <w:color w:val="auto"/>
          <w:sz w:val="24"/>
          <w:szCs w:val="21"/>
          <w:highlight w:val="none"/>
        </w:rPr>
      </w:pPr>
      <w:r>
        <w:rPr>
          <w:rFonts w:hint="eastAsia" w:ascii="宋体"/>
          <w:color w:val="auto"/>
          <w:sz w:val="24"/>
          <w:szCs w:val="21"/>
          <w:highlight w:val="none"/>
        </w:rPr>
        <w:t>磋商邀请</w:t>
      </w:r>
    </w:p>
    <w:p w14:paraId="215C8135">
      <w:pPr>
        <w:numPr>
          <w:ilvl w:val="0"/>
          <w:numId w:val="8"/>
        </w:numPr>
        <w:tabs>
          <w:tab w:val="left" w:pos="588"/>
        </w:tabs>
        <w:spacing w:line="360" w:lineRule="auto"/>
        <w:ind w:left="1798" w:hanging="958"/>
        <w:rPr>
          <w:rFonts w:ascii="宋体"/>
          <w:color w:val="auto"/>
          <w:sz w:val="24"/>
          <w:szCs w:val="21"/>
          <w:highlight w:val="none"/>
        </w:rPr>
      </w:pPr>
      <w:r>
        <w:rPr>
          <w:rFonts w:hint="eastAsia" w:ascii="宋体"/>
          <w:color w:val="auto"/>
          <w:sz w:val="24"/>
          <w:szCs w:val="21"/>
          <w:highlight w:val="none"/>
        </w:rPr>
        <w:t>供应商须知</w:t>
      </w:r>
    </w:p>
    <w:p w14:paraId="2115AB20">
      <w:pPr>
        <w:numPr>
          <w:ilvl w:val="0"/>
          <w:numId w:val="8"/>
        </w:numPr>
        <w:tabs>
          <w:tab w:val="left" w:pos="588"/>
        </w:tabs>
        <w:spacing w:line="360" w:lineRule="auto"/>
        <w:ind w:left="1798" w:hanging="958"/>
        <w:rPr>
          <w:rFonts w:ascii="宋体"/>
          <w:color w:val="auto"/>
          <w:sz w:val="24"/>
          <w:szCs w:val="21"/>
          <w:highlight w:val="none"/>
        </w:rPr>
      </w:pPr>
      <w:r>
        <w:rPr>
          <w:rFonts w:hint="eastAsia" w:ascii="宋体"/>
          <w:color w:val="auto"/>
          <w:sz w:val="24"/>
          <w:szCs w:val="21"/>
          <w:highlight w:val="none"/>
        </w:rPr>
        <w:t>合同主要条款及格式</w:t>
      </w:r>
    </w:p>
    <w:p w14:paraId="444F8D8B">
      <w:pPr>
        <w:numPr>
          <w:ilvl w:val="0"/>
          <w:numId w:val="8"/>
        </w:numPr>
        <w:tabs>
          <w:tab w:val="left" w:pos="588"/>
        </w:tabs>
        <w:spacing w:line="360" w:lineRule="auto"/>
        <w:ind w:left="1798" w:hanging="958"/>
        <w:rPr>
          <w:rFonts w:ascii="宋体"/>
          <w:color w:val="auto"/>
          <w:sz w:val="24"/>
          <w:szCs w:val="21"/>
          <w:highlight w:val="none"/>
        </w:rPr>
      </w:pPr>
      <w:r>
        <w:rPr>
          <w:rFonts w:hint="eastAsia" w:ascii="宋体"/>
          <w:color w:val="auto"/>
          <w:sz w:val="24"/>
          <w:szCs w:val="21"/>
          <w:highlight w:val="none"/>
        </w:rPr>
        <w:t>项目需求书</w:t>
      </w:r>
    </w:p>
    <w:p w14:paraId="3BE7FB1A">
      <w:pPr>
        <w:numPr>
          <w:ilvl w:val="0"/>
          <w:numId w:val="8"/>
        </w:numPr>
        <w:tabs>
          <w:tab w:val="left" w:pos="588"/>
        </w:tabs>
        <w:spacing w:line="360" w:lineRule="auto"/>
        <w:ind w:left="1798" w:hanging="958"/>
        <w:rPr>
          <w:rFonts w:ascii="宋体"/>
          <w:color w:val="auto"/>
          <w:sz w:val="24"/>
          <w:szCs w:val="21"/>
          <w:highlight w:val="none"/>
        </w:rPr>
      </w:pPr>
      <w:r>
        <w:rPr>
          <w:rFonts w:hint="eastAsia" w:ascii="宋体"/>
          <w:color w:val="auto"/>
          <w:sz w:val="24"/>
          <w:highlight w:val="none"/>
        </w:rPr>
        <w:t>评分标准</w:t>
      </w:r>
    </w:p>
    <w:p w14:paraId="19DFC155">
      <w:pPr>
        <w:numPr>
          <w:ilvl w:val="0"/>
          <w:numId w:val="8"/>
        </w:numPr>
        <w:tabs>
          <w:tab w:val="left" w:pos="588"/>
        </w:tabs>
        <w:spacing w:line="360" w:lineRule="auto"/>
        <w:ind w:left="1798" w:hanging="958"/>
        <w:rPr>
          <w:rFonts w:ascii="宋体"/>
          <w:color w:val="auto"/>
          <w:sz w:val="24"/>
          <w:highlight w:val="none"/>
        </w:rPr>
      </w:pPr>
      <w:r>
        <w:rPr>
          <w:rFonts w:hint="eastAsia" w:ascii="宋体"/>
          <w:color w:val="auto"/>
          <w:sz w:val="24"/>
          <w:szCs w:val="21"/>
          <w:highlight w:val="none"/>
        </w:rPr>
        <w:t>附件--响应文件格式</w:t>
      </w:r>
    </w:p>
    <w:p w14:paraId="3D8C37E3">
      <w:pPr>
        <w:pStyle w:val="4"/>
        <w:numPr>
          <w:ilvl w:val="0"/>
          <w:numId w:val="7"/>
        </w:numPr>
        <w:rPr>
          <w:color w:val="auto"/>
          <w:sz w:val="24"/>
          <w:szCs w:val="24"/>
          <w:highlight w:val="none"/>
        </w:rPr>
      </w:pPr>
      <w:bookmarkStart w:id="148" w:name="_Toc249515286"/>
      <w:bookmarkStart w:id="149" w:name="_Toc249525167"/>
      <w:bookmarkStart w:id="150" w:name="_Toc385992333"/>
      <w:bookmarkStart w:id="151" w:name="_Toc389620172"/>
      <w:bookmarkStart w:id="152" w:name="_Toc249515398"/>
      <w:bookmarkStart w:id="153" w:name="_Toc70687147"/>
      <w:bookmarkStart w:id="154" w:name="_Toc184043020"/>
      <w:bookmarkStart w:id="155" w:name="_Toc56534772"/>
      <w:r>
        <w:rPr>
          <w:rFonts w:hint="eastAsia" w:ascii="宋体"/>
          <w:color w:val="auto"/>
          <w:sz w:val="24"/>
          <w:szCs w:val="21"/>
          <w:highlight w:val="none"/>
        </w:rPr>
        <w:t>竞争性磋商文件的澄清</w:t>
      </w:r>
      <w:bookmarkEnd w:id="148"/>
      <w:bookmarkEnd w:id="149"/>
      <w:bookmarkEnd w:id="150"/>
      <w:bookmarkEnd w:id="151"/>
      <w:bookmarkEnd w:id="152"/>
      <w:bookmarkEnd w:id="153"/>
      <w:bookmarkEnd w:id="154"/>
      <w:r>
        <w:rPr>
          <w:rFonts w:hint="eastAsia" w:ascii="宋体"/>
          <w:color w:val="auto"/>
          <w:sz w:val="24"/>
          <w:szCs w:val="21"/>
          <w:highlight w:val="none"/>
        </w:rPr>
        <w:t>和修改</w:t>
      </w:r>
      <w:bookmarkEnd w:id="155"/>
      <w:bookmarkStart w:id="156" w:name="_Toc503063425"/>
      <w:bookmarkStart w:id="157" w:name="_Toc500746969"/>
      <w:bookmarkStart w:id="158" w:name="_Toc500747192"/>
      <w:bookmarkStart w:id="159" w:name="_Toc496324582"/>
      <w:bookmarkStart w:id="160" w:name="_Toc499711887"/>
      <w:bookmarkStart w:id="161" w:name="_Toc70687149"/>
      <w:bookmarkStart w:id="162" w:name="_Toc499711046"/>
      <w:bookmarkStart w:id="163" w:name="_Toc389620174"/>
      <w:bookmarkStart w:id="164" w:name="_Toc500747065"/>
      <w:bookmarkStart w:id="165" w:name="_Toc492955418"/>
      <w:bookmarkStart w:id="166" w:name="_Toc53722843"/>
      <w:bookmarkStart w:id="167" w:name="_Toc385992335"/>
    </w:p>
    <w:p w14:paraId="51C6D6F7">
      <w:pPr>
        <w:numPr>
          <w:ilvl w:val="1"/>
          <w:numId w:val="7"/>
        </w:numPr>
        <w:tabs>
          <w:tab w:val="left" w:pos="360"/>
          <w:tab w:val="left" w:pos="588"/>
        </w:tabs>
        <w:spacing w:line="360" w:lineRule="auto"/>
        <w:rPr>
          <w:rFonts w:ascii="宋体"/>
          <w:color w:val="auto"/>
          <w:kern w:val="24"/>
          <w:sz w:val="24"/>
          <w:szCs w:val="21"/>
          <w:highlight w:val="none"/>
        </w:rPr>
      </w:pPr>
      <w:r>
        <w:rPr>
          <w:rFonts w:hint="eastAsia" w:ascii="宋体"/>
          <w:color w:val="auto"/>
          <w:kern w:val="24"/>
          <w:sz w:val="24"/>
          <w:szCs w:val="21"/>
          <w:highlight w:val="none"/>
        </w:rPr>
        <w:t>询问：任何已从采购机构规定的渠道获取了磋商文件的潜在供应，在发现磋商文件存在混淆或错乱等问题时，可以在获取磋商文件之日起三个工作日内以电话、电子邮件等方式向采购机构提出询问，采购机构将在收到询问后的一个工作日内以提出询问的同样方式予以答复，询问不能作为投诉的前提。如果潜在供应商认为磋商文件的部分设置使自己的权益受到损害，请按本磋商文件第36条规定提出质疑。</w:t>
      </w:r>
    </w:p>
    <w:p w14:paraId="3B429199">
      <w:pPr>
        <w:numPr>
          <w:ilvl w:val="1"/>
          <w:numId w:val="7"/>
        </w:numPr>
        <w:tabs>
          <w:tab w:val="left" w:pos="360"/>
          <w:tab w:val="left" w:pos="588"/>
        </w:tabs>
        <w:spacing w:line="360" w:lineRule="auto"/>
        <w:rPr>
          <w:rFonts w:ascii="宋体"/>
          <w:color w:val="auto"/>
          <w:kern w:val="24"/>
          <w:sz w:val="24"/>
          <w:szCs w:val="21"/>
          <w:highlight w:val="none"/>
        </w:rPr>
      </w:pPr>
      <w:r>
        <w:rPr>
          <w:rFonts w:hint="eastAsia" w:ascii="宋体"/>
          <w:color w:val="auto"/>
          <w:kern w:val="24"/>
          <w:sz w:val="24"/>
          <w:szCs w:val="21"/>
          <w:highlight w:val="none"/>
        </w:rPr>
        <w:t>澄清和修改：</w:t>
      </w:r>
    </w:p>
    <w:p w14:paraId="0D4311AD">
      <w:pPr>
        <w:numPr>
          <w:ilvl w:val="0"/>
          <w:numId w:val="0"/>
        </w:numPr>
        <w:tabs>
          <w:tab w:val="left" w:pos="360"/>
          <w:tab w:val="left" w:pos="588"/>
        </w:tabs>
        <w:spacing w:line="360" w:lineRule="auto"/>
        <w:ind w:left="284" w:leftChars="0"/>
        <w:rPr>
          <w:rFonts w:ascii="宋体"/>
          <w:color w:val="auto"/>
          <w:kern w:val="24"/>
          <w:sz w:val="24"/>
          <w:szCs w:val="21"/>
          <w:highlight w:val="none"/>
        </w:rPr>
      </w:pPr>
      <w:r>
        <w:rPr>
          <w:rFonts w:hint="eastAsia" w:ascii="宋体"/>
          <w:color w:val="auto"/>
          <w:kern w:val="24"/>
          <w:sz w:val="24"/>
          <w:szCs w:val="21"/>
          <w:highlight w:val="none"/>
          <w:lang w:eastAsia="zh-CN"/>
        </w:rPr>
        <w:t>（</w:t>
      </w:r>
      <w:r>
        <w:rPr>
          <w:rFonts w:hint="eastAsia" w:ascii="宋体"/>
          <w:color w:val="auto"/>
          <w:kern w:val="24"/>
          <w:sz w:val="24"/>
          <w:szCs w:val="21"/>
          <w:highlight w:val="none"/>
          <w:lang w:val="en-US" w:eastAsia="zh-CN"/>
        </w:rPr>
        <w:t>1</w:t>
      </w:r>
      <w:r>
        <w:rPr>
          <w:rFonts w:hint="eastAsia" w:ascii="宋体"/>
          <w:color w:val="auto"/>
          <w:kern w:val="24"/>
          <w:sz w:val="24"/>
          <w:szCs w:val="21"/>
          <w:highlight w:val="none"/>
          <w:lang w:eastAsia="zh-CN"/>
        </w:rPr>
        <w:t>）</w:t>
      </w:r>
      <w:r>
        <w:rPr>
          <w:rFonts w:hint="eastAsia" w:ascii="宋体"/>
          <w:color w:val="auto"/>
          <w:kern w:val="24"/>
          <w:sz w:val="24"/>
          <w:szCs w:val="21"/>
          <w:highlight w:val="none"/>
        </w:rPr>
        <w:t>磋商文件发出后，采购机构有权对磋商文件进行澄清和修改，澄清或修改内文件为磋商文件的组成部分，对所有获取了磋商文件的潜在供应商均具有约束力。</w:t>
      </w:r>
    </w:p>
    <w:p w14:paraId="28C5D46E">
      <w:pPr>
        <w:numPr>
          <w:ilvl w:val="0"/>
          <w:numId w:val="0"/>
        </w:numPr>
        <w:tabs>
          <w:tab w:val="left" w:pos="360"/>
          <w:tab w:val="left" w:pos="588"/>
        </w:tabs>
        <w:spacing w:line="360" w:lineRule="auto"/>
        <w:ind w:left="284" w:leftChars="0"/>
        <w:rPr>
          <w:rFonts w:ascii="宋体"/>
          <w:color w:val="auto"/>
          <w:kern w:val="24"/>
          <w:sz w:val="24"/>
          <w:szCs w:val="21"/>
          <w:highlight w:val="none"/>
        </w:rPr>
      </w:pPr>
      <w:r>
        <w:rPr>
          <w:rFonts w:hint="eastAsia" w:ascii="宋体"/>
          <w:color w:val="auto"/>
          <w:kern w:val="24"/>
          <w:sz w:val="24"/>
          <w:szCs w:val="21"/>
          <w:highlight w:val="none"/>
          <w:lang w:eastAsia="zh-CN"/>
        </w:rPr>
        <w:t>（</w:t>
      </w:r>
      <w:r>
        <w:rPr>
          <w:rFonts w:hint="eastAsia" w:ascii="宋体"/>
          <w:color w:val="auto"/>
          <w:kern w:val="24"/>
          <w:sz w:val="24"/>
          <w:szCs w:val="21"/>
          <w:highlight w:val="none"/>
          <w:lang w:val="en-US" w:eastAsia="zh-CN"/>
        </w:rPr>
        <w:t>2</w:t>
      </w:r>
      <w:r>
        <w:rPr>
          <w:rFonts w:hint="eastAsia" w:ascii="宋体"/>
          <w:color w:val="auto"/>
          <w:kern w:val="24"/>
          <w:sz w:val="24"/>
          <w:szCs w:val="21"/>
          <w:highlight w:val="none"/>
          <w:lang w:eastAsia="zh-CN"/>
        </w:rPr>
        <w:t>）</w:t>
      </w:r>
      <w:r>
        <w:rPr>
          <w:rFonts w:hint="eastAsia" w:ascii="宋体"/>
          <w:color w:val="auto"/>
          <w:kern w:val="24"/>
          <w:sz w:val="24"/>
          <w:szCs w:val="21"/>
          <w:highlight w:val="none"/>
        </w:rPr>
        <w:t>对磋商文件的澄清和修改，将在本次磋商公告的媒体上发布变更公告，并书面通知已获取磋商文件的潜在供应商，供应商应于收到补充文件后按规定的时间以书面形式回复确认。</w:t>
      </w:r>
    </w:p>
    <w:p w14:paraId="4FE4E6EA">
      <w:pPr>
        <w:numPr>
          <w:ilvl w:val="0"/>
          <w:numId w:val="0"/>
        </w:numPr>
        <w:tabs>
          <w:tab w:val="left" w:pos="360"/>
          <w:tab w:val="left" w:pos="588"/>
        </w:tabs>
        <w:spacing w:line="360" w:lineRule="auto"/>
        <w:ind w:left="284" w:leftChars="0"/>
        <w:rPr>
          <w:rFonts w:ascii="宋体"/>
          <w:color w:val="auto"/>
          <w:kern w:val="24"/>
          <w:sz w:val="24"/>
          <w:szCs w:val="21"/>
          <w:highlight w:val="none"/>
        </w:rPr>
      </w:pPr>
      <w:r>
        <w:rPr>
          <w:rFonts w:hint="eastAsia" w:ascii="宋体"/>
          <w:color w:val="auto"/>
          <w:kern w:val="24"/>
          <w:sz w:val="24"/>
          <w:szCs w:val="21"/>
          <w:highlight w:val="none"/>
          <w:lang w:eastAsia="zh-CN"/>
        </w:rPr>
        <w:t>（</w:t>
      </w:r>
      <w:r>
        <w:rPr>
          <w:rFonts w:hint="eastAsia" w:ascii="宋体"/>
          <w:color w:val="auto"/>
          <w:kern w:val="24"/>
          <w:sz w:val="24"/>
          <w:szCs w:val="21"/>
          <w:highlight w:val="none"/>
          <w:lang w:val="en-US" w:eastAsia="zh-CN"/>
        </w:rPr>
        <w:t>3</w:t>
      </w:r>
      <w:r>
        <w:rPr>
          <w:rFonts w:hint="eastAsia" w:ascii="宋体"/>
          <w:color w:val="auto"/>
          <w:kern w:val="24"/>
          <w:sz w:val="24"/>
          <w:szCs w:val="21"/>
          <w:highlight w:val="none"/>
          <w:lang w:eastAsia="zh-CN"/>
        </w:rPr>
        <w:t>）</w:t>
      </w:r>
      <w:r>
        <w:rPr>
          <w:rFonts w:hint="eastAsia" w:ascii="宋体"/>
          <w:color w:val="auto"/>
          <w:kern w:val="24"/>
          <w:sz w:val="24"/>
          <w:szCs w:val="21"/>
          <w:highlight w:val="none"/>
        </w:rPr>
        <w:t>如果澄清或修改内容可能影响响应文件编制的，澄清或修改内文件将在磋商截止时间至少五日前发出，不足上述时间的，采购机构将会顺延提交磋商文件的截止时间。磋商截止时间变更在提交响应文件截至时间三日前在本次磋商公告的媒体上发布变更公告。并通知所有从采购机构规定的渠道获取了磋商文件的潜在商，采购机构和供应商的权利及义务将受到新的截止期的约束。</w:t>
      </w:r>
    </w:p>
    <w:p w14:paraId="45085070">
      <w:pPr>
        <w:numPr>
          <w:ilvl w:val="1"/>
          <w:numId w:val="7"/>
        </w:numPr>
        <w:tabs>
          <w:tab w:val="left" w:pos="360"/>
          <w:tab w:val="left" w:pos="588"/>
        </w:tabs>
        <w:spacing w:line="360" w:lineRule="auto"/>
        <w:rPr>
          <w:color w:val="auto"/>
          <w:highlight w:val="none"/>
        </w:rPr>
      </w:pPr>
      <w:r>
        <w:rPr>
          <w:rFonts w:hint="eastAsia" w:ascii="宋体"/>
          <w:color w:val="auto"/>
          <w:kern w:val="24"/>
          <w:sz w:val="24"/>
          <w:szCs w:val="21"/>
          <w:highlight w:val="none"/>
        </w:rPr>
        <w:t xml:space="preserve"> 采购机构如果需要组织已获取磋商文件的潜在供应商现场考察或召磋商前答疑等活动，将会在磋商公告及磋商文件中明示，采购机构不再另行通知。</w:t>
      </w:r>
    </w:p>
    <w:p w14:paraId="57E94873">
      <w:pPr>
        <w:jc w:val="center"/>
        <w:outlineLvl w:val="1"/>
        <w:rPr>
          <w:rFonts w:ascii="宋体"/>
          <w:b/>
          <w:color w:val="auto"/>
          <w:sz w:val="24"/>
          <w:highlight w:val="none"/>
        </w:rPr>
      </w:pPr>
      <w:bookmarkStart w:id="168" w:name="_Toc177189238"/>
      <w:bookmarkStart w:id="169" w:name="_Toc249525169"/>
      <w:bookmarkStart w:id="170" w:name="_Toc230099800"/>
      <w:bookmarkStart w:id="171" w:name="_Toc230013635"/>
      <w:bookmarkStart w:id="172" w:name="_Toc232395215"/>
      <w:bookmarkStart w:id="173" w:name="_Toc232176275"/>
      <w:bookmarkStart w:id="174" w:name="_Toc176882545"/>
      <w:bookmarkStart w:id="175" w:name="_Toc177995476"/>
      <w:bookmarkStart w:id="176" w:name="_Toc177817337"/>
      <w:bookmarkStart w:id="177" w:name="_Toc230583544"/>
      <w:bookmarkStart w:id="178" w:name="_Toc184043022"/>
      <w:bookmarkStart w:id="179" w:name="_Toc249515288"/>
      <w:bookmarkStart w:id="180" w:name="_Toc249515400"/>
      <w:bookmarkStart w:id="181" w:name="_Toc256342146"/>
    </w:p>
    <w:p w14:paraId="07E1CA74">
      <w:pPr>
        <w:jc w:val="center"/>
        <w:outlineLvl w:val="1"/>
        <w:rPr>
          <w:rFonts w:ascii="宋体"/>
          <w:b/>
          <w:color w:val="auto"/>
          <w:sz w:val="24"/>
          <w:szCs w:val="21"/>
          <w:highlight w:val="none"/>
        </w:rPr>
      </w:pPr>
      <w:bookmarkStart w:id="182" w:name="_Toc556"/>
      <w:r>
        <w:rPr>
          <w:rFonts w:hint="eastAsia" w:ascii="宋体"/>
          <w:b/>
          <w:color w:val="auto"/>
          <w:sz w:val="24"/>
          <w:highlight w:val="none"/>
        </w:rPr>
        <w:t>三、响应文件的编写</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6DA33B55">
      <w:pPr>
        <w:pStyle w:val="4"/>
        <w:numPr>
          <w:ilvl w:val="0"/>
          <w:numId w:val="7"/>
        </w:numPr>
        <w:rPr>
          <w:rFonts w:ascii="宋体"/>
          <w:color w:val="auto"/>
          <w:sz w:val="24"/>
          <w:szCs w:val="21"/>
          <w:highlight w:val="none"/>
        </w:rPr>
      </w:pPr>
      <w:bookmarkStart w:id="183" w:name="_Toc249515401"/>
      <w:bookmarkStart w:id="184" w:name="_Toc249525170"/>
      <w:bookmarkStart w:id="185" w:name="_Toc70687150"/>
      <w:bookmarkStart w:id="186" w:name="_Toc249515289"/>
      <w:bookmarkStart w:id="187" w:name="_Toc184043023"/>
      <w:bookmarkStart w:id="188" w:name="_Toc56534773"/>
      <w:bookmarkStart w:id="189" w:name="_Toc389620176"/>
      <w:bookmarkStart w:id="190" w:name="_Toc385992337"/>
      <w:r>
        <w:rPr>
          <w:rFonts w:hint="eastAsia" w:ascii="宋体"/>
          <w:color w:val="auto"/>
          <w:sz w:val="24"/>
          <w:szCs w:val="21"/>
          <w:highlight w:val="none"/>
        </w:rPr>
        <w:t>响应文件语言</w:t>
      </w:r>
      <w:bookmarkEnd w:id="183"/>
      <w:bookmarkEnd w:id="184"/>
      <w:bookmarkEnd w:id="185"/>
      <w:bookmarkEnd w:id="186"/>
      <w:bookmarkEnd w:id="187"/>
      <w:bookmarkEnd w:id="188"/>
    </w:p>
    <w:p w14:paraId="37B6E2D3">
      <w:pPr>
        <w:numPr>
          <w:ilvl w:val="1"/>
          <w:numId w:val="7"/>
        </w:numPr>
        <w:tabs>
          <w:tab w:val="left" w:pos="360"/>
          <w:tab w:val="left" w:pos="588"/>
        </w:tabs>
        <w:spacing w:line="360" w:lineRule="auto"/>
        <w:rPr>
          <w:rFonts w:ascii="宋体"/>
          <w:color w:val="auto"/>
          <w:sz w:val="24"/>
          <w:highlight w:val="none"/>
        </w:rPr>
      </w:pPr>
      <w:r>
        <w:rPr>
          <w:rFonts w:hint="eastAsia" w:ascii="宋体"/>
          <w:color w:val="auto"/>
          <w:sz w:val="24"/>
          <w:highlight w:val="none"/>
        </w:rPr>
        <w:t>响应文件及与响应相关的所有文件均应以中文书写。</w:t>
      </w:r>
    </w:p>
    <w:p w14:paraId="4E581C52">
      <w:pPr>
        <w:pStyle w:val="4"/>
        <w:numPr>
          <w:ilvl w:val="0"/>
          <w:numId w:val="7"/>
        </w:numPr>
        <w:rPr>
          <w:rFonts w:ascii="宋体"/>
          <w:color w:val="auto"/>
          <w:sz w:val="24"/>
          <w:szCs w:val="21"/>
          <w:highlight w:val="none"/>
        </w:rPr>
      </w:pPr>
      <w:bookmarkStart w:id="191" w:name="_Toc184043024"/>
      <w:bookmarkStart w:id="192" w:name="_Toc249515402"/>
      <w:bookmarkStart w:id="193" w:name="_Toc249525171"/>
      <w:bookmarkStart w:id="194" w:name="_Toc70687151"/>
      <w:bookmarkStart w:id="195" w:name="_Toc56534774"/>
      <w:bookmarkStart w:id="196" w:name="_Toc249515290"/>
      <w:r>
        <w:rPr>
          <w:rFonts w:hint="eastAsia" w:ascii="宋体"/>
          <w:color w:val="auto"/>
          <w:sz w:val="24"/>
          <w:szCs w:val="21"/>
          <w:highlight w:val="none"/>
        </w:rPr>
        <w:t>计量单位</w:t>
      </w:r>
      <w:bookmarkEnd w:id="189"/>
      <w:bookmarkEnd w:id="190"/>
      <w:bookmarkEnd w:id="191"/>
      <w:bookmarkEnd w:id="192"/>
      <w:bookmarkEnd w:id="193"/>
      <w:bookmarkEnd w:id="194"/>
      <w:bookmarkEnd w:id="195"/>
      <w:bookmarkEnd w:id="196"/>
    </w:p>
    <w:p w14:paraId="69B890FF">
      <w:pPr>
        <w:numPr>
          <w:ilvl w:val="1"/>
          <w:numId w:val="7"/>
        </w:numPr>
        <w:tabs>
          <w:tab w:val="left" w:pos="360"/>
          <w:tab w:val="left" w:pos="588"/>
        </w:tabs>
        <w:spacing w:line="360" w:lineRule="auto"/>
        <w:rPr>
          <w:rFonts w:ascii="宋体"/>
          <w:b/>
          <w:color w:val="auto"/>
          <w:sz w:val="24"/>
          <w:highlight w:val="none"/>
        </w:rPr>
      </w:pPr>
      <w:r>
        <w:rPr>
          <w:rFonts w:hint="eastAsia" w:ascii="宋体"/>
          <w:color w:val="auto"/>
          <w:sz w:val="24"/>
          <w:highlight w:val="none"/>
        </w:rPr>
        <w:t>除在竞争性磋商文件的技术规格中另有规定外，计量单位应使用中华人民共和国法定计量单位。</w:t>
      </w:r>
    </w:p>
    <w:p w14:paraId="402F1061">
      <w:pPr>
        <w:pStyle w:val="4"/>
        <w:numPr>
          <w:ilvl w:val="0"/>
          <w:numId w:val="7"/>
        </w:numPr>
        <w:rPr>
          <w:rFonts w:ascii="宋体"/>
          <w:color w:val="auto"/>
          <w:sz w:val="24"/>
          <w:szCs w:val="21"/>
          <w:highlight w:val="none"/>
        </w:rPr>
      </w:pPr>
      <w:r>
        <w:rPr>
          <w:rFonts w:hint="eastAsia" w:ascii="宋体"/>
          <w:color w:val="auto"/>
          <w:sz w:val="24"/>
          <w:szCs w:val="21"/>
          <w:highlight w:val="none"/>
        </w:rPr>
        <w:t>应答文件的组成</w:t>
      </w:r>
    </w:p>
    <w:p w14:paraId="24B84BB7">
      <w:pPr>
        <w:tabs>
          <w:tab w:val="left" w:pos="588"/>
        </w:tabs>
        <w:spacing w:line="360" w:lineRule="auto"/>
        <w:ind w:firstLine="235"/>
        <w:rPr>
          <w:rFonts w:ascii="宋体"/>
          <w:color w:val="auto"/>
          <w:sz w:val="24"/>
          <w:highlight w:val="none"/>
        </w:rPr>
      </w:pPr>
      <w:r>
        <w:rPr>
          <w:rFonts w:hint="eastAsia" w:ascii="宋体"/>
          <w:color w:val="auto"/>
          <w:sz w:val="24"/>
          <w:highlight w:val="none"/>
        </w:rPr>
        <w:t>10.1 供应商编写的应答文件应包括以下两类文件：</w:t>
      </w:r>
    </w:p>
    <w:p w14:paraId="7650E9B3">
      <w:pPr>
        <w:spacing w:line="360" w:lineRule="auto"/>
        <w:rPr>
          <w:rFonts w:ascii="宋体"/>
          <w:b/>
          <w:color w:val="auto"/>
          <w:kern w:val="0"/>
          <w:sz w:val="24"/>
          <w:szCs w:val="21"/>
          <w:highlight w:val="none"/>
        </w:rPr>
      </w:pPr>
      <w:r>
        <w:rPr>
          <w:rFonts w:hint="eastAsia" w:ascii="宋体"/>
          <w:b/>
          <w:color w:val="auto"/>
          <w:kern w:val="0"/>
          <w:sz w:val="24"/>
          <w:szCs w:val="21"/>
          <w:highlight w:val="none"/>
        </w:rPr>
        <w:t>第一类文件：资格审核材料</w:t>
      </w:r>
    </w:p>
    <w:p w14:paraId="6643A4BE">
      <w:pPr>
        <w:tabs>
          <w:tab w:val="left" w:pos="360"/>
          <w:tab w:val="left" w:pos="588"/>
        </w:tabs>
        <w:spacing w:line="360" w:lineRule="auto"/>
        <w:ind w:firstLine="480" w:firstLineChars="200"/>
        <w:rPr>
          <w:rFonts w:ascii="宋体"/>
          <w:color w:val="auto"/>
          <w:kern w:val="0"/>
          <w:sz w:val="24"/>
          <w:highlight w:val="none"/>
        </w:rPr>
      </w:pPr>
      <w:r>
        <w:rPr>
          <w:rFonts w:hint="eastAsia" w:ascii="宋体"/>
          <w:color w:val="auto"/>
          <w:kern w:val="0"/>
          <w:sz w:val="24"/>
          <w:highlight w:val="none"/>
        </w:rPr>
        <w:t>（一）供应商营业执照或自然人的身份证明（仅限自然人参与应答）复印件；</w:t>
      </w:r>
    </w:p>
    <w:p w14:paraId="70CDD98D">
      <w:pPr>
        <w:tabs>
          <w:tab w:val="left" w:pos="360"/>
          <w:tab w:val="left" w:pos="588"/>
        </w:tabs>
        <w:spacing w:line="360" w:lineRule="auto"/>
        <w:ind w:firstLine="480" w:firstLineChars="200"/>
        <w:rPr>
          <w:rFonts w:ascii="宋体"/>
          <w:color w:val="auto"/>
          <w:kern w:val="0"/>
          <w:sz w:val="24"/>
          <w:highlight w:val="none"/>
        </w:rPr>
      </w:pPr>
      <w:r>
        <w:rPr>
          <w:rFonts w:hint="eastAsia" w:ascii="宋体"/>
          <w:color w:val="auto"/>
          <w:kern w:val="0"/>
          <w:sz w:val="24"/>
          <w:highlight w:val="none"/>
        </w:rPr>
        <w:t>（二）供应商税务登记证复印件（已提交三证合一证件的，可不单独提供此件）；</w:t>
      </w:r>
    </w:p>
    <w:p w14:paraId="0928609B">
      <w:pPr>
        <w:tabs>
          <w:tab w:val="left" w:pos="360"/>
          <w:tab w:val="left" w:pos="588"/>
        </w:tabs>
        <w:spacing w:line="360" w:lineRule="auto"/>
        <w:ind w:firstLine="480" w:firstLineChars="200"/>
        <w:rPr>
          <w:rFonts w:ascii="宋体"/>
          <w:color w:val="auto"/>
          <w:kern w:val="0"/>
          <w:sz w:val="24"/>
          <w:highlight w:val="none"/>
        </w:rPr>
      </w:pPr>
      <w:r>
        <w:rPr>
          <w:rFonts w:hint="eastAsia" w:ascii="宋体"/>
          <w:color w:val="auto"/>
          <w:kern w:val="0"/>
          <w:sz w:val="24"/>
          <w:highlight w:val="none"/>
        </w:rPr>
        <w:t>（三）</w:t>
      </w:r>
      <w:r>
        <w:rPr>
          <w:rFonts w:hint="eastAsia" w:ascii="宋体"/>
          <w:color w:val="auto"/>
          <w:sz w:val="24"/>
          <w:highlight w:val="none"/>
        </w:rPr>
        <w:t>供应商必须具有良好的商业信誉和健全的财务会计制度（提供202</w:t>
      </w:r>
      <w:r>
        <w:rPr>
          <w:rFonts w:hint="eastAsia" w:ascii="宋体"/>
          <w:color w:val="auto"/>
          <w:sz w:val="24"/>
          <w:highlight w:val="none"/>
          <w:lang w:val="en-US" w:eastAsia="zh-CN"/>
        </w:rPr>
        <w:t>5</w:t>
      </w:r>
      <w:r>
        <w:rPr>
          <w:rFonts w:hint="eastAsia" w:ascii="宋体"/>
          <w:color w:val="auto"/>
          <w:sz w:val="24"/>
          <w:highlight w:val="none"/>
        </w:rPr>
        <w:t>年度财务状况报告或202</w:t>
      </w:r>
      <w:r>
        <w:rPr>
          <w:rFonts w:hint="eastAsia" w:ascii="宋体"/>
          <w:color w:val="auto"/>
          <w:sz w:val="24"/>
          <w:highlight w:val="none"/>
          <w:lang w:val="en-US" w:eastAsia="zh-CN"/>
        </w:rPr>
        <w:t>6</w:t>
      </w:r>
      <w:r>
        <w:rPr>
          <w:rFonts w:hint="eastAsia" w:ascii="宋体"/>
          <w:color w:val="auto"/>
          <w:sz w:val="24"/>
          <w:highlight w:val="none"/>
        </w:rPr>
        <w:t>年任意一个月的财务报表复印件或银行出具的资信证明材料复印件）。</w:t>
      </w:r>
    </w:p>
    <w:p w14:paraId="6771C0ED">
      <w:pPr>
        <w:tabs>
          <w:tab w:val="left" w:pos="360"/>
          <w:tab w:val="left" w:pos="588"/>
        </w:tabs>
        <w:spacing w:line="360" w:lineRule="auto"/>
        <w:ind w:firstLine="480" w:firstLineChars="200"/>
        <w:rPr>
          <w:rFonts w:ascii="宋体"/>
          <w:color w:val="auto"/>
          <w:kern w:val="0"/>
          <w:sz w:val="24"/>
          <w:highlight w:val="none"/>
        </w:rPr>
      </w:pPr>
      <w:r>
        <w:rPr>
          <w:rFonts w:hint="eastAsia" w:ascii="宋体"/>
          <w:color w:val="auto"/>
          <w:kern w:val="0"/>
          <w:sz w:val="24"/>
          <w:highlight w:val="none"/>
        </w:rPr>
        <w:t>（四）供应商距磋商日六个月内任意一次缴纳税收及社会保障资金的有效票据凭证复印件(缴纳税收的有效票据凭证为增值税、营业税或企业所得税的税收有效票据凭证）；</w:t>
      </w:r>
    </w:p>
    <w:p w14:paraId="0B61761A">
      <w:pPr>
        <w:tabs>
          <w:tab w:val="left" w:pos="360"/>
          <w:tab w:val="left" w:pos="588"/>
        </w:tabs>
        <w:spacing w:line="360" w:lineRule="auto"/>
        <w:ind w:firstLine="480" w:firstLineChars="200"/>
        <w:rPr>
          <w:rFonts w:ascii="宋体"/>
          <w:color w:val="auto"/>
          <w:kern w:val="0"/>
          <w:sz w:val="24"/>
          <w:highlight w:val="none"/>
        </w:rPr>
      </w:pPr>
      <w:r>
        <w:rPr>
          <w:rFonts w:hint="eastAsia" w:ascii="宋体"/>
          <w:color w:val="auto"/>
          <w:kern w:val="0"/>
          <w:sz w:val="24"/>
          <w:highlight w:val="none"/>
        </w:rPr>
        <w:t>（五）按附件格式提供供应商参加本次采购活动前三年内在经营活动中没有重大违法记录的书面声明。</w:t>
      </w:r>
    </w:p>
    <w:p w14:paraId="65E92243">
      <w:pPr>
        <w:tabs>
          <w:tab w:val="left" w:pos="360"/>
          <w:tab w:val="left" w:pos="588"/>
        </w:tabs>
        <w:spacing w:line="360" w:lineRule="auto"/>
        <w:ind w:firstLine="480" w:firstLineChars="200"/>
        <w:rPr>
          <w:rFonts w:ascii="宋体"/>
          <w:color w:val="auto"/>
          <w:kern w:val="0"/>
          <w:sz w:val="24"/>
          <w:highlight w:val="none"/>
        </w:rPr>
      </w:pPr>
      <w:r>
        <w:rPr>
          <w:rFonts w:hint="eastAsia" w:ascii="宋体"/>
          <w:color w:val="auto"/>
          <w:kern w:val="0"/>
          <w:sz w:val="24"/>
          <w:highlight w:val="none"/>
        </w:rPr>
        <w:t>（六）具备履行合同所必需的设备和专业技术能力的证明材料。</w:t>
      </w:r>
    </w:p>
    <w:p w14:paraId="645572CF">
      <w:pPr>
        <w:spacing w:line="360" w:lineRule="auto"/>
        <w:rPr>
          <w:rFonts w:ascii="宋体"/>
          <w:b/>
          <w:color w:val="auto"/>
          <w:kern w:val="0"/>
          <w:sz w:val="24"/>
          <w:szCs w:val="21"/>
          <w:highlight w:val="none"/>
        </w:rPr>
      </w:pPr>
      <w:r>
        <w:rPr>
          <w:rFonts w:hint="eastAsia" w:ascii="宋体"/>
          <w:b/>
          <w:color w:val="auto"/>
          <w:kern w:val="0"/>
          <w:sz w:val="24"/>
          <w:szCs w:val="21"/>
          <w:highlight w:val="none"/>
        </w:rPr>
        <w:t>第二类文件：评审证明材料</w:t>
      </w:r>
    </w:p>
    <w:p w14:paraId="675FBEE6">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（一）磋商响应函，格式见附件；</w:t>
      </w:r>
    </w:p>
    <w:p w14:paraId="5AC5F76B">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（二）报价一览表，格式见附件；</w:t>
      </w:r>
    </w:p>
    <w:p w14:paraId="4E7061B8">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（三）法定代表人（负责人）证明书，格式见附件；</w:t>
      </w:r>
    </w:p>
    <w:p w14:paraId="0FAF8E14">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（四）法定代表人授权书，格式见附件；</w:t>
      </w:r>
    </w:p>
    <w:p w14:paraId="315B7549">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（五）供应商资格声明文件，格式见附件；</w:t>
      </w:r>
    </w:p>
    <w:p w14:paraId="4341220B">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（六）</w:t>
      </w:r>
      <w:r>
        <w:rPr>
          <w:rFonts w:hint="eastAsia" w:ascii="宋体"/>
          <w:color w:val="auto"/>
          <w:kern w:val="0"/>
          <w:sz w:val="24"/>
          <w:highlight w:val="none"/>
          <w:lang w:eastAsia="zh-CN"/>
        </w:rPr>
        <w:t>项目需求</w:t>
      </w:r>
      <w:r>
        <w:rPr>
          <w:rFonts w:hint="eastAsia" w:ascii="宋体"/>
          <w:color w:val="auto"/>
          <w:kern w:val="0"/>
          <w:sz w:val="24"/>
          <w:highlight w:val="none"/>
        </w:rPr>
        <w:t>偏离表，格式见附件；</w:t>
      </w:r>
    </w:p>
    <w:p w14:paraId="458178D1">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（七）</w:t>
      </w:r>
      <w:r>
        <w:rPr>
          <w:rFonts w:hint="eastAsia" w:ascii="宋体"/>
          <w:color w:val="auto"/>
          <w:kern w:val="0"/>
          <w:sz w:val="24"/>
          <w:highlight w:val="none"/>
          <w:lang w:eastAsia="zh-CN"/>
        </w:rPr>
        <w:t>实质性条款</w:t>
      </w:r>
      <w:r>
        <w:rPr>
          <w:rFonts w:hint="eastAsia" w:ascii="宋体"/>
          <w:color w:val="auto"/>
          <w:kern w:val="0"/>
          <w:sz w:val="24"/>
          <w:highlight w:val="none"/>
        </w:rPr>
        <w:t>偏离表，格式见附件；</w:t>
      </w:r>
    </w:p>
    <w:p w14:paraId="10B431DF">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（八）供应商基本情况表，格式见附件；</w:t>
      </w:r>
    </w:p>
    <w:p w14:paraId="30C5364D">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（九）拟投入本项目的团队情况表，格式见附件；</w:t>
      </w:r>
    </w:p>
    <w:p w14:paraId="7B72DF66">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（十）拟投入本项目的项目经理简介，格式见附件；</w:t>
      </w:r>
    </w:p>
    <w:p w14:paraId="5C4176F9">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（十一）</w:t>
      </w:r>
      <w:r>
        <w:rPr>
          <w:rFonts w:hint="eastAsia" w:ascii="宋体"/>
          <w:color w:val="auto"/>
          <w:kern w:val="0"/>
          <w:sz w:val="24"/>
          <w:highlight w:val="none"/>
          <w:lang w:eastAsia="zh-CN"/>
        </w:rPr>
        <w:t>质疑函</w:t>
      </w:r>
      <w:r>
        <w:rPr>
          <w:rFonts w:hint="eastAsia" w:ascii="宋体"/>
          <w:color w:val="auto"/>
          <w:kern w:val="0"/>
          <w:sz w:val="24"/>
          <w:highlight w:val="none"/>
        </w:rPr>
        <w:t>，格式见附件；</w:t>
      </w:r>
    </w:p>
    <w:p w14:paraId="1AD27B76">
      <w:pPr>
        <w:spacing w:line="360" w:lineRule="auto"/>
        <w:ind w:firstLine="240" w:firstLineChars="100"/>
        <w:rPr>
          <w:rFonts w:hint="eastAsia" w:ascii="宋体"/>
          <w:color w:val="auto"/>
          <w:kern w:val="0"/>
          <w:sz w:val="24"/>
          <w:highlight w:val="none"/>
        </w:rPr>
      </w:pPr>
      <w:r>
        <w:rPr>
          <w:rFonts w:hint="eastAsia" w:ascii="宋体"/>
          <w:color w:val="auto"/>
          <w:kern w:val="0"/>
          <w:sz w:val="24"/>
          <w:highlight w:val="none"/>
        </w:rPr>
        <w:t>（十</w:t>
      </w:r>
      <w:r>
        <w:rPr>
          <w:rFonts w:hint="eastAsia" w:ascii="宋体"/>
          <w:color w:val="auto"/>
          <w:kern w:val="0"/>
          <w:sz w:val="24"/>
          <w:highlight w:val="none"/>
          <w:lang w:eastAsia="zh-CN"/>
        </w:rPr>
        <w:t>二</w:t>
      </w:r>
      <w:r>
        <w:rPr>
          <w:rFonts w:hint="eastAsia" w:ascii="宋体"/>
          <w:color w:val="auto"/>
          <w:kern w:val="0"/>
          <w:sz w:val="24"/>
          <w:highlight w:val="none"/>
        </w:rPr>
        <w:t>）没有重大违法记录的书面声明，格式见附件；</w:t>
      </w:r>
    </w:p>
    <w:p w14:paraId="460E248B">
      <w:pPr>
        <w:pStyle w:val="37"/>
        <w:spacing w:line="360" w:lineRule="auto"/>
        <w:ind w:left="239" w:leftChars="114"/>
        <w:rPr>
          <w:color w:val="auto"/>
          <w:kern w:val="24"/>
          <w:highlight w:val="none"/>
        </w:rPr>
      </w:pPr>
      <w:r>
        <w:rPr>
          <w:rFonts w:hint="eastAsia"/>
          <w:color w:val="auto"/>
          <w:szCs w:val="21"/>
          <w:highlight w:val="none"/>
        </w:rPr>
        <w:t>（十</w:t>
      </w:r>
      <w:r>
        <w:rPr>
          <w:rFonts w:hint="eastAsia"/>
          <w:color w:val="auto"/>
          <w:szCs w:val="21"/>
          <w:highlight w:val="none"/>
          <w:lang w:eastAsia="zh-CN"/>
        </w:rPr>
        <w:t>三</w:t>
      </w:r>
      <w:r>
        <w:rPr>
          <w:rFonts w:hint="eastAsia"/>
          <w:color w:val="auto"/>
          <w:szCs w:val="21"/>
          <w:highlight w:val="none"/>
        </w:rPr>
        <w:t>）</w:t>
      </w:r>
      <w:r>
        <w:rPr>
          <w:rFonts w:hint="eastAsia"/>
          <w:color w:val="auto"/>
          <w:kern w:val="24"/>
          <w:highlight w:val="none"/>
        </w:rPr>
        <w:t>当供应商为中小企业时，须提供《中小企业声明函》，格式见附件；监狱企业参加本次采购活动的，应当提供由省级以上监狱管理局、戒毒管理局(含新疆生产建设兵团)出具的属于监狱企业的证明文件；残疾人福利性单位须提供《残疾人福利性单位声明函》格式见附件；</w:t>
      </w:r>
    </w:p>
    <w:p w14:paraId="18FF3BDF">
      <w:pPr>
        <w:pStyle w:val="37"/>
        <w:spacing w:line="360" w:lineRule="auto"/>
        <w:ind w:left="239" w:leftChars="114"/>
        <w:rPr>
          <w:rFonts w:hint="eastAsia"/>
          <w:color w:val="auto"/>
          <w:szCs w:val="21"/>
          <w:highlight w:val="none"/>
        </w:rPr>
      </w:pPr>
      <w:r>
        <w:rPr>
          <w:rFonts w:hint="eastAsia"/>
          <w:color w:val="auto"/>
          <w:szCs w:val="21"/>
          <w:highlight w:val="none"/>
        </w:rPr>
        <w:t>（十</w:t>
      </w:r>
      <w:r>
        <w:rPr>
          <w:rFonts w:hint="eastAsia"/>
          <w:color w:val="auto"/>
          <w:szCs w:val="21"/>
          <w:highlight w:val="none"/>
          <w:lang w:eastAsia="zh-CN"/>
        </w:rPr>
        <w:t>四</w:t>
      </w:r>
      <w:r>
        <w:rPr>
          <w:rFonts w:hint="eastAsia"/>
          <w:color w:val="auto"/>
          <w:szCs w:val="21"/>
          <w:highlight w:val="none"/>
        </w:rPr>
        <w:t>）银行资信证明</w:t>
      </w:r>
      <w:r>
        <w:rPr>
          <w:rFonts w:hint="eastAsia"/>
          <w:color w:val="auto"/>
          <w:highlight w:val="none"/>
        </w:rPr>
        <w:t>，格式见附件</w:t>
      </w:r>
      <w:r>
        <w:rPr>
          <w:rFonts w:hint="eastAsia"/>
          <w:color w:val="auto"/>
          <w:szCs w:val="21"/>
          <w:highlight w:val="none"/>
        </w:rPr>
        <w:t>；</w:t>
      </w:r>
    </w:p>
    <w:p w14:paraId="6F16DDAD">
      <w:pPr>
        <w:pStyle w:val="37"/>
        <w:spacing w:line="360" w:lineRule="auto"/>
        <w:ind w:left="239" w:leftChars="114"/>
        <w:rPr>
          <w:rFonts w:hint="eastAsia"/>
          <w:color w:val="auto"/>
          <w:szCs w:val="21"/>
          <w:highlight w:val="none"/>
        </w:rPr>
      </w:pPr>
      <w:r>
        <w:rPr>
          <w:rFonts w:hint="eastAsia"/>
          <w:color w:val="auto"/>
          <w:szCs w:val="21"/>
          <w:highlight w:val="none"/>
        </w:rPr>
        <w:t>（十</w:t>
      </w:r>
      <w:r>
        <w:rPr>
          <w:rFonts w:hint="eastAsia"/>
          <w:color w:val="auto"/>
          <w:szCs w:val="21"/>
          <w:highlight w:val="none"/>
          <w:lang w:eastAsia="zh-CN"/>
        </w:rPr>
        <w:t>五</w:t>
      </w:r>
      <w:r>
        <w:rPr>
          <w:rFonts w:hint="eastAsia"/>
          <w:color w:val="auto"/>
          <w:szCs w:val="21"/>
          <w:highlight w:val="none"/>
        </w:rPr>
        <w:t>）项目服务方案</w:t>
      </w:r>
      <w:r>
        <w:rPr>
          <w:rFonts w:hint="eastAsia"/>
          <w:color w:val="auto"/>
          <w:highlight w:val="none"/>
        </w:rPr>
        <w:t>，格式见附件</w:t>
      </w:r>
      <w:r>
        <w:rPr>
          <w:rFonts w:hint="eastAsia"/>
          <w:color w:val="auto"/>
          <w:szCs w:val="21"/>
          <w:highlight w:val="none"/>
        </w:rPr>
        <w:t>；</w:t>
      </w:r>
    </w:p>
    <w:p w14:paraId="3AAEC9E9">
      <w:pPr>
        <w:pStyle w:val="37"/>
        <w:spacing w:line="360" w:lineRule="auto"/>
        <w:ind w:left="239" w:leftChars="114"/>
        <w:rPr>
          <w:rFonts w:hint="eastAsia"/>
          <w:color w:val="auto"/>
          <w:szCs w:val="21"/>
          <w:highlight w:val="none"/>
        </w:rPr>
      </w:pPr>
      <w:r>
        <w:rPr>
          <w:rFonts w:hint="eastAsia"/>
          <w:color w:val="auto"/>
          <w:szCs w:val="21"/>
          <w:highlight w:val="none"/>
        </w:rPr>
        <w:t>（十</w:t>
      </w:r>
      <w:r>
        <w:rPr>
          <w:rFonts w:hint="eastAsia"/>
          <w:color w:val="auto"/>
          <w:szCs w:val="21"/>
          <w:highlight w:val="none"/>
          <w:lang w:eastAsia="zh-CN"/>
        </w:rPr>
        <w:t>六</w:t>
      </w:r>
      <w:r>
        <w:rPr>
          <w:rFonts w:hint="eastAsia"/>
          <w:color w:val="auto"/>
          <w:szCs w:val="21"/>
          <w:highlight w:val="none"/>
        </w:rPr>
        <w:t>）同</w:t>
      </w:r>
      <w:r>
        <w:rPr>
          <w:rFonts w:hint="eastAsia"/>
          <w:color w:val="auto"/>
          <w:szCs w:val="21"/>
          <w:highlight w:val="none"/>
          <w:lang w:val="en-US" w:eastAsia="zh-CN"/>
        </w:rPr>
        <w:t>类</w:t>
      </w:r>
      <w:r>
        <w:rPr>
          <w:rFonts w:hint="eastAsia"/>
          <w:color w:val="auto"/>
          <w:szCs w:val="21"/>
          <w:highlight w:val="none"/>
        </w:rPr>
        <w:t>业绩一览表</w:t>
      </w:r>
      <w:r>
        <w:rPr>
          <w:rFonts w:hint="eastAsia"/>
          <w:color w:val="auto"/>
          <w:highlight w:val="none"/>
        </w:rPr>
        <w:t>，格式见附件</w:t>
      </w:r>
      <w:r>
        <w:rPr>
          <w:rFonts w:hint="eastAsia"/>
          <w:color w:val="auto"/>
          <w:szCs w:val="21"/>
          <w:highlight w:val="none"/>
        </w:rPr>
        <w:t>；</w:t>
      </w:r>
    </w:p>
    <w:p w14:paraId="71147FE6">
      <w:pPr>
        <w:pStyle w:val="37"/>
        <w:spacing w:line="360" w:lineRule="auto"/>
        <w:ind w:left="239" w:leftChars="114"/>
        <w:rPr>
          <w:rFonts w:hint="eastAsia"/>
          <w:color w:val="auto"/>
          <w:szCs w:val="21"/>
          <w:highlight w:val="none"/>
        </w:rPr>
      </w:pPr>
      <w:r>
        <w:rPr>
          <w:rFonts w:hint="eastAsia"/>
          <w:color w:val="auto"/>
          <w:szCs w:val="21"/>
          <w:highlight w:val="none"/>
        </w:rPr>
        <w:t>（十</w:t>
      </w:r>
      <w:r>
        <w:rPr>
          <w:rFonts w:hint="eastAsia"/>
          <w:color w:val="auto"/>
          <w:szCs w:val="21"/>
          <w:highlight w:val="none"/>
          <w:lang w:eastAsia="zh-CN"/>
        </w:rPr>
        <w:t>七</w:t>
      </w:r>
      <w:r>
        <w:rPr>
          <w:rFonts w:hint="eastAsia"/>
          <w:color w:val="auto"/>
          <w:szCs w:val="21"/>
          <w:highlight w:val="none"/>
        </w:rPr>
        <w:t>）承诺函</w:t>
      </w:r>
      <w:r>
        <w:rPr>
          <w:rFonts w:hint="eastAsia"/>
          <w:color w:val="auto"/>
          <w:highlight w:val="none"/>
        </w:rPr>
        <w:t>，格式见附件</w:t>
      </w:r>
      <w:r>
        <w:rPr>
          <w:rFonts w:hint="eastAsia"/>
          <w:color w:val="auto"/>
          <w:szCs w:val="21"/>
          <w:highlight w:val="none"/>
        </w:rPr>
        <w:t>；</w:t>
      </w:r>
    </w:p>
    <w:p w14:paraId="139BDB5F">
      <w:pPr>
        <w:pStyle w:val="37"/>
        <w:spacing w:line="360" w:lineRule="auto"/>
        <w:ind w:left="239" w:leftChars="114"/>
        <w:rPr>
          <w:rFonts w:hint="eastAsia"/>
          <w:color w:val="auto"/>
          <w:szCs w:val="21"/>
          <w:highlight w:val="none"/>
        </w:rPr>
      </w:pPr>
      <w:r>
        <w:rPr>
          <w:rFonts w:hint="eastAsia"/>
          <w:color w:val="auto"/>
          <w:szCs w:val="21"/>
          <w:highlight w:val="none"/>
        </w:rPr>
        <w:t>（十</w:t>
      </w:r>
      <w:r>
        <w:rPr>
          <w:rFonts w:hint="eastAsia"/>
          <w:color w:val="auto"/>
          <w:szCs w:val="21"/>
          <w:highlight w:val="none"/>
          <w:lang w:eastAsia="zh-CN"/>
        </w:rPr>
        <w:t>八</w:t>
      </w:r>
      <w:r>
        <w:rPr>
          <w:rFonts w:hint="eastAsia"/>
          <w:color w:val="auto"/>
          <w:szCs w:val="21"/>
          <w:highlight w:val="none"/>
        </w:rPr>
        <w:t>）</w:t>
      </w:r>
      <w:r>
        <w:rPr>
          <w:rFonts w:hint="eastAsia"/>
          <w:color w:val="auto"/>
          <w:szCs w:val="21"/>
          <w:highlight w:val="none"/>
          <w:lang w:eastAsia="zh-CN"/>
        </w:rPr>
        <w:t>最终报价一览表，</w:t>
      </w:r>
      <w:r>
        <w:rPr>
          <w:rFonts w:hint="eastAsia"/>
          <w:color w:val="auto"/>
          <w:highlight w:val="none"/>
        </w:rPr>
        <w:t>格式见附件</w:t>
      </w:r>
      <w:r>
        <w:rPr>
          <w:rFonts w:hint="eastAsia"/>
          <w:color w:val="auto"/>
          <w:szCs w:val="21"/>
          <w:highlight w:val="none"/>
        </w:rPr>
        <w:t>；</w:t>
      </w:r>
    </w:p>
    <w:p w14:paraId="32060B9B">
      <w:pPr>
        <w:pStyle w:val="37"/>
        <w:spacing w:line="360" w:lineRule="auto"/>
        <w:ind w:left="239" w:leftChars="114"/>
        <w:rPr>
          <w:color w:val="auto"/>
          <w:kern w:val="24"/>
          <w:highlight w:val="none"/>
        </w:rPr>
      </w:pPr>
    </w:p>
    <w:p w14:paraId="16C5DD11">
      <w:pPr>
        <w:tabs>
          <w:tab w:val="left" w:pos="588"/>
        </w:tabs>
        <w:spacing w:line="360" w:lineRule="auto"/>
        <w:rPr>
          <w:rFonts w:ascii="宋体"/>
          <w:b/>
          <w:color w:val="auto"/>
          <w:kern w:val="0"/>
          <w:sz w:val="24"/>
          <w:highlight w:val="none"/>
        </w:rPr>
      </w:pPr>
      <w:r>
        <w:rPr>
          <w:rFonts w:hint="eastAsia" w:ascii="宋体"/>
          <w:b/>
          <w:color w:val="auto"/>
          <w:kern w:val="0"/>
          <w:sz w:val="24"/>
          <w:highlight w:val="none"/>
        </w:rPr>
        <w:t>重要提示：</w:t>
      </w:r>
    </w:p>
    <w:p w14:paraId="4FDCF9A9">
      <w:pPr>
        <w:tabs>
          <w:tab w:val="left" w:pos="588"/>
        </w:tabs>
        <w:spacing w:line="360" w:lineRule="auto"/>
        <w:ind w:firstLine="472" w:firstLineChars="196"/>
        <w:rPr>
          <w:rFonts w:ascii="宋体"/>
          <w:b/>
          <w:color w:val="auto"/>
          <w:kern w:val="0"/>
          <w:sz w:val="24"/>
          <w:highlight w:val="none"/>
        </w:rPr>
      </w:pPr>
      <w:r>
        <w:rPr>
          <w:rFonts w:hint="eastAsia" w:ascii="宋体"/>
          <w:b/>
          <w:color w:val="auto"/>
          <w:kern w:val="0"/>
          <w:sz w:val="24"/>
          <w:highlight w:val="none"/>
        </w:rPr>
        <w:t>1、供应商提供的以上材料必须真实有效，任何一项的虚假将导致无效应答，如发现提供虚假材料者，将按政府采购法律有关规定对当事人进行处罚。</w:t>
      </w:r>
    </w:p>
    <w:p w14:paraId="6F293038">
      <w:pPr>
        <w:tabs>
          <w:tab w:val="left" w:pos="588"/>
        </w:tabs>
        <w:spacing w:line="360" w:lineRule="auto"/>
        <w:ind w:firstLine="472" w:firstLineChars="196"/>
        <w:rPr>
          <w:rFonts w:hint="eastAsia" w:ascii="宋体" w:eastAsia="宋体"/>
          <w:b/>
          <w:color w:val="auto"/>
          <w:kern w:val="0"/>
          <w:sz w:val="24"/>
          <w:highlight w:val="none"/>
          <w:lang w:eastAsia="zh-CN"/>
        </w:rPr>
      </w:pPr>
      <w:r>
        <w:rPr>
          <w:rFonts w:hint="eastAsia" w:ascii="宋体"/>
          <w:b/>
          <w:color w:val="auto"/>
          <w:kern w:val="0"/>
          <w:sz w:val="24"/>
          <w:highlight w:val="none"/>
        </w:rPr>
        <w:t>2、上述文件中，所有带“★”的证明材料原件或复印件必须逐项加盖供应商公章，由制造商提供的相关材料须同时逐项加盖供应商公章和制造商公章，任何一项签章不完整都会导致无效应答。</w:t>
      </w:r>
      <w:r>
        <w:rPr>
          <w:rFonts w:hint="eastAsia" w:ascii="宋体"/>
          <w:b/>
          <w:color w:val="auto"/>
          <w:kern w:val="0"/>
          <w:sz w:val="24"/>
          <w:highlight w:val="none"/>
          <w:lang w:eastAsia="zh-CN"/>
        </w:rPr>
        <w:t>（</w:t>
      </w:r>
      <w:r>
        <w:rPr>
          <w:rFonts w:hint="eastAsia" w:ascii="宋体"/>
          <w:b/>
          <w:color w:val="auto"/>
          <w:kern w:val="0"/>
          <w:sz w:val="24"/>
          <w:highlight w:val="none"/>
          <w:lang w:val="en-US" w:eastAsia="zh-CN"/>
        </w:rPr>
        <w:t>如有</w:t>
      </w:r>
      <w:r>
        <w:rPr>
          <w:rFonts w:hint="eastAsia" w:ascii="宋体"/>
          <w:b/>
          <w:color w:val="auto"/>
          <w:kern w:val="0"/>
          <w:sz w:val="24"/>
          <w:highlight w:val="none"/>
          <w:lang w:eastAsia="zh-CN"/>
        </w:rPr>
        <w:t>）</w:t>
      </w:r>
    </w:p>
    <w:p w14:paraId="4854FB85">
      <w:pPr>
        <w:tabs>
          <w:tab w:val="left" w:pos="588"/>
        </w:tabs>
        <w:spacing w:line="360" w:lineRule="auto"/>
        <w:ind w:firstLine="472" w:firstLineChars="196"/>
        <w:rPr>
          <w:rFonts w:ascii="宋体"/>
          <w:b/>
          <w:color w:val="auto"/>
          <w:sz w:val="24"/>
          <w:highlight w:val="none"/>
        </w:rPr>
      </w:pPr>
      <w:r>
        <w:rPr>
          <w:rFonts w:hint="eastAsia" w:ascii="宋体"/>
          <w:b/>
          <w:color w:val="auto"/>
          <w:kern w:val="0"/>
          <w:sz w:val="24"/>
          <w:highlight w:val="none"/>
        </w:rPr>
        <w:t>3、要求提供证明材料原件的，除另行要求外必须将原件装订在应答文件正本中，副本以复印件代替。</w:t>
      </w:r>
    </w:p>
    <w:p w14:paraId="58B34226">
      <w:pPr>
        <w:pStyle w:val="4"/>
        <w:numPr>
          <w:ilvl w:val="0"/>
          <w:numId w:val="7"/>
        </w:numPr>
        <w:rPr>
          <w:rFonts w:ascii="宋体"/>
          <w:color w:val="auto"/>
          <w:sz w:val="24"/>
          <w:szCs w:val="21"/>
          <w:highlight w:val="none"/>
        </w:rPr>
      </w:pPr>
      <w:bookmarkStart w:id="197" w:name="_Toc70687153"/>
      <w:bookmarkStart w:id="198" w:name="_Toc184043026"/>
      <w:bookmarkStart w:id="199" w:name="_Toc385992339"/>
      <w:bookmarkStart w:id="200" w:name="_Toc56534776"/>
      <w:bookmarkStart w:id="201" w:name="_Toc249515404"/>
      <w:bookmarkStart w:id="202" w:name="_Toc249515292"/>
      <w:bookmarkStart w:id="203" w:name="_Toc389620178"/>
      <w:bookmarkStart w:id="204" w:name="_Toc249525173"/>
      <w:r>
        <w:rPr>
          <w:rFonts w:hint="eastAsia" w:ascii="宋体"/>
          <w:color w:val="auto"/>
          <w:sz w:val="24"/>
          <w:highlight w:val="none"/>
        </w:rPr>
        <w:t>应答文件格式</w:t>
      </w:r>
      <w:bookmarkEnd w:id="197"/>
      <w:bookmarkEnd w:id="198"/>
      <w:bookmarkEnd w:id="199"/>
      <w:bookmarkEnd w:id="200"/>
      <w:bookmarkEnd w:id="201"/>
      <w:bookmarkEnd w:id="202"/>
      <w:bookmarkEnd w:id="203"/>
      <w:bookmarkEnd w:id="204"/>
    </w:p>
    <w:p w14:paraId="008F4573">
      <w:pPr>
        <w:numPr>
          <w:ilvl w:val="1"/>
          <w:numId w:val="7"/>
        </w:numPr>
        <w:tabs>
          <w:tab w:val="left" w:pos="360"/>
          <w:tab w:val="left" w:pos="588"/>
        </w:tabs>
        <w:spacing w:line="360" w:lineRule="auto"/>
        <w:rPr>
          <w:rFonts w:ascii="宋体"/>
          <w:color w:val="auto"/>
          <w:kern w:val="24"/>
          <w:sz w:val="24"/>
          <w:highlight w:val="none"/>
        </w:rPr>
      </w:pPr>
      <w:r>
        <w:rPr>
          <w:rFonts w:hint="eastAsia" w:ascii="宋体"/>
          <w:color w:val="auto"/>
          <w:kern w:val="24"/>
          <w:sz w:val="24"/>
          <w:highlight w:val="none"/>
        </w:rPr>
        <w:t>对于竞争性磋商文件第五章中已经提供了格式的响应文件内容，供应商必须按提供的响应文件格式进行填写和编制，没有提供格式的可自行设计。</w:t>
      </w:r>
    </w:p>
    <w:p w14:paraId="49AA9DEC">
      <w:pPr>
        <w:pStyle w:val="4"/>
        <w:numPr>
          <w:ilvl w:val="0"/>
          <w:numId w:val="7"/>
        </w:numPr>
        <w:rPr>
          <w:rFonts w:ascii="宋体"/>
          <w:color w:val="auto"/>
          <w:sz w:val="24"/>
          <w:szCs w:val="21"/>
          <w:highlight w:val="none"/>
        </w:rPr>
      </w:pPr>
      <w:bookmarkStart w:id="205" w:name="_Toc56534777"/>
      <w:r>
        <w:rPr>
          <w:rFonts w:hint="eastAsia" w:ascii="宋体"/>
          <w:color w:val="auto"/>
          <w:sz w:val="24"/>
          <w:szCs w:val="21"/>
          <w:highlight w:val="none"/>
        </w:rPr>
        <w:t>响应报价</w:t>
      </w:r>
      <w:bookmarkEnd w:id="205"/>
    </w:p>
    <w:p w14:paraId="14129CF8">
      <w:pPr>
        <w:numPr>
          <w:ilvl w:val="1"/>
          <w:numId w:val="7"/>
        </w:numPr>
        <w:tabs>
          <w:tab w:val="left" w:pos="360"/>
          <w:tab w:val="left" w:pos="588"/>
        </w:tabs>
        <w:spacing w:line="360" w:lineRule="auto"/>
        <w:rPr>
          <w:rFonts w:ascii="宋体"/>
          <w:color w:val="auto"/>
          <w:kern w:val="24"/>
          <w:sz w:val="24"/>
          <w:highlight w:val="none"/>
        </w:rPr>
      </w:pPr>
      <w:r>
        <w:rPr>
          <w:rFonts w:hint="eastAsia" w:ascii="宋体"/>
          <w:color w:val="auto"/>
          <w:kern w:val="24"/>
          <w:sz w:val="24"/>
          <w:highlight w:val="none"/>
        </w:rPr>
        <w:t xml:space="preserve"> 响应报价应包括供应商为完成竞争性磋商文件中规定的本项目采购内容和范围所需要的全部费用，具体包括但不限于供应商须知前附表第4项列出的内容，以及与所报货物/服务相关的所有税费。供应商估算错误或漏项的风险一律由供应商承担。</w:t>
      </w:r>
    </w:p>
    <w:p w14:paraId="2B164846">
      <w:pPr>
        <w:numPr>
          <w:ilvl w:val="1"/>
          <w:numId w:val="7"/>
        </w:numPr>
        <w:tabs>
          <w:tab w:val="left" w:pos="360"/>
          <w:tab w:val="left" w:pos="588"/>
        </w:tabs>
        <w:spacing w:line="360" w:lineRule="auto"/>
        <w:rPr>
          <w:rFonts w:ascii="宋体"/>
          <w:color w:val="auto"/>
          <w:kern w:val="24"/>
          <w:sz w:val="24"/>
          <w:highlight w:val="none"/>
        </w:rPr>
      </w:pPr>
      <w:r>
        <w:rPr>
          <w:rFonts w:hint="eastAsia" w:ascii="宋体"/>
          <w:color w:val="auto"/>
          <w:kern w:val="24"/>
          <w:sz w:val="24"/>
          <w:highlight w:val="none"/>
        </w:rPr>
        <w:t xml:space="preserve"> 供应商的报价在合同执行过程中是固定不变的，未经采购人许可不得以任何理由予以变更。以可调整的价格提交的响应文件将作为非实质性响应而予以拒绝。</w:t>
      </w:r>
    </w:p>
    <w:p w14:paraId="38212A4B">
      <w:pPr>
        <w:numPr>
          <w:ilvl w:val="1"/>
          <w:numId w:val="7"/>
        </w:numPr>
        <w:tabs>
          <w:tab w:val="left" w:pos="360"/>
          <w:tab w:val="left" w:pos="588"/>
        </w:tabs>
        <w:spacing w:line="360" w:lineRule="auto"/>
        <w:rPr>
          <w:rFonts w:ascii="宋体"/>
          <w:color w:val="auto"/>
          <w:kern w:val="24"/>
          <w:sz w:val="24"/>
          <w:highlight w:val="none"/>
        </w:rPr>
      </w:pPr>
      <w:r>
        <w:rPr>
          <w:rFonts w:hint="eastAsia" w:ascii="宋体"/>
          <w:color w:val="auto"/>
          <w:kern w:val="24"/>
          <w:sz w:val="24"/>
          <w:highlight w:val="none"/>
        </w:rPr>
        <w:t xml:space="preserve"> 供应商对每种货物或服务只允许有一个报价，采购人不接受有任何选择的报价。</w:t>
      </w:r>
    </w:p>
    <w:p w14:paraId="10B736CE">
      <w:pPr>
        <w:pStyle w:val="4"/>
        <w:numPr>
          <w:ilvl w:val="0"/>
          <w:numId w:val="7"/>
        </w:numPr>
        <w:rPr>
          <w:rFonts w:ascii="宋体"/>
          <w:color w:val="auto"/>
          <w:sz w:val="24"/>
          <w:szCs w:val="21"/>
          <w:highlight w:val="none"/>
        </w:rPr>
      </w:pPr>
      <w:bookmarkStart w:id="206" w:name="_Toc249515294"/>
      <w:bookmarkStart w:id="207" w:name="_Toc70687155"/>
      <w:bookmarkStart w:id="208" w:name="_Toc249525175"/>
      <w:bookmarkStart w:id="209" w:name="_Toc56534778"/>
      <w:bookmarkStart w:id="210" w:name="_Toc184043028"/>
      <w:bookmarkStart w:id="211" w:name="_Toc385992341"/>
      <w:bookmarkStart w:id="212" w:name="_Toc389620180"/>
      <w:bookmarkStart w:id="213" w:name="_Toc249515406"/>
      <w:r>
        <w:rPr>
          <w:rFonts w:hint="eastAsia" w:ascii="宋体"/>
          <w:color w:val="auto"/>
          <w:sz w:val="24"/>
          <w:szCs w:val="21"/>
          <w:highlight w:val="none"/>
        </w:rPr>
        <w:t>报价货币</w:t>
      </w:r>
      <w:bookmarkEnd w:id="206"/>
      <w:bookmarkEnd w:id="207"/>
      <w:bookmarkEnd w:id="208"/>
      <w:bookmarkEnd w:id="209"/>
      <w:bookmarkEnd w:id="210"/>
      <w:bookmarkEnd w:id="211"/>
      <w:bookmarkEnd w:id="212"/>
      <w:bookmarkEnd w:id="213"/>
    </w:p>
    <w:p w14:paraId="70A2292D">
      <w:pPr>
        <w:numPr>
          <w:ilvl w:val="1"/>
          <w:numId w:val="7"/>
        </w:numPr>
        <w:tabs>
          <w:tab w:val="left" w:pos="360"/>
          <w:tab w:val="left" w:pos="588"/>
        </w:tabs>
        <w:spacing w:line="360" w:lineRule="auto"/>
        <w:rPr>
          <w:rFonts w:ascii="宋体"/>
          <w:color w:val="auto"/>
          <w:kern w:val="24"/>
          <w:sz w:val="24"/>
          <w:highlight w:val="none"/>
        </w:rPr>
      </w:pPr>
      <w:r>
        <w:rPr>
          <w:rFonts w:hint="eastAsia" w:ascii="宋体"/>
          <w:color w:val="auto"/>
          <w:kern w:val="24"/>
          <w:sz w:val="24"/>
          <w:highlight w:val="none"/>
        </w:rPr>
        <w:t xml:space="preserve"> 磋商响应函、</w:t>
      </w:r>
      <w:r>
        <w:rPr>
          <w:rFonts w:hint="eastAsia" w:ascii="宋体" w:cs="宋体"/>
          <w:color w:val="auto"/>
          <w:kern w:val="24"/>
          <w:sz w:val="24"/>
          <w:highlight w:val="none"/>
        </w:rPr>
        <w:t>响应报价一览表</w:t>
      </w:r>
      <w:r>
        <w:rPr>
          <w:rFonts w:hint="eastAsia" w:ascii="宋体"/>
          <w:color w:val="auto"/>
          <w:kern w:val="24"/>
          <w:sz w:val="24"/>
          <w:highlight w:val="none"/>
        </w:rPr>
        <w:t>、最终报价表等所有报价一律用人民币填报。采购人不接受任何非人民币币种的报价。</w:t>
      </w:r>
      <w:bookmarkStart w:id="214" w:name="_Toc385992342"/>
      <w:bookmarkStart w:id="215" w:name="_Toc389620181"/>
    </w:p>
    <w:bookmarkEnd w:id="214"/>
    <w:bookmarkEnd w:id="215"/>
    <w:p w14:paraId="5C7C8713">
      <w:pPr>
        <w:pStyle w:val="4"/>
        <w:numPr>
          <w:ilvl w:val="0"/>
          <w:numId w:val="7"/>
        </w:numPr>
        <w:rPr>
          <w:rFonts w:ascii="宋体"/>
          <w:color w:val="auto"/>
          <w:sz w:val="24"/>
          <w:szCs w:val="21"/>
          <w:highlight w:val="none"/>
        </w:rPr>
      </w:pPr>
      <w:bookmarkStart w:id="216" w:name="_Toc249515296"/>
      <w:bookmarkStart w:id="217" w:name="_Toc56534780"/>
      <w:bookmarkStart w:id="218" w:name="_Toc249525177"/>
      <w:bookmarkStart w:id="219" w:name="_Toc249515408"/>
      <w:r>
        <w:rPr>
          <w:rFonts w:hint="eastAsia" w:ascii="宋体"/>
          <w:color w:val="auto"/>
          <w:sz w:val="24"/>
          <w:szCs w:val="21"/>
          <w:highlight w:val="none"/>
        </w:rPr>
        <w:t>磋商有效期</w:t>
      </w:r>
      <w:bookmarkEnd w:id="216"/>
      <w:bookmarkEnd w:id="217"/>
      <w:bookmarkEnd w:id="218"/>
      <w:bookmarkEnd w:id="219"/>
    </w:p>
    <w:p w14:paraId="24E88BB7">
      <w:pPr>
        <w:numPr>
          <w:ilvl w:val="1"/>
          <w:numId w:val="7"/>
        </w:numPr>
        <w:tabs>
          <w:tab w:val="left" w:pos="360"/>
          <w:tab w:val="left" w:pos="588"/>
        </w:tabs>
        <w:spacing w:line="360" w:lineRule="auto"/>
        <w:rPr>
          <w:rFonts w:ascii="宋体"/>
          <w:color w:val="auto"/>
          <w:kern w:val="24"/>
          <w:sz w:val="24"/>
          <w:highlight w:val="none"/>
        </w:rPr>
      </w:pPr>
      <w:r>
        <w:rPr>
          <w:rFonts w:hint="eastAsia" w:ascii="宋体"/>
          <w:color w:val="auto"/>
          <w:kern w:val="24"/>
          <w:sz w:val="24"/>
          <w:highlight w:val="none"/>
        </w:rPr>
        <w:t>磋商有效期见本须知前附表。在磋商有效期内，所有响应文件均保持有效。响应文件的有效期比本须知规定的有效期短的，将被视为非实质响应，采购人有权拒绝。</w:t>
      </w:r>
    </w:p>
    <w:p w14:paraId="33999AC2">
      <w:pPr>
        <w:numPr>
          <w:ilvl w:val="1"/>
          <w:numId w:val="7"/>
        </w:numPr>
        <w:tabs>
          <w:tab w:val="left" w:pos="360"/>
          <w:tab w:val="left" w:pos="588"/>
        </w:tabs>
        <w:spacing w:line="360" w:lineRule="auto"/>
        <w:rPr>
          <w:rFonts w:ascii="宋体"/>
          <w:color w:val="auto"/>
          <w:kern w:val="24"/>
          <w:sz w:val="24"/>
          <w:highlight w:val="none"/>
        </w:rPr>
      </w:pPr>
      <w:r>
        <w:rPr>
          <w:rFonts w:hint="eastAsia" w:ascii="宋体"/>
          <w:color w:val="auto"/>
          <w:kern w:val="24"/>
          <w:sz w:val="24"/>
          <w:highlight w:val="none"/>
        </w:rPr>
        <w:t>特殊情况下，采购人可于原磋商有效期满之前要求供应商同意延长有效期，要求与答复均应为书面形式。</w:t>
      </w:r>
    </w:p>
    <w:p w14:paraId="4144249A">
      <w:pPr>
        <w:pStyle w:val="4"/>
        <w:numPr>
          <w:ilvl w:val="0"/>
          <w:numId w:val="7"/>
        </w:numPr>
        <w:rPr>
          <w:rFonts w:ascii="宋体"/>
          <w:color w:val="auto"/>
          <w:sz w:val="24"/>
          <w:szCs w:val="21"/>
          <w:highlight w:val="none"/>
        </w:rPr>
      </w:pPr>
      <w:bookmarkStart w:id="220" w:name="_Toc249525178"/>
      <w:bookmarkStart w:id="221" w:name="_Toc385992346"/>
      <w:bookmarkStart w:id="222" w:name="_Toc70687160"/>
      <w:bookmarkStart w:id="223" w:name="_Toc249515297"/>
      <w:bookmarkStart w:id="224" w:name="_Toc184043033"/>
      <w:bookmarkStart w:id="225" w:name="_Toc56534781"/>
      <w:bookmarkStart w:id="226" w:name="_Toc249515409"/>
      <w:bookmarkStart w:id="227" w:name="_Toc389620185"/>
      <w:r>
        <w:rPr>
          <w:rFonts w:hint="eastAsia" w:ascii="宋体"/>
          <w:color w:val="auto"/>
          <w:sz w:val="24"/>
          <w:szCs w:val="21"/>
          <w:highlight w:val="none"/>
        </w:rPr>
        <w:t>响应文件的制作和签署</w:t>
      </w:r>
      <w:bookmarkEnd w:id="220"/>
      <w:bookmarkEnd w:id="221"/>
      <w:bookmarkEnd w:id="222"/>
      <w:bookmarkEnd w:id="223"/>
      <w:bookmarkEnd w:id="224"/>
      <w:bookmarkEnd w:id="225"/>
      <w:bookmarkEnd w:id="226"/>
      <w:bookmarkEnd w:id="227"/>
    </w:p>
    <w:p w14:paraId="64C4ED83">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供应商应准备一份响应文件正本和“供应商须知前附表”中规定数目的副本及电子版本（使用WORD、EXCEL格式，采用光盘形式），每套响应文件须清楚地标明“正本”、“副本”、“电子版本”。若正本和副本不符，以正本为准；若电子版与纸制文件不符，以纸制文件为准。</w:t>
      </w:r>
    </w:p>
    <w:p w14:paraId="14030406">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响应文件须用中文编写，每一页都应标有连续页码，不得留有空白页（如隔页纸）。</w:t>
      </w:r>
    </w:p>
    <w:p w14:paraId="537D1691">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响应文件的正本，一律用不褪色的墨水书写或打印，加盖供应商单位公章，并由供应商的法定代表人或其授权的代理人签署。响应文件的副本可采用正本的复印件。</w:t>
      </w:r>
    </w:p>
    <w:p w14:paraId="7DBF06B5">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任何行间插字、涂改或增删，必须由响应文件签字人将姓或首字母在旁边签字才有效。</w:t>
      </w:r>
    </w:p>
    <w:p w14:paraId="3AA54CD4">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采购人拒绝接受以电报、电话、传真、电子邮件形式递交的响应文件。</w:t>
      </w:r>
    </w:p>
    <w:p w14:paraId="6672E932">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供应商在磋商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14:paraId="1F64B427">
      <w:pPr>
        <w:numPr>
          <w:ilvl w:val="1"/>
          <w:numId w:val="7"/>
        </w:numPr>
        <w:tabs>
          <w:tab w:val="left" w:pos="360"/>
          <w:tab w:val="left" w:pos="588"/>
        </w:tabs>
        <w:spacing w:line="360" w:lineRule="auto"/>
        <w:rPr>
          <w:rFonts w:ascii="宋体"/>
          <w:color w:val="auto"/>
          <w:sz w:val="24"/>
          <w:highlight w:val="none"/>
        </w:rPr>
      </w:pPr>
      <w:r>
        <w:rPr>
          <w:rFonts w:hint="eastAsia" w:ascii="宋体"/>
          <w:color w:val="auto"/>
          <w:kern w:val="0"/>
          <w:sz w:val="24"/>
          <w:highlight w:val="none"/>
        </w:rPr>
        <w:t>若供应商对本项目的多个包进行报价，则文件须按包分别编制并装订提交。</w:t>
      </w:r>
    </w:p>
    <w:p w14:paraId="2C828A83">
      <w:pPr>
        <w:jc w:val="center"/>
        <w:outlineLvl w:val="1"/>
        <w:rPr>
          <w:rFonts w:ascii="宋体"/>
          <w:b/>
          <w:color w:val="auto"/>
          <w:sz w:val="24"/>
          <w:highlight w:val="none"/>
        </w:rPr>
      </w:pPr>
      <w:bookmarkStart w:id="228" w:name="_Hlt491765640"/>
      <w:bookmarkEnd w:id="228"/>
      <w:bookmarkStart w:id="229" w:name="_Toc492955419"/>
      <w:bookmarkStart w:id="230" w:name="_Toc496324583"/>
      <w:bookmarkStart w:id="231" w:name="_Toc249515298"/>
      <w:bookmarkStart w:id="232" w:name="_Toc500747066"/>
      <w:bookmarkStart w:id="233" w:name="_Toc177995477"/>
      <w:bookmarkStart w:id="234" w:name="_Toc230583545"/>
      <w:bookmarkStart w:id="235" w:name="_Toc249515410"/>
      <w:bookmarkStart w:id="236" w:name="_Toc230099801"/>
      <w:bookmarkStart w:id="237" w:name="_Toc389620186"/>
      <w:bookmarkStart w:id="238" w:name="_Toc500747193"/>
      <w:bookmarkStart w:id="239" w:name="_Toc176882546"/>
      <w:bookmarkStart w:id="240" w:name="_Toc500746970"/>
      <w:bookmarkStart w:id="241" w:name="_Toc256342147"/>
      <w:bookmarkStart w:id="242" w:name="_Toc499711888"/>
      <w:bookmarkStart w:id="243" w:name="_Toc184043034"/>
      <w:bookmarkStart w:id="244" w:name="_Toc177817338"/>
      <w:bookmarkStart w:id="245" w:name="_Toc230013636"/>
      <w:bookmarkStart w:id="246" w:name="_Toc385992347"/>
      <w:bookmarkStart w:id="247" w:name="_Toc70687161"/>
      <w:bookmarkStart w:id="248" w:name="_Toc249525179"/>
      <w:bookmarkStart w:id="249" w:name="_Toc232176276"/>
      <w:bookmarkStart w:id="250" w:name="_Toc503063426"/>
      <w:bookmarkStart w:id="251" w:name="_Toc499711047"/>
      <w:bookmarkStart w:id="252" w:name="_Toc232395216"/>
      <w:bookmarkStart w:id="253" w:name="_Toc53722844"/>
      <w:bookmarkStart w:id="254" w:name="_Toc177189239"/>
    </w:p>
    <w:p w14:paraId="3B0C2073">
      <w:pPr>
        <w:jc w:val="center"/>
        <w:outlineLvl w:val="1"/>
        <w:rPr>
          <w:rFonts w:ascii="宋体"/>
          <w:b/>
          <w:color w:val="auto"/>
          <w:sz w:val="24"/>
          <w:szCs w:val="21"/>
          <w:highlight w:val="none"/>
        </w:rPr>
      </w:pPr>
      <w:bookmarkStart w:id="255" w:name="_Toc12418"/>
      <w:r>
        <w:rPr>
          <w:rFonts w:hint="eastAsia" w:ascii="宋体"/>
          <w:b/>
          <w:color w:val="auto"/>
          <w:sz w:val="24"/>
          <w:highlight w:val="none"/>
        </w:rPr>
        <w:t>四、响应文件的递交</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63B6A446">
      <w:pPr>
        <w:pStyle w:val="4"/>
        <w:numPr>
          <w:ilvl w:val="0"/>
          <w:numId w:val="7"/>
        </w:numPr>
        <w:rPr>
          <w:rFonts w:ascii="宋体"/>
          <w:color w:val="auto"/>
          <w:sz w:val="24"/>
          <w:szCs w:val="21"/>
          <w:highlight w:val="none"/>
        </w:rPr>
      </w:pPr>
      <w:bookmarkStart w:id="256" w:name="_Toc184043035"/>
      <w:bookmarkStart w:id="257" w:name="_Toc385992348"/>
      <w:bookmarkStart w:id="258" w:name="_Toc249515299"/>
      <w:bookmarkStart w:id="259" w:name="_Toc70687162"/>
      <w:bookmarkStart w:id="260" w:name="_Toc249525180"/>
      <w:bookmarkStart w:id="261" w:name="_Toc389620187"/>
      <w:bookmarkStart w:id="262" w:name="_Toc56534782"/>
      <w:bookmarkStart w:id="263" w:name="_Toc249515411"/>
      <w:r>
        <w:rPr>
          <w:rFonts w:hint="eastAsia" w:ascii="宋体"/>
          <w:color w:val="auto"/>
          <w:sz w:val="24"/>
          <w:szCs w:val="21"/>
          <w:highlight w:val="none"/>
        </w:rPr>
        <w:t>响应文件的密封和标记</w:t>
      </w:r>
      <w:bookmarkEnd w:id="256"/>
      <w:bookmarkEnd w:id="257"/>
      <w:bookmarkEnd w:id="258"/>
      <w:bookmarkEnd w:id="259"/>
      <w:bookmarkEnd w:id="260"/>
      <w:bookmarkEnd w:id="261"/>
      <w:bookmarkEnd w:id="262"/>
      <w:bookmarkEnd w:id="263"/>
    </w:p>
    <w:p w14:paraId="555DAD0B">
      <w:pPr>
        <w:numPr>
          <w:ilvl w:val="1"/>
          <w:numId w:val="7"/>
        </w:numPr>
        <w:tabs>
          <w:tab w:val="left" w:pos="360"/>
          <w:tab w:val="left" w:pos="588"/>
        </w:tabs>
        <w:spacing w:line="360" w:lineRule="auto"/>
        <w:rPr>
          <w:rFonts w:hint="eastAsia" w:ascii="宋体"/>
          <w:color w:val="auto"/>
          <w:kern w:val="0"/>
          <w:sz w:val="24"/>
          <w:highlight w:val="none"/>
        </w:rPr>
      </w:pPr>
      <w:bookmarkStart w:id="264" w:name="_Toc385992349"/>
      <w:bookmarkStart w:id="265" w:name="_Toc389620188"/>
      <w:bookmarkStart w:id="266" w:name="_Toc184043036"/>
      <w:bookmarkStart w:id="267" w:name="_Toc70687163"/>
      <w:r>
        <w:rPr>
          <w:rFonts w:hint="eastAsia" w:ascii="宋体"/>
          <w:color w:val="auto"/>
          <w:kern w:val="0"/>
          <w:sz w:val="24"/>
          <w:highlight w:val="none"/>
        </w:rPr>
        <w:t>供应商应将响应文件正本和所有的副本、电子文档分开密封，装在单独的信封中，且在信封上标明“正本”、“副本”、“电子文档”字样。另将响应报价一览表正本一份密封在一个信封内单独提交，并在信封上标明“响应报价一览表”字样（同时在装订成册的响应文件中仍应提供完整报价的响应报价一览表）。然后再将除装有响应报价一览表的信封外所有信封封装在一个外层信封中。</w:t>
      </w:r>
    </w:p>
    <w:p w14:paraId="7A017F91">
      <w:pPr>
        <w:numPr>
          <w:ilvl w:val="0"/>
          <w:numId w:val="0"/>
        </w:numPr>
        <w:tabs>
          <w:tab w:val="left" w:pos="360"/>
          <w:tab w:val="left" w:pos="588"/>
        </w:tabs>
        <w:spacing w:line="360" w:lineRule="auto"/>
        <w:ind w:left="284" w:leftChars="0"/>
        <w:rPr>
          <w:rFonts w:ascii="宋体"/>
          <w:color w:val="auto"/>
          <w:kern w:val="0"/>
          <w:sz w:val="24"/>
          <w:highlight w:val="none"/>
        </w:rPr>
      </w:pPr>
      <w:r>
        <w:rPr>
          <w:rFonts w:hint="eastAsia" w:ascii="宋体"/>
          <w:color w:val="auto"/>
          <w:kern w:val="0"/>
          <w:sz w:val="24"/>
          <w:highlight w:val="none"/>
        </w:rPr>
        <w:t>注意：信封的所有接缝口处要用封条进行密封（要确保达到防被拆封效果），并在封条上加盖公章，如有骑缝情况需加盖骑缝盖。</w:t>
      </w:r>
    </w:p>
    <w:p w14:paraId="4ED83796">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内外层信封均应：</w:t>
      </w:r>
    </w:p>
    <w:p w14:paraId="0496783B">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（1）标明递交至“供应商须知前附表”中指明的磋商地点。</w:t>
      </w:r>
    </w:p>
    <w:p w14:paraId="38DA39F0">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（2）注明“供应商须知前附表”中指明的项目名称、编号/包号和“在之前不得启封”的字样，并填入“供应商须知前附表”中规定的磋商截止时间。</w:t>
      </w:r>
    </w:p>
    <w:p w14:paraId="41A71E62">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内层信封应写明供应商名称和地址，以便若其响应文件被宣布为“迟到”时，能原封退回。</w:t>
      </w:r>
    </w:p>
    <w:p w14:paraId="1A61B65C">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如果外层信封未按本须知要求加写标记和密封,采购机构对误投或过早启封概不负责。</w:t>
      </w:r>
    </w:p>
    <w:p w14:paraId="26A1F706">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供应商须由其合法的授权人在磋商当日磋商截止时间之前将响应文件送达在规定的磋商地点并经采购机构签字确认。供应商须承担因未送达并签字所造成的一切责任。</w:t>
      </w:r>
    </w:p>
    <w:bookmarkEnd w:id="264"/>
    <w:bookmarkEnd w:id="265"/>
    <w:p w14:paraId="4F5D57DE">
      <w:pPr>
        <w:pStyle w:val="4"/>
        <w:numPr>
          <w:ilvl w:val="0"/>
          <w:numId w:val="7"/>
        </w:numPr>
        <w:rPr>
          <w:rFonts w:ascii="宋体"/>
          <w:color w:val="auto"/>
          <w:sz w:val="24"/>
          <w:szCs w:val="21"/>
          <w:highlight w:val="none"/>
        </w:rPr>
      </w:pPr>
      <w:bookmarkStart w:id="268" w:name="_Toc56534783"/>
      <w:bookmarkStart w:id="269" w:name="_Toc249525181"/>
      <w:bookmarkStart w:id="270" w:name="_Toc249515300"/>
      <w:bookmarkStart w:id="271" w:name="_Toc249515412"/>
      <w:r>
        <w:rPr>
          <w:rFonts w:hint="eastAsia" w:ascii="宋体"/>
          <w:color w:val="auto"/>
          <w:sz w:val="24"/>
          <w:szCs w:val="21"/>
          <w:highlight w:val="none"/>
        </w:rPr>
        <w:t>响应文件递交截止时间</w:t>
      </w:r>
      <w:bookmarkEnd w:id="266"/>
      <w:bookmarkEnd w:id="267"/>
      <w:bookmarkEnd w:id="268"/>
      <w:bookmarkEnd w:id="269"/>
      <w:bookmarkEnd w:id="270"/>
      <w:bookmarkEnd w:id="271"/>
    </w:p>
    <w:p w14:paraId="6A7D7EC9">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供应商应在磋商文件规定的磋商截止时间之前将响应文件递交至采购机构。磋商截止时间和响应文件递交地点详见前附表。</w:t>
      </w:r>
    </w:p>
    <w:p w14:paraId="0D1BAD53">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采购机构可以按本须知第7条规定，通知修改磋商文件适当延长磋商截止期。在此情况下，采购机构和供应商受磋商截止期制约的所有权利和义务均应延长至新的截止期。</w:t>
      </w:r>
    </w:p>
    <w:p w14:paraId="5FE5B8B3">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在规定的磋商截止时间后收到的任何响应文件，采购机构将拒绝接收并原封退回。</w:t>
      </w:r>
    </w:p>
    <w:p w14:paraId="691032E7">
      <w:pPr>
        <w:numPr>
          <w:ilvl w:val="1"/>
          <w:numId w:val="7"/>
        </w:numPr>
        <w:tabs>
          <w:tab w:val="left" w:pos="360"/>
          <w:tab w:val="left" w:pos="588"/>
        </w:tabs>
        <w:spacing w:line="360" w:lineRule="auto"/>
        <w:rPr>
          <w:rFonts w:ascii="宋体"/>
          <w:color w:val="auto"/>
          <w:kern w:val="0"/>
          <w:sz w:val="24"/>
          <w:highlight w:val="none"/>
        </w:rPr>
      </w:pPr>
      <w:r>
        <w:rPr>
          <w:rFonts w:hint="eastAsia" w:ascii="宋体"/>
          <w:color w:val="auto"/>
          <w:kern w:val="0"/>
          <w:sz w:val="24"/>
          <w:highlight w:val="none"/>
        </w:rPr>
        <w:t>采购机构拒绝接受以电报、电话、传真、电子邮件等非指定形式递交的报价。</w:t>
      </w:r>
    </w:p>
    <w:p w14:paraId="4B0C1248">
      <w:pPr>
        <w:rPr>
          <w:rFonts w:ascii="宋体"/>
          <w:b/>
          <w:color w:val="auto"/>
          <w:sz w:val="24"/>
          <w:szCs w:val="21"/>
          <w:highlight w:val="none"/>
        </w:rPr>
      </w:pPr>
      <w:bookmarkStart w:id="272" w:name="_Toc249515301"/>
      <w:bookmarkStart w:id="273" w:name="_Toc249525182"/>
      <w:bookmarkStart w:id="274" w:name="_Toc385992350"/>
      <w:bookmarkStart w:id="275" w:name="_Toc56534784"/>
      <w:bookmarkStart w:id="276" w:name="_Toc70687164"/>
      <w:bookmarkStart w:id="277" w:name="_Toc249515413"/>
      <w:bookmarkStart w:id="278" w:name="_Toc184043037"/>
      <w:bookmarkStart w:id="279" w:name="_Toc389620189"/>
      <w:r>
        <w:rPr>
          <w:rFonts w:hint="eastAsia" w:ascii="宋体"/>
          <w:b/>
          <w:color w:val="auto"/>
          <w:sz w:val="24"/>
          <w:szCs w:val="21"/>
          <w:highlight w:val="none"/>
        </w:rPr>
        <w:t>18. 迟交的响应文件</w:t>
      </w:r>
      <w:bookmarkEnd w:id="272"/>
      <w:bookmarkEnd w:id="273"/>
      <w:bookmarkEnd w:id="274"/>
      <w:bookmarkEnd w:id="275"/>
      <w:bookmarkEnd w:id="276"/>
      <w:bookmarkEnd w:id="277"/>
      <w:bookmarkEnd w:id="278"/>
      <w:bookmarkEnd w:id="279"/>
    </w:p>
    <w:p w14:paraId="05D06A98">
      <w:pPr>
        <w:tabs>
          <w:tab w:val="left" w:pos="360"/>
          <w:tab w:val="left" w:pos="588"/>
        </w:tabs>
        <w:spacing w:line="360" w:lineRule="auto"/>
        <w:ind w:left="284"/>
        <w:rPr>
          <w:rFonts w:ascii="宋体"/>
          <w:color w:val="auto"/>
          <w:sz w:val="24"/>
          <w:highlight w:val="none"/>
        </w:rPr>
      </w:pPr>
      <w:r>
        <w:rPr>
          <w:rFonts w:hint="eastAsia" w:ascii="宋体"/>
          <w:color w:val="auto"/>
          <w:sz w:val="24"/>
          <w:highlight w:val="none"/>
        </w:rPr>
        <w:t>18.1采购人将拒绝接收并原封退回在响应文件递交截止时间后收到的任何响应文件。</w:t>
      </w:r>
    </w:p>
    <w:p w14:paraId="07CC4BBD">
      <w:pPr>
        <w:pStyle w:val="4"/>
        <w:tabs>
          <w:tab w:val="left" w:pos="360"/>
        </w:tabs>
        <w:rPr>
          <w:rFonts w:ascii="宋体"/>
          <w:color w:val="auto"/>
          <w:sz w:val="24"/>
          <w:highlight w:val="none"/>
        </w:rPr>
      </w:pPr>
      <w:r>
        <w:rPr>
          <w:rFonts w:hint="eastAsia" w:ascii="宋体"/>
          <w:color w:val="auto"/>
          <w:sz w:val="24"/>
          <w:highlight w:val="none"/>
        </w:rPr>
        <w:t>19. 磋商文件的补充、修改、撤回和撤销</w:t>
      </w:r>
    </w:p>
    <w:p w14:paraId="0110AA3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19.1供应商在磋商截止时间之前。可以对已提交响应文件后进行补充、修改或撤回，补充、修改材料的签章及封装等须符合磋商文件要求，否则不予认可。</w:t>
      </w:r>
    </w:p>
    <w:p w14:paraId="4F1A0E67">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19.2在磋商截止时间之后，供应商不得对其响应文件做任何修改。</w:t>
      </w:r>
    </w:p>
    <w:p w14:paraId="4C67EF61">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19.3供应商不得在磋商时间起至磋商文件有效期期满前撤销其响应文件，否则将按规定追究相关法律责任。</w:t>
      </w:r>
    </w:p>
    <w:p w14:paraId="3BE3794C">
      <w:pPr>
        <w:tabs>
          <w:tab w:val="left" w:pos="0"/>
        </w:tabs>
        <w:rPr>
          <w:rFonts w:ascii="宋体"/>
          <w:b/>
          <w:color w:val="auto"/>
          <w:kern w:val="0"/>
          <w:sz w:val="24"/>
          <w:highlight w:val="none"/>
        </w:rPr>
      </w:pPr>
      <w:r>
        <w:rPr>
          <w:rFonts w:hint="eastAsia" w:ascii="宋体"/>
          <w:b/>
          <w:color w:val="auto"/>
          <w:kern w:val="0"/>
          <w:sz w:val="24"/>
          <w:highlight w:val="none"/>
        </w:rPr>
        <w:t>20.</w:t>
      </w:r>
      <w:r>
        <w:rPr>
          <w:rFonts w:hint="eastAsia" w:ascii="Calibri" w:hAnsi="Calibri"/>
          <w:color w:val="auto"/>
          <w:szCs w:val="22"/>
          <w:highlight w:val="none"/>
        </w:rPr>
        <w:t xml:space="preserve"> </w:t>
      </w:r>
      <w:r>
        <w:rPr>
          <w:rFonts w:hint="eastAsia" w:ascii="宋体"/>
          <w:b/>
          <w:color w:val="auto"/>
          <w:kern w:val="0"/>
          <w:sz w:val="24"/>
          <w:highlight w:val="none"/>
        </w:rPr>
        <w:t>样品检测</w:t>
      </w:r>
    </w:p>
    <w:p w14:paraId="413C8933">
      <w:pPr>
        <w:tabs>
          <w:tab w:val="left" w:pos="360"/>
          <w:tab w:val="left" w:pos="588"/>
        </w:tabs>
        <w:spacing w:line="360" w:lineRule="auto"/>
        <w:ind w:left="284"/>
        <w:rPr>
          <w:rFonts w:ascii="宋体"/>
          <w:color w:val="auto"/>
          <w:kern w:val="0"/>
          <w:sz w:val="24"/>
          <w:highlight w:val="none"/>
        </w:rPr>
      </w:pPr>
      <w:bookmarkStart w:id="280" w:name="EBcaf7084a4e91498ab68ae82d88182f2b"/>
      <w:r>
        <w:rPr>
          <w:rFonts w:hint="eastAsia" w:ascii="宋体"/>
          <w:color w:val="auto"/>
          <w:kern w:val="0"/>
          <w:sz w:val="24"/>
          <w:highlight w:val="none"/>
        </w:rPr>
        <w:t>20.1根据项目要求定</w:t>
      </w:r>
      <w:bookmarkEnd w:id="280"/>
      <w:r>
        <w:rPr>
          <w:rFonts w:hint="eastAsia" w:ascii="宋体"/>
          <w:color w:val="auto"/>
          <w:kern w:val="0"/>
          <w:sz w:val="24"/>
          <w:highlight w:val="none"/>
        </w:rPr>
        <w:t>。</w:t>
      </w:r>
    </w:p>
    <w:p w14:paraId="24174025">
      <w:pPr>
        <w:jc w:val="center"/>
        <w:outlineLvl w:val="1"/>
        <w:rPr>
          <w:rFonts w:hint="eastAsia" w:ascii="宋体"/>
          <w:b/>
          <w:color w:val="auto"/>
          <w:sz w:val="24"/>
          <w:highlight w:val="none"/>
        </w:rPr>
      </w:pPr>
      <w:bookmarkStart w:id="281" w:name="_Toc214357452"/>
      <w:bookmarkStart w:id="282" w:name="_Toc232176277"/>
      <w:bookmarkStart w:id="283" w:name="_Toc232395217"/>
      <w:bookmarkStart w:id="284" w:name="_Toc256342148"/>
      <w:bookmarkStart w:id="285" w:name="_Toc249515303"/>
      <w:bookmarkStart w:id="286" w:name="_Toc249525184"/>
      <w:bookmarkStart w:id="287" w:name="_Toc249515415"/>
      <w:bookmarkStart w:id="288" w:name="_Toc389620191"/>
      <w:bookmarkStart w:id="289" w:name="_Toc500747067"/>
      <w:bookmarkStart w:id="290" w:name="_Toc496324584"/>
      <w:bookmarkStart w:id="291" w:name="_Toc176882547"/>
      <w:bookmarkStart w:id="292" w:name="_Toc177995478"/>
      <w:bookmarkStart w:id="293" w:name="_Toc499711048"/>
      <w:bookmarkStart w:id="294" w:name="_Toc385992352"/>
      <w:bookmarkStart w:id="295" w:name="_Toc177189240"/>
      <w:bookmarkStart w:id="296" w:name="_Toc503063427"/>
      <w:bookmarkStart w:id="297" w:name="_Toc499711889"/>
      <w:bookmarkStart w:id="298" w:name="_Toc184043039"/>
      <w:bookmarkStart w:id="299" w:name="_Toc492955420"/>
      <w:bookmarkStart w:id="300" w:name="_Toc53722845"/>
      <w:bookmarkStart w:id="301" w:name="_Toc70687166"/>
      <w:bookmarkStart w:id="302" w:name="_Toc500746971"/>
      <w:bookmarkStart w:id="303" w:name="_Toc177817339"/>
      <w:bookmarkStart w:id="304" w:name="_Toc500747194"/>
    </w:p>
    <w:p w14:paraId="27737100">
      <w:pPr>
        <w:jc w:val="center"/>
        <w:outlineLvl w:val="1"/>
        <w:rPr>
          <w:rFonts w:ascii="宋体"/>
          <w:b/>
          <w:color w:val="auto"/>
          <w:sz w:val="24"/>
          <w:highlight w:val="none"/>
        </w:rPr>
      </w:pPr>
      <w:bookmarkStart w:id="305" w:name="_Toc14077"/>
      <w:r>
        <w:rPr>
          <w:rFonts w:hint="eastAsia" w:ascii="宋体"/>
          <w:b/>
          <w:color w:val="auto"/>
          <w:sz w:val="24"/>
          <w:highlight w:val="none"/>
        </w:rPr>
        <w:t>五、</w:t>
      </w:r>
      <w:bookmarkEnd w:id="281"/>
      <w:bookmarkEnd w:id="282"/>
      <w:bookmarkEnd w:id="283"/>
      <w:r>
        <w:rPr>
          <w:rFonts w:hint="eastAsia" w:ascii="宋体"/>
          <w:b/>
          <w:color w:val="auto"/>
          <w:sz w:val="24"/>
          <w:highlight w:val="none"/>
        </w:rPr>
        <w:t>磋商与评审</w:t>
      </w:r>
      <w:bookmarkEnd w:id="284"/>
      <w:bookmarkEnd w:id="285"/>
      <w:bookmarkEnd w:id="286"/>
      <w:bookmarkEnd w:id="287"/>
      <w:bookmarkEnd w:id="305"/>
    </w:p>
    <w:p w14:paraId="374DD4E8">
      <w:pPr>
        <w:rPr>
          <w:rFonts w:ascii="宋体"/>
          <w:b/>
          <w:color w:val="auto"/>
          <w:sz w:val="24"/>
          <w:highlight w:val="none"/>
        </w:rPr>
      </w:pPr>
      <w:r>
        <w:rPr>
          <w:rFonts w:hint="eastAsia" w:ascii="宋体"/>
          <w:b/>
          <w:color w:val="auto"/>
          <w:sz w:val="24"/>
          <w:highlight w:val="none"/>
        </w:rPr>
        <w:t>21.响应文件递交</w:t>
      </w:r>
    </w:p>
    <w:p w14:paraId="179655CD">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21.1磋商时间和地点见供应商须知前附表。</w:t>
      </w:r>
    </w:p>
    <w:p w14:paraId="6E359B1D">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21.2供应商参加磋商的代表必须签名报到并出示供应商代表身份证，供应商代表必须与响应文件中相关授权人一致。</w:t>
      </w:r>
    </w:p>
    <w:p w14:paraId="01140682">
      <w:pPr>
        <w:tabs>
          <w:tab w:val="left" w:pos="360"/>
          <w:tab w:val="left" w:pos="588"/>
        </w:tabs>
        <w:spacing w:line="360" w:lineRule="auto"/>
        <w:ind w:left="284"/>
        <w:rPr>
          <w:rFonts w:ascii="宋体"/>
          <w:color w:val="auto"/>
          <w:sz w:val="24"/>
          <w:highlight w:val="none"/>
        </w:rPr>
      </w:pPr>
      <w:r>
        <w:rPr>
          <w:rFonts w:hint="eastAsia" w:ascii="宋体"/>
          <w:color w:val="auto"/>
          <w:kern w:val="0"/>
          <w:sz w:val="24"/>
          <w:highlight w:val="none"/>
        </w:rPr>
        <w:t>21.3递交响应文件的供应商不足三家，不进行磋商（政府采购管理部门批准的除外），供应商当场取回响应文件，并签字确认。</w:t>
      </w:r>
    </w:p>
    <w:p w14:paraId="337D3E90">
      <w:pPr>
        <w:rPr>
          <w:rFonts w:ascii="宋体"/>
          <w:b/>
          <w:color w:val="auto"/>
          <w:sz w:val="24"/>
          <w:highlight w:val="none"/>
        </w:rPr>
      </w:pPr>
      <w:bookmarkStart w:id="306" w:name="_Toc249515305"/>
      <w:bookmarkStart w:id="307" w:name="_Toc249525186"/>
      <w:bookmarkStart w:id="308" w:name="_Toc56534787"/>
      <w:bookmarkStart w:id="309" w:name="_Toc249515417"/>
      <w:bookmarkStart w:id="310" w:name="_Toc83547667"/>
      <w:r>
        <w:rPr>
          <w:rFonts w:hint="eastAsia" w:ascii="宋体"/>
          <w:b/>
          <w:color w:val="auto"/>
          <w:sz w:val="24"/>
          <w:highlight w:val="none"/>
        </w:rPr>
        <w:t>22．磋商小组</w:t>
      </w:r>
      <w:bookmarkEnd w:id="306"/>
      <w:bookmarkEnd w:id="307"/>
      <w:bookmarkEnd w:id="308"/>
      <w:bookmarkEnd w:id="309"/>
    </w:p>
    <w:p w14:paraId="784E0EA5">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22.1采购机构根据有关法律法规，由采购人代表和阳江海关专家库中随机抽取的相关专家组成评标委员会，负责具体磋商评审事务。</w:t>
      </w:r>
    </w:p>
    <w:p w14:paraId="76C4CC90">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22.2磋商小组以磋商文件为依据，对供应商的响应文件进行审查、澄清、评估和比较，并做出评审意见，不寻求磋商文件及符合规定的澄清文件以外的其他证据。</w:t>
      </w:r>
    </w:p>
    <w:p w14:paraId="36CEFE9E">
      <w:pPr>
        <w:rPr>
          <w:rFonts w:ascii="宋体"/>
          <w:b/>
          <w:color w:val="auto"/>
          <w:sz w:val="24"/>
          <w:highlight w:val="none"/>
        </w:rPr>
      </w:pPr>
      <w:r>
        <w:rPr>
          <w:rFonts w:hint="eastAsia" w:ascii="宋体"/>
          <w:b/>
          <w:color w:val="auto"/>
          <w:sz w:val="24"/>
          <w:highlight w:val="none"/>
        </w:rPr>
        <w:t>23.供应商、响应文件的符合性审查与澄清</w:t>
      </w:r>
    </w:p>
    <w:p w14:paraId="2240828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23.1通过“信用中国”网站查询供应商信用情况，磋商当日查询到被列入失信被执行人、重大税收违法案件当事人名单、政府采购严重违法失信行为记录名单且在有效期内的供应商均被认定为不合格供应商。</w:t>
      </w:r>
    </w:p>
    <w:p w14:paraId="2E305689">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23.2响应文件符合性检查，磋商小组依据磋商文件，对响应文件的有效性、完整性以及对磋商文件中所有标明“★”号条款的响应程度进行逐项审查，以确定供应商是否对磋商文件的实质性要求做出响应。</w:t>
      </w:r>
    </w:p>
    <w:p w14:paraId="2D91DA96">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23.3 响应文件的澄清，在磋商期间，磋商小组有权以书面方式要求供应商对其响应文件中含义不明确、对同类问题表述不一致或者有明显文字和计算错误的内容作必要的澄清。供应商澄清应在磋商小组规定的时间内以书面方式进行，并不得超出磋商文件范围或者改变响应文件的实质性内容，澄清文件将作为响应文件内容的一部分。</w:t>
      </w:r>
    </w:p>
    <w:p w14:paraId="7BA247E8">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23.4供应商磋商</w:t>
      </w:r>
      <w:r>
        <w:rPr>
          <w:rFonts w:hint="eastAsia" w:ascii="宋体"/>
          <w:color w:val="auto"/>
          <w:kern w:val="0"/>
          <w:sz w:val="24"/>
          <w:highlight w:val="none"/>
          <w:lang w:val="en-US" w:eastAsia="zh-CN"/>
        </w:rPr>
        <w:t>报价</w:t>
      </w:r>
      <w:r>
        <w:rPr>
          <w:rFonts w:hint="eastAsia" w:ascii="宋体"/>
          <w:color w:val="auto"/>
          <w:kern w:val="0"/>
          <w:sz w:val="24"/>
          <w:highlight w:val="none"/>
        </w:rPr>
        <w:t>有可能影响产品质量或者不能诚信履约，磋商小组应当要求供应商在磋商现场合理的时间内提供书面说明，并提交相关证明材料；供应商不能证明其报价合理性的，磋商小组应当将其作为无效报价处理。</w:t>
      </w:r>
    </w:p>
    <w:p w14:paraId="0DA15F4E">
      <w:pPr>
        <w:rPr>
          <w:rFonts w:ascii="宋体"/>
          <w:b/>
          <w:color w:val="auto"/>
          <w:sz w:val="24"/>
          <w:highlight w:val="none"/>
        </w:rPr>
      </w:pPr>
      <w:bookmarkStart w:id="311" w:name="_Toc249525187"/>
      <w:bookmarkStart w:id="312" w:name="_Toc249515306"/>
      <w:bookmarkStart w:id="313" w:name="_Toc249515418"/>
      <w:bookmarkStart w:id="314" w:name="_Toc56534788"/>
      <w:r>
        <w:rPr>
          <w:rFonts w:hint="eastAsia" w:ascii="宋体"/>
          <w:b/>
          <w:color w:val="auto"/>
          <w:sz w:val="24"/>
          <w:highlight w:val="none"/>
        </w:rPr>
        <w:t>24．</w:t>
      </w:r>
      <w:bookmarkEnd w:id="310"/>
      <w:bookmarkEnd w:id="311"/>
      <w:bookmarkEnd w:id="312"/>
      <w:bookmarkEnd w:id="313"/>
      <w:bookmarkEnd w:id="314"/>
      <w:bookmarkStart w:id="315" w:name="_Toc249515419"/>
      <w:bookmarkStart w:id="316" w:name="_Toc56534789"/>
      <w:bookmarkStart w:id="317" w:name="_Toc249515307"/>
      <w:bookmarkStart w:id="318" w:name="_Toc249525188"/>
      <w:bookmarkStart w:id="319" w:name="_Toc83547671"/>
      <w:r>
        <w:rPr>
          <w:rFonts w:hint="eastAsia" w:ascii="宋体"/>
          <w:b/>
          <w:color w:val="auto"/>
          <w:sz w:val="24"/>
          <w:highlight w:val="none"/>
        </w:rPr>
        <w:t>响应偏离与非实质性响应</w:t>
      </w:r>
      <w:bookmarkEnd w:id="315"/>
      <w:bookmarkEnd w:id="316"/>
      <w:bookmarkEnd w:id="317"/>
      <w:bookmarkEnd w:id="318"/>
    </w:p>
    <w:p w14:paraId="3FB40A9B">
      <w:pPr>
        <w:rPr>
          <w:color w:val="auto"/>
          <w:highlight w:val="none"/>
        </w:rPr>
      </w:pPr>
    </w:p>
    <w:p w14:paraId="6528384C">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24.1对于响应文件中不构成实质性偏离的不正规、不一致或不规则，磋商小组可以接受。</w:t>
      </w:r>
    </w:p>
    <w:p w14:paraId="0D50DDE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24.2在比较与评价之前，根据本须知的规定，磋商小组要审查每份响应文件是否实质上响应了磋商文件的要求。实质上响应的报价应该是与磋商文件要求的全部条款、条件和规格相符，没有重大偏离的报价。对关键条款，例如适用法律、缴税等内容的偏离、保留和反对，将被认为是实质上的偏离。</w:t>
      </w:r>
    </w:p>
    <w:p w14:paraId="2BB42F30">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24.3响应文件存在下列情形之一的，其响应无效，供应商不得通过补充、澄清、修正或撤销等形式使其响应成为有效响应：</w:t>
      </w:r>
    </w:p>
    <w:p w14:paraId="4121694E">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（1）未按照磋商文件规定进行签署、盖章及封装的；</w:t>
      </w:r>
    </w:p>
    <w:p w14:paraId="71F607E2">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（2）供应商未通过资格条件审查或符合性审查的；</w:t>
      </w:r>
    </w:p>
    <w:p w14:paraId="77E091B8">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（3）响应文件含有采购人不能接受的附加条件的；</w:t>
      </w:r>
    </w:p>
    <w:p w14:paraId="6631125C">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（4）不满足磋商文件其他“★”号条款的；</w:t>
      </w:r>
    </w:p>
    <w:p w14:paraId="7C0FE72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（5）法律、法规规定的其他无效磋商情形；</w:t>
      </w:r>
    </w:p>
    <w:p w14:paraId="2187A392">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（6）响应与事实不符或提供虚假或失实资料的。</w:t>
      </w:r>
    </w:p>
    <w:p w14:paraId="100AEC45">
      <w:pPr>
        <w:tabs>
          <w:tab w:val="left" w:pos="0"/>
        </w:tabs>
        <w:ind w:left="480" w:hanging="480"/>
        <w:rPr>
          <w:rFonts w:ascii="宋体"/>
          <w:b/>
          <w:color w:val="auto"/>
          <w:sz w:val="24"/>
          <w:highlight w:val="none"/>
        </w:rPr>
      </w:pPr>
      <w:r>
        <w:rPr>
          <w:rFonts w:hint="eastAsia" w:ascii="宋体"/>
          <w:b/>
          <w:color w:val="auto"/>
          <w:sz w:val="24"/>
          <w:highlight w:val="none"/>
        </w:rPr>
        <w:t>25.磋商与评审</w:t>
      </w:r>
    </w:p>
    <w:p w14:paraId="4BB27A9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25．1参加磋商的供应商应由其法定代表人或本项目的授权代表作为磋商代表，磋商过程中可有商务、技术及售后服务等人员（总人数不超过5人）共同参加磋商。磋商过程文件须由供应商的法定代表人或本项目的授权代表签字。</w:t>
      </w:r>
    </w:p>
    <w:p w14:paraId="2D40C376">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25．2</w:t>
      </w:r>
      <w:bookmarkStart w:id="320" w:name="_Hlk508665445"/>
      <w:r>
        <w:rPr>
          <w:rFonts w:hint="eastAsia" w:ascii="宋体"/>
          <w:color w:val="auto"/>
          <w:kern w:val="0"/>
          <w:sz w:val="24"/>
          <w:highlight w:val="none"/>
        </w:rPr>
        <w:t>磋商小组</w:t>
      </w:r>
      <w:bookmarkEnd w:id="320"/>
      <w:r>
        <w:rPr>
          <w:rFonts w:hint="eastAsia" w:ascii="宋体"/>
          <w:color w:val="auto"/>
          <w:kern w:val="0"/>
          <w:sz w:val="24"/>
          <w:highlight w:val="none"/>
        </w:rPr>
        <w:t>将根据各供应商的响应文件及磋商结果，按公平、公正的原则确定最终项目需求。磋商小组若对磋商文件作出实质性变动的，应当以书面形式通知所有参加磋商的供应商。磋商小组将要求各供应商对最终项目需求进行签字确认。</w:t>
      </w:r>
    </w:p>
    <w:p w14:paraId="56AB73DC">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26.3磋商小组将对磋商结果进行记录，磋商记录须由供应商的法定代表人或本项目的授权代表签字确认。经签字确认后的磋商记录将作为成交后采购人与供应商签署合同的依据，具有法律效力。</w:t>
      </w:r>
    </w:p>
    <w:p w14:paraId="621A8E1D">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25.4</w:t>
      </w:r>
      <w:bookmarkStart w:id="321" w:name="_Hlk508666428"/>
      <w:r>
        <w:rPr>
          <w:rFonts w:hint="eastAsia" w:ascii="宋体"/>
          <w:color w:val="auto"/>
          <w:kern w:val="0"/>
          <w:sz w:val="24"/>
          <w:highlight w:val="none"/>
        </w:rPr>
        <w:t>磋商小组</w:t>
      </w:r>
      <w:bookmarkEnd w:id="321"/>
      <w:r>
        <w:rPr>
          <w:rFonts w:hint="eastAsia" w:ascii="宋体"/>
          <w:color w:val="auto"/>
          <w:kern w:val="0"/>
          <w:sz w:val="24"/>
          <w:highlight w:val="none"/>
        </w:rPr>
        <w:t>分别与通过符合性审查潜在供应商进行磋商，磋商内容包括但不限于报价、技术方案等。在磋商中，磋商的任何一方不得透露与磋商有关的其他供应商的技术资料、价格和其他信息。并按磋商文件中的评审标准和方法，对其商务、技术、服务和报价等作进一步的比较和评价。磋商结束后，磋商小组应当要求所有参加磋商的供应商在规定的时间内进行最终报价。</w:t>
      </w:r>
    </w:p>
    <w:p w14:paraId="48B9B2C1">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25.5如出现下述情形之一的，视为供应商自动放弃本项目成交资格，其响应将被拒绝：</w:t>
      </w:r>
    </w:p>
    <w:p w14:paraId="588A1606">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1)供应商未按要求确认磋商小组确定的最终项目需求的；</w:t>
      </w:r>
    </w:p>
    <w:p w14:paraId="508D5AA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2)最终报价未实质性响应磋商小组确定的最终项目需求的，或附有采购人无法接受的条件的。</w:t>
      </w:r>
    </w:p>
    <w:p w14:paraId="75183E1C">
      <w:pPr>
        <w:tabs>
          <w:tab w:val="left" w:pos="360"/>
          <w:tab w:val="left" w:pos="588"/>
        </w:tabs>
        <w:spacing w:line="360" w:lineRule="auto"/>
        <w:ind w:left="284"/>
        <w:rPr>
          <w:rFonts w:ascii="宋体"/>
          <w:color w:val="auto"/>
          <w:kern w:val="0"/>
          <w:sz w:val="24"/>
          <w:highlight w:val="none"/>
        </w:rPr>
      </w:pPr>
      <w:bookmarkStart w:id="322" w:name="_Hlk508665684"/>
      <w:r>
        <w:rPr>
          <w:rFonts w:hint="eastAsia" w:ascii="宋体"/>
          <w:color w:val="auto"/>
          <w:kern w:val="0"/>
          <w:sz w:val="24"/>
          <w:highlight w:val="none"/>
        </w:rPr>
        <w:t>25.</w:t>
      </w:r>
      <w:bookmarkEnd w:id="322"/>
      <w:r>
        <w:rPr>
          <w:rFonts w:hint="eastAsia" w:ascii="宋体"/>
          <w:color w:val="auto"/>
          <w:kern w:val="0"/>
          <w:sz w:val="24"/>
          <w:highlight w:val="none"/>
        </w:rPr>
        <w:t>6评审方法：</w:t>
      </w:r>
      <w:r>
        <w:rPr>
          <w:rFonts w:hint="eastAsia" w:ascii="宋体" w:cs="Courier New"/>
          <w:color w:val="auto"/>
          <w:kern w:val="0"/>
          <w:sz w:val="24"/>
          <w:highlight w:val="none"/>
        </w:rPr>
        <w:t>根据</w:t>
      </w:r>
      <w:r>
        <w:rPr>
          <w:rFonts w:hint="eastAsia" w:ascii="宋体" w:cs="Courier New"/>
          <w:color w:val="auto"/>
          <w:kern w:val="0"/>
          <w:sz w:val="24"/>
          <w:highlight w:val="none"/>
          <w:lang w:val="en-US" w:eastAsia="zh-CN"/>
        </w:rPr>
        <w:t xml:space="preserve">《财政部关于印发&lt;政府采购竞争性磋商采购方式管理暂行办法&gt;的通知》(财库[2014]214号) </w:t>
      </w:r>
      <w:r>
        <w:rPr>
          <w:rFonts w:hint="eastAsia" w:ascii="宋体" w:cs="Courier New"/>
          <w:color w:val="auto"/>
          <w:kern w:val="0"/>
          <w:sz w:val="24"/>
          <w:highlight w:val="none"/>
        </w:rPr>
        <w:t>，以综合评分法对提交最后报价的供应商的响应文件和最后报价进行综合评分。</w:t>
      </w:r>
      <w:r>
        <w:rPr>
          <w:rFonts w:hint="eastAsia" w:ascii="宋体"/>
          <w:color w:val="auto"/>
          <w:kern w:val="0"/>
          <w:sz w:val="24"/>
          <w:highlight w:val="none"/>
        </w:rPr>
        <w:t>评审办法及评审标准详见磋商文件第五部分。</w:t>
      </w:r>
    </w:p>
    <w:p w14:paraId="72884FBC">
      <w:pPr>
        <w:tabs>
          <w:tab w:val="left" w:pos="360"/>
          <w:tab w:val="left" w:pos="588"/>
        </w:tabs>
        <w:spacing w:line="360" w:lineRule="auto"/>
        <w:ind w:left="284"/>
        <w:rPr>
          <w:rFonts w:ascii="宋体"/>
          <w:bCs/>
          <w:color w:val="auto"/>
          <w:kern w:val="0"/>
          <w:sz w:val="24"/>
          <w:highlight w:val="none"/>
        </w:rPr>
      </w:pPr>
      <w:bookmarkStart w:id="323" w:name="_Hlk508665402"/>
      <w:r>
        <w:rPr>
          <w:rFonts w:hint="eastAsia" w:ascii="宋体"/>
          <w:color w:val="auto"/>
          <w:kern w:val="0"/>
          <w:sz w:val="24"/>
          <w:highlight w:val="none"/>
        </w:rPr>
        <w:t>25.</w:t>
      </w:r>
      <w:bookmarkEnd w:id="323"/>
      <w:r>
        <w:rPr>
          <w:rFonts w:hint="eastAsia" w:ascii="宋体"/>
          <w:color w:val="auto"/>
          <w:kern w:val="0"/>
          <w:sz w:val="24"/>
          <w:highlight w:val="none"/>
        </w:rPr>
        <w:t>7参加磋商的中小企业应当提供有效的《中小企业声明函》（格式见附件），参加磋商的监狱企业应当提供由省级以上监狱管理局、戒毒管理局（含新疆生产建设兵团）出具的属于监狱企业的证明文件，参加磋商的残疾人福利性单位应当提供《残疾人福利性单位声明函》，否则评标时不得被认定。本项目上述企业单位制造的产品在评审时给予报价10%的扣除，用扣除后的价格参与评审打分，即参加评审的价格=响应报价×(1-10%)。未提供相关声明函或证明文件的评审时其响应报价不予扣除，同时具备上述两种及以上类型的企业单位，不重复享受政策优惠。</w:t>
      </w:r>
      <w:bookmarkStart w:id="324" w:name="_Toc164229387"/>
      <w:bookmarkStart w:id="325" w:name="_Toc150774751"/>
      <w:bookmarkStart w:id="326" w:name="_Toc150509297"/>
      <w:bookmarkStart w:id="327" w:name="_Toc249525191"/>
      <w:bookmarkStart w:id="328" w:name="_Toc151193644"/>
      <w:bookmarkStart w:id="329" w:name="_Toc151193716"/>
      <w:bookmarkStart w:id="330" w:name="_Toc164229241"/>
      <w:bookmarkStart w:id="331" w:name="_Toc151193788"/>
      <w:bookmarkStart w:id="332" w:name="_Toc249515422"/>
      <w:bookmarkStart w:id="333" w:name="_Toc195842911"/>
      <w:bookmarkStart w:id="334" w:name="_Ref467307010"/>
      <w:bookmarkStart w:id="335" w:name="_Toc150774646"/>
      <w:bookmarkStart w:id="336" w:name="_Toc56534791"/>
      <w:bookmarkStart w:id="337" w:name="_Toc151193934"/>
      <w:bookmarkStart w:id="338" w:name="_Toc164608815"/>
      <w:bookmarkStart w:id="339" w:name="_Toc127161460"/>
      <w:bookmarkStart w:id="340" w:name="_Toc149720839"/>
      <w:bookmarkStart w:id="341" w:name="_Toc127151747"/>
      <w:bookmarkStart w:id="342" w:name="_Toc164608660"/>
      <w:bookmarkStart w:id="343" w:name="_Toc249515310"/>
      <w:bookmarkStart w:id="344" w:name="_Toc142311048"/>
      <w:bookmarkStart w:id="345" w:name="_Toc164351640"/>
      <w:bookmarkStart w:id="346" w:name="_Toc151193860"/>
      <w:bookmarkStart w:id="347" w:name="_Toc520356170"/>
      <w:bookmarkStart w:id="348" w:name="_Toc127151546"/>
      <w:bookmarkStart w:id="349" w:name="_Toc151190173"/>
      <w:bookmarkStart w:id="350" w:name="_Toc150480784"/>
    </w:p>
    <w:p w14:paraId="054ACAB1">
      <w:pPr>
        <w:rPr>
          <w:rFonts w:ascii="宋体"/>
          <w:b/>
          <w:bCs/>
          <w:color w:val="auto"/>
          <w:sz w:val="24"/>
          <w:szCs w:val="21"/>
          <w:highlight w:val="none"/>
        </w:rPr>
      </w:pPr>
      <w:r>
        <w:rPr>
          <w:rFonts w:hint="eastAsia" w:ascii="宋体"/>
          <w:b/>
          <w:color w:val="auto"/>
          <w:sz w:val="24"/>
          <w:highlight w:val="none"/>
        </w:rPr>
        <w:t>26.成交候选人的推荐原则</w:t>
      </w:r>
    </w:p>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14:paraId="256483EF">
      <w:pPr>
        <w:rPr>
          <w:color w:val="auto"/>
          <w:highlight w:val="none"/>
        </w:rPr>
      </w:pPr>
    </w:p>
    <w:bookmarkEnd w:id="319"/>
    <w:p w14:paraId="6552258A">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26.1磋商小组将根据评审结果，对实质上响应磋商文件的供应商按照综合评分由高至低的顺序进行评标排序。得分相同的，按照响应报价由低到高的顺序排列，得分与响应报价均相同的，按照技术指标优劣（技术得分由高至低）顺序排列。</w:t>
      </w:r>
    </w:p>
    <w:p w14:paraId="0AE38032">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26.2前附表中另有规定成交候选人推荐原则的，以前附表规定为准。</w:t>
      </w:r>
    </w:p>
    <w:p w14:paraId="609AC865">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26.3磋商小组将根据评审排序，依次推荐前三名供应商为成交候选人。</w:t>
      </w:r>
    </w:p>
    <w:p w14:paraId="786FD76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26.4提供相同品牌产品且通过资格审查、符合性审查的不同供应商参加同一项目项下报价的，按一家供应商计算，评审后得分最高的同品牌供应商获得成交人推荐资格；评审得分相同的，由采购人确定一个供应商获得成交人推荐资格，其他同品牌供应商不作为成交候选人。非单一产品采购项目，以本磋商文件确定的核心产品为准，多家供应商提供相同核心产品品牌的，按上述规定处理。</w:t>
      </w:r>
    </w:p>
    <w:p w14:paraId="7B32BEC3">
      <w:pPr>
        <w:rPr>
          <w:rFonts w:ascii="宋体"/>
          <w:b/>
          <w:color w:val="auto"/>
          <w:sz w:val="24"/>
          <w:highlight w:val="none"/>
        </w:rPr>
      </w:pPr>
      <w:r>
        <w:rPr>
          <w:rFonts w:hint="eastAsia" w:ascii="宋体"/>
          <w:b/>
          <w:color w:val="auto"/>
          <w:sz w:val="24"/>
          <w:highlight w:val="none"/>
        </w:rPr>
        <w:t>27.废标</w:t>
      </w:r>
    </w:p>
    <w:p w14:paraId="6F7FCE82">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27.1出现下列情况之一时，磋商小组有权决定废标，并将理由通知所有供应商：</w:t>
      </w:r>
    </w:p>
    <w:p w14:paraId="78490064">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递交响应文件的供应商不足三家（政府采购管理部门批准的除外；符合财库[2014]214号第三条第四项情形的；政府购买服务项目（含政府和社会资本合作项目），在采购过程中符合要求的供应商（社会资本）只有2家的。）的；</w:t>
      </w:r>
    </w:p>
    <w:p w14:paraId="6967EE08">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（2）通过资格条件审查或符合性审查的供应商不足三家的；</w:t>
      </w:r>
    </w:p>
    <w:p w14:paraId="377484B6">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（3）出现影响采购公正的违法、违规行为的；</w:t>
      </w:r>
    </w:p>
    <w:p w14:paraId="7F8E7C12">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（4）因重大变故，采购任务取消的。</w:t>
      </w:r>
    </w:p>
    <w:p w14:paraId="28C91F85">
      <w:pPr>
        <w:tabs>
          <w:tab w:val="left" w:pos="588"/>
        </w:tabs>
        <w:rPr>
          <w:rFonts w:ascii="宋体"/>
          <w:color w:val="auto"/>
          <w:sz w:val="24"/>
          <w:highlight w:val="none"/>
        </w:rPr>
      </w:pPr>
      <w:r>
        <w:rPr>
          <w:rFonts w:hint="eastAsia" w:ascii="宋体"/>
          <w:b/>
          <w:color w:val="auto"/>
          <w:sz w:val="24"/>
          <w:highlight w:val="none"/>
        </w:rPr>
        <w:t xml:space="preserve">28.串标 </w:t>
      </w:r>
      <w:r>
        <w:rPr>
          <w:rFonts w:hint="eastAsia" w:ascii="宋体"/>
          <w:color w:val="auto"/>
          <w:sz w:val="24"/>
          <w:highlight w:val="none"/>
        </w:rPr>
        <w:t xml:space="preserve"> </w:t>
      </w:r>
    </w:p>
    <w:p w14:paraId="4B7F10D1">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28.1供应商有《政府采购法实施条例》第七十四条规定情形之一的，属于恶意串通，其响应无效，并按有关规定追究法律责任。</w:t>
      </w:r>
    </w:p>
    <w:p w14:paraId="09EA616C">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28.2供应商有下列情形之一的，视为串通投标，其响应无效。</w:t>
      </w:r>
    </w:p>
    <w:p w14:paraId="1D0B7DDE">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（1）不同供应商的响应文件由同一单位或者个人编制；</w:t>
      </w:r>
    </w:p>
    <w:p w14:paraId="6BC1FD8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（2）不同供应商委托同一单位或者个人办理磋商事宜；</w:t>
      </w:r>
    </w:p>
    <w:p w14:paraId="30E77EA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（3）不同供应商的响应文件载明的项目管理成员或者联系人员为同一人；</w:t>
      </w:r>
    </w:p>
    <w:p w14:paraId="16FFB93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（4）不同供应商的响应文件异常一致或者响应报价呈规律性差异；</w:t>
      </w:r>
    </w:p>
    <w:p w14:paraId="2822D644">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（5）不同供应商的响应文件相互混装。</w:t>
      </w:r>
    </w:p>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14:paraId="54C5975C">
      <w:pPr>
        <w:jc w:val="center"/>
        <w:outlineLvl w:val="1"/>
        <w:rPr>
          <w:rFonts w:ascii="宋体"/>
          <w:b/>
          <w:color w:val="auto"/>
          <w:sz w:val="24"/>
          <w:highlight w:val="none"/>
        </w:rPr>
      </w:pPr>
      <w:bookmarkStart w:id="351" w:name="_Hlt497729446"/>
      <w:bookmarkEnd w:id="351"/>
      <w:bookmarkStart w:id="352" w:name="_Hlt491765714"/>
      <w:bookmarkEnd w:id="352"/>
      <w:bookmarkStart w:id="353" w:name="_Toc256342149"/>
      <w:bookmarkStart w:id="354" w:name="_Toc249515311"/>
      <w:bookmarkStart w:id="355" w:name="_Toc232395218"/>
      <w:bookmarkStart w:id="356" w:name="_Toc232176278"/>
      <w:bookmarkStart w:id="357" w:name="_Toc24329"/>
      <w:bookmarkStart w:id="358" w:name="_Toc249525192"/>
      <w:bookmarkStart w:id="359" w:name="_Toc249515423"/>
      <w:bookmarkStart w:id="360" w:name="_Toc492955421"/>
      <w:bookmarkStart w:id="361" w:name="_Toc70687174"/>
      <w:bookmarkStart w:id="362" w:name="_Toc176882548"/>
      <w:bookmarkStart w:id="363" w:name="_Toc177817340"/>
      <w:bookmarkStart w:id="364" w:name="_Toc389620199"/>
      <w:bookmarkStart w:id="365" w:name="_Toc500746972"/>
      <w:bookmarkStart w:id="366" w:name="_Toc500747068"/>
      <w:bookmarkStart w:id="367" w:name="_Toc499711049"/>
      <w:bookmarkStart w:id="368" w:name="_Toc496324585"/>
      <w:bookmarkStart w:id="369" w:name="_Toc499711890"/>
      <w:bookmarkStart w:id="370" w:name="_Toc177995479"/>
      <w:bookmarkStart w:id="371" w:name="_Toc184043047"/>
      <w:bookmarkStart w:id="372" w:name="_Toc503063428"/>
      <w:bookmarkStart w:id="373" w:name="_Toc500747195"/>
      <w:bookmarkStart w:id="374" w:name="_Toc385992360"/>
      <w:bookmarkStart w:id="375" w:name="_Toc177189241"/>
      <w:bookmarkStart w:id="376" w:name="_Toc53722846"/>
      <w:r>
        <w:rPr>
          <w:rFonts w:hint="eastAsia" w:ascii="宋体"/>
          <w:b/>
          <w:color w:val="auto"/>
          <w:sz w:val="24"/>
          <w:highlight w:val="none"/>
        </w:rPr>
        <w:t>六、授予合同</w:t>
      </w:r>
      <w:bookmarkEnd w:id="353"/>
      <w:bookmarkEnd w:id="354"/>
      <w:bookmarkEnd w:id="355"/>
      <w:bookmarkEnd w:id="356"/>
      <w:bookmarkEnd w:id="357"/>
      <w:bookmarkEnd w:id="358"/>
      <w:bookmarkEnd w:id="359"/>
    </w:p>
    <w:p w14:paraId="2A25D604">
      <w:pPr>
        <w:rPr>
          <w:rFonts w:ascii="宋体"/>
          <w:b/>
          <w:color w:val="auto"/>
          <w:sz w:val="24"/>
          <w:highlight w:val="none"/>
        </w:rPr>
      </w:pPr>
      <w:r>
        <w:rPr>
          <w:rFonts w:hint="eastAsia" w:ascii="宋体"/>
          <w:b/>
          <w:color w:val="auto"/>
          <w:sz w:val="24"/>
          <w:highlight w:val="none"/>
        </w:rPr>
        <w:t>29.定标准则</w:t>
      </w:r>
    </w:p>
    <w:p w14:paraId="4F48E040">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29.1采购人将按</w:t>
      </w:r>
      <w:bookmarkStart w:id="377" w:name="_Hlk508667593"/>
      <w:r>
        <w:rPr>
          <w:rFonts w:hint="eastAsia" w:ascii="宋体"/>
          <w:color w:val="auto"/>
          <w:kern w:val="0"/>
          <w:sz w:val="24"/>
          <w:highlight w:val="none"/>
        </w:rPr>
        <w:t>磋商小组</w:t>
      </w:r>
      <w:bookmarkEnd w:id="377"/>
      <w:r>
        <w:rPr>
          <w:rFonts w:hint="eastAsia" w:ascii="宋体"/>
          <w:color w:val="auto"/>
          <w:kern w:val="0"/>
          <w:sz w:val="24"/>
          <w:highlight w:val="none"/>
        </w:rPr>
        <w:t>推荐的成交候选人名单排序确定第一成交候选人为成交供应商</w:t>
      </w:r>
      <w:r>
        <w:rPr>
          <w:rFonts w:hint="eastAsia" w:ascii="宋体" w:cs="宋体"/>
          <w:color w:val="auto"/>
          <w:kern w:val="0"/>
          <w:sz w:val="24"/>
          <w:highlight w:val="none"/>
        </w:rPr>
        <w:t>。成交供应商因不可抗力或自身原因放弃成交资格的，采购人可以按照</w:t>
      </w:r>
      <w:r>
        <w:rPr>
          <w:rFonts w:hint="eastAsia" w:ascii="宋体"/>
          <w:color w:val="auto"/>
          <w:kern w:val="0"/>
          <w:sz w:val="24"/>
          <w:highlight w:val="none"/>
        </w:rPr>
        <w:t>磋商小组</w:t>
      </w:r>
      <w:r>
        <w:rPr>
          <w:rFonts w:hint="eastAsia" w:ascii="宋体" w:cs="宋体"/>
          <w:color w:val="auto"/>
          <w:kern w:val="0"/>
          <w:sz w:val="24"/>
          <w:highlight w:val="none"/>
        </w:rPr>
        <w:t>推荐的成交候选人名单排序，确定下一候选人为成交供应商，也可以重新组织采购活动。</w:t>
      </w:r>
    </w:p>
    <w:p w14:paraId="64656325">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29.2采购机构不承诺报价最低的供应商为成交供应商。</w:t>
      </w:r>
    </w:p>
    <w:p w14:paraId="33A3A66B">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29.3采购机构有权组织磋商小组对拟确定的成交供应商所提供的证明材料进行核实，如发现不符，将按提供虚假材料行为处罚，并按第29.1条重新确定成交供应商。</w:t>
      </w:r>
    </w:p>
    <w:p w14:paraId="51074C63">
      <w:pPr>
        <w:rPr>
          <w:rFonts w:ascii="宋体"/>
          <w:b/>
          <w:color w:val="auto"/>
          <w:sz w:val="24"/>
          <w:highlight w:val="none"/>
        </w:rPr>
      </w:pPr>
      <w:r>
        <w:rPr>
          <w:rFonts w:hint="eastAsia" w:ascii="宋体"/>
          <w:b/>
          <w:color w:val="auto"/>
          <w:sz w:val="24"/>
          <w:highlight w:val="none"/>
        </w:rPr>
        <w:t>30.成交通知</w:t>
      </w:r>
    </w:p>
    <w:p w14:paraId="168A146D">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30.1成交供应商确定后，采购机构在指定媒体上公告成交结果，同时向成交供应商发出《成交通知书》。遇有质疑或投诉处理改变原成交结果，采购机构将在指定媒体上公告新的成交结果，同时向新的成交供应商发出《成交通知书》，原《成交通知书》自然失效。</w:t>
      </w:r>
    </w:p>
    <w:p w14:paraId="54C87E56">
      <w:pPr>
        <w:rPr>
          <w:rFonts w:ascii="宋体"/>
          <w:b/>
          <w:color w:val="auto"/>
          <w:sz w:val="24"/>
          <w:highlight w:val="none"/>
        </w:rPr>
      </w:pPr>
      <w:r>
        <w:rPr>
          <w:rFonts w:hint="eastAsia" w:ascii="宋体"/>
          <w:b/>
          <w:color w:val="auto"/>
          <w:sz w:val="24"/>
          <w:highlight w:val="none"/>
        </w:rPr>
        <w:t>31.接受和拒绝任何或所有投标的权力</w:t>
      </w:r>
    </w:p>
    <w:p w14:paraId="2680B89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31.1为维护国家和社会公共利益，采购人保留在授标之前任何时候接受或拒绝任何投标的权力，且对受影响的供应商不承担任何责任。</w:t>
      </w:r>
    </w:p>
    <w:p w14:paraId="67C33483">
      <w:pPr>
        <w:rPr>
          <w:rFonts w:ascii="宋体"/>
          <w:b/>
          <w:color w:val="auto"/>
          <w:sz w:val="24"/>
          <w:highlight w:val="none"/>
        </w:rPr>
      </w:pPr>
      <w:r>
        <w:rPr>
          <w:rFonts w:hint="eastAsia" w:ascii="宋体"/>
          <w:b/>
          <w:color w:val="auto"/>
          <w:sz w:val="24"/>
          <w:highlight w:val="none"/>
        </w:rPr>
        <w:t>32.签订合同</w:t>
      </w:r>
    </w:p>
    <w:p w14:paraId="0A06FC07">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32.1采购人应当在成交通知书发出之日起三十日内，与持有《成交通知书》的成交人签订合同。成交人无正当理由拒绝与采购人签订合同的，将承担相应的法律责任。</w:t>
      </w:r>
    </w:p>
    <w:p w14:paraId="1A85E915">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32.2成交通知书、成交人的响应文件及双方确认的澄清文件等，均为有法律约束力的经济合同组成的一部分。</w:t>
      </w:r>
    </w:p>
    <w:p w14:paraId="617338E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32.3成交人在磋商期间按照磋商文件的要求提供的任何文稿，包括：报告、说明、规划书、建议书和方案设计等书面材料或电子文档，其使用权和版权都归采购机构所有（但该知识产权具有人身专属性的权利内容仍属成交人所有）。</w:t>
      </w:r>
    </w:p>
    <w:p w14:paraId="11069199">
      <w:pPr>
        <w:rPr>
          <w:rFonts w:ascii="宋体"/>
          <w:b/>
          <w:color w:val="auto"/>
          <w:sz w:val="24"/>
          <w:highlight w:val="none"/>
        </w:rPr>
      </w:pPr>
      <w:r>
        <w:rPr>
          <w:rFonts w:hint="eastAsia" w:ascii="宋体"/>
          <w:b/>
          <w:color w:val="auto"/>
          <w:sz w:val="24"/>
          <w:highlight w:val="none"/>
        </w:rPr>
        <w:t>33.采购人追加采购数量的权利</w:t>
      </w:r>
    </w:p>
    <w:p w14:paraId="207BCA2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33.1在合同履行中，采购人需追加与合同标的相同货物或服务的，在不改变合同其他条款的前提下，采购人有权与成交人协商签订补充合同，但所有补充合同的采购金额不得超过原合同采购金额10%。</w:t>
      </w:r>
    </w:p>
    <w:p w14:paraId="066AD732">
      <w:pPr>
        <w:rPr>
          <w:rFonts w:ascii="宋体"/>
          <w:b/>
          <w:color w:val="auto"/>
          <w:sz w:val="24"/>
          <w:highlight w:val="none"/>
        </w:rPr>
      </w:pPr>
      <w:r>
        <w:rPr>
          <w:rFonts w:hint="eastAsia" w:ascii="宋体"/>
          <w:b/>
          <w:color w:val="auto"/>
          <w:sz w:val="24"/>
          <w:highlight w:val="none"/>
        </w:rPr>
        <w:t>34.履约保证金</w:t>
      </w:r>
    </w:p>
    <w:p w14:paraId="512A70C3">
      <w:pPr>
        <w:tabs>
          <w:tab w:val="left" w:pos="360"/>
          <w:tab w:val="left" w:pos="588"/>
        </w:tabs>
        <w:spacing w:line="360" w:lineRule="auto"/>
        <w:ind w:left="284"/>
        <w:rPr>
          <w:rFonts w:ascii="宋体"/>
          <w:color w:val="auto"/>
          <w:kern w:val="0"/>
          <w:sz w:val="24"/>
          <w:highlight w:val="none"/>
        </w:rPr>
      </w:pPr>
      <w:bookmarkStart w:id="378" w:name="EB01d2710321eb4f95bf7905b0c3239922"/>
      <w:r>
        <w:rPr>
          <w:rFonts w:hint="eastAsia" w:ascii="宋体"/>
          <w:color w:val="auto"/>
          <w:kern w:val="0"/>
          <w:sz w:val="24"/>
          <w:highlight w:val="none"/>
        </w:rPr>
        <w:t xml:space="preserve">34.1本项目的成交人须按磋商文件中规定的履约保证金形式向采购人提交履约保证金。 </w:t>
      </w:r>
    </w:p>
    <w:p w14:paraId="2DD3071A">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34.2履约保证金的提交时间、金额、形式及有效期见前附表。</w:t>
      </w:r>
      <w:bookmarkEnd w:id="378"/>
    </w:p>
    <w:p w14:paraId="34D412F2">
      <w:pPr>
        <w:rPr>
          <w:rFonts w:ascii="宋体"/>
          <w:b/>
          <w:color w:val="auto"/>
          <w:sz w:val="24"/>
          <w:highlight w:val="none"/>
        </w:rPr>
      </w:pPr>
      <w:r>
        <w:rPr>
          <w:rFonts w:hint="eastAsia" w:ascii="宋体"/>
          <w:b/>
          <w:color w:val="auto"/>
          <w:sz w:val="24"/>
          <w:highlight w:val="none"/>
        </w:rPr>
        <w:t>35.重新授予合同</w:t>
      </w:r>
    </w:p>
    <w:p w14:paraId="166A69FD">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35.1如果成交人没有按照上述第32.1条规定执行，采购机构有权取消该成交决定，采购人可以按照磋商小组推荐的成交候选人名单排序，将合同授予下一成交候选人或重新组织采购确定成交供应商。</w:t>
      </w:r>
    </w:p>
    <w:p w14:paraId="55830875">
      <w:pPr>
        <w:rPr>
          <w:rFonts w:ascii="宋体"/>
          <w:b/>
          <w:color w:val="auto"/>
          <w:sz w:val="24"/>
          <w:highlight w:val="none"/>
        </w:rPr>
      </w:pPr>
      <w:r>
        <w:rPr>
          <w:rFonts w:hint="eastAsia" w:ascii="宋体"/>
          <w:b/>
          <w:color w:val="auto"/>
          <w:sz w:val="24"/>
          <w:highlight w:val="none"/>
        </w:rPr>
        <w:t>36.保证金</w:t>
      </w:r>
    </w:p>
    <w:p w14:paraId="0D07DE89">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36.1 供应商应按磋商文件规定的金额和期限交纳磋商保证金，磋商保证金作为响应文件的组成部分。</w:t>
      </w:r>
    </w:p>
    <w:p w14:paraId="501CD7B5">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36.2磋商保证金金额、交纳形式、交纳时间及磋商保证金账户。</w:t>
      </w:r>
    </w:p>
    <w:p w14:paraId="57A0139D">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 xml:space="preserve"> 1)汇款账号必须与供应商的名称相一致，否则将不予受理。</w:t>
      </w:r>
    </w:p>
    <w:p w14:paraId="56B24D96">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36.3凡未按规定交纳磋商保证金的报价响应，其报价响应被确定为响应无效。</w:t>
      </w:r>
    </w:p>
    <w:p w14:paraId="6C447EF6">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36.4如无质疑或投诉，未成交的供应商保证金，在成交通知书发出后5个工作日内不计利息原额退还；如有质疑或投诉，招标采购单位将在质疑和投诉处理完毕后不计利息原额退还。</w:t>
      </w:r>
    </w:p>
    <w:p w14:paraId="1DA823A6">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36.5成交供应商的磋商保证金,在成交供应商与采购人签订采购合同并执行了缴交成交服务费的规定后5个工作日内不计利息原额退还。</w:t>
      </w:r>
    </w:p>
    <w:p w14:paraId="7771D93B">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36.6 若有下列情况之一，磋商保证金将被没收，因此而造成采购人的损失须由供应商承担：</w:t>
      </w:r>
    </w:p>
    <w:p w14:paraId="22EFDA79">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 供应商在磋商文件规定的报价有效期内撤回其响应文件；</w:t>
      </w:r>
    </w:p>
    <w:p w14:paraId="65AF8E52">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 成交后无正当理由不与采购人签订合同的；</w:t>
      </w:r>
    </w:p>
    <w:p w14:paraId="17FB09F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 成交供应商在规定期限内未能按本须知的规定提交履约保证金（如有）；</w:t>
      </w:r>
    </w:p>
    <w:p w14:paraId="23D95F09">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4) 成交后未按磋商文件中的规定缴付成交服务费；</w:t>
      </w:r>
    </w:p>
    <w:p w14:paraId="7E99015A">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5) 有违反国家有关法律法规的行为。</w:t>
      </w:r>
    </w:p>
    <w:p w14:paraId="576A4232">
      <w:pPr>
        <w:rPr>
          <w:rFonts w:ascii="Calibri" w:hAnsi="Calibri"/>
          <w:color w:val="auto"/>
          <w:szCs w:val="22"/>
          <w:highlight w:val="none"/>
        </w:rPr>
      </w:pPr>
      <w:bookmarkStart w:id="379" w:name="EB17f66e60af9642f2bbc4d0da719042ab"/>
      <w:r>
        <w:rPr>
          <w:rFonts w:hint="eastAsia" w:ascii="Calibri" w:hAnsi="Calibri"/>
          <w:color w:val="auto"/>
          <w:sz w:val="20"/>
          <w:szCs w:val="22"/>
          <w:highlight w:val="none"/>
        </w:rPr>
        <w:t xml:space="preserve"> </w:t>
      </w:r>
      <w:bookmarkEnd w:id="379"/>
    </w:p>
    <w:p w14:paraId="2CF4B0D8">
      <w:pPr>
        <w:jc w:val="center"/>
        <w:outlineLvl w:val="1"/>
        <w:rPr>
          <w:rFonts w:ascii="宋体"/>
          <w:b/>
          <w:color w:val="auto"/>
          <w:sz w:val="24"/>
          <w:highlight w:val="none"/>
        </w:rPr>
      </w:pPr>
    </w:p>
    <w:p w14:paraId="02C56C43">
      <w:pPr>
        <w:jc w:val="center"/>
        <w:outlineLvl w:val="1"/>
        <w:rPr>
          <w:rFonts w:ascii="宋体"/>
          <w:b/>
          <w:color w:val="auto"/>
          <w:sz w:val="24"/>
          <w:highlight w:val="none"/>
        </w:rPr>
      </w:pPr>
      <w:bookmarkStart w:id="380" w:name="_Toc9370"/>
      <w:r>
        <w:rPr>
          <w:rFonts w:hint="eastAsia" w:ascii="宋体"/>
          <w:b/>
          <w:color w:val="auto"/>
          <w:sz w:val="24"/>
          <w:highlight w:val="none"/>
        </w:rPr>
        <w:t>七、质疑提出与处理</w:t>
      </w:r>
      <w:bookmarkEnd w:id="380"/>
    </w:p>
    <w:p w14:paraId="08E08ACE">
      <w:pPr>
        <w:rPr>
          <w:rFonts w:ascii="宋体"/>
          <w:b/>
          <w:color w:val="auto"/>
          <w:sz w:val="24"/>
          <w:highlight w:val="none"/>
        </w:rPr>
      </w:pPr>
    </w:p>
    <w:p w14:paraId="43A7DF48">
      <w:pPr>
        <w:rPr>
          <w:rFonts w:ascii="宋体"/>
          <w:b/>
          <w:color w:val="auto"/>
          <w:sz w:val="24"/>
          <w:highlight w:val="none"/>
        </w:rPr>
      </w:pPr>
    </w:p>
    <w:p w14:paraId="77FAABD7">
      <w:pPr>
        <w:rPr>
          <w:rFonts w:ascii="宋体"/>
          <w:b/>
          <w:color w:val="auto"/>
          <w:sz w:val="24"/>
          <w:highlight w:val="none"/>
        </w:rPr>
      </w:pPr>
      <w:r>
        <w:rPr>
          <w:rFonts w:hint="eastAsia" w:ascii="宋体"/>
          <w:b/>
          <w:color w:val="auto"/>
          <w:sz w:val="24"/>
          <w:highlight w:val="none"/>
        </w:rPr>
        <w:t>37.质疑提出</w:t>
      </w:r>
    </w:p>
    <w:p w14:paraId="4112E37C">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37.1供应商认为磋商文件、评审过程及成交结果使自己的权益受到损害的，可以在知道或应知权益受到损害之日起七个工作日内提出，针对同一采购程序环节的质疑应一次性提出。</w:t>
      </w:r>
    </w:p>
    <w:p w14:paraId="5AADBAB4">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37.2供应商质疑应当有明确的事项，并符合下列要求：</w:t>
      </w:r>
    </w:p>
    <w:p w14:paraId="5B80F2B4">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（1）提出质疑的供应商应当是按规定取得磋商文件并参与评审活动的供应商；</w:t>
      </w:r>
    </w:p>
    <w:p w14:paraId="2EBE7B24">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（2）提出质疑应当在法定质疑期限内（以当面送达日期或信函快递发出日期为准）；</w:t>
      </w:r>
    </w:p>
    <w:p w14:paraId="4EBAE533">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（3）提出质疑应当提供事实依据和证明材料，证明材料应当内容真实、来源合法；</w:t>
      </w:r>
    </w:p>
    <w:p w14:paraId="29238774">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14:paraId="785AF8FF">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37.3质疑函应当按附件格式通过当面送达或信函快递等原件方式向采购机构递交，采购构不接受电子邮件、传真等非原件方式递交的质疑函，格式见附件。</w:t>
      </w:r>
    </w:p>
    <w:p w14:paraId="734A2EE8">
      <w:pPr>
        <w:rPr>
          <w:rFonts w:ascii="宋体"/>
          <w:b/>
          <w:color w:val="auto"/>
          <w:sz w:val="24"/>
          <w:highlight w:val="none"/>
        </w:rPr>
      </w:pPr>
      <w:r>
        <w:rPr>
          <w:rFonts w:hint="eastAsia" w:ascii="宋体"/>
          <w:b/>
          <w:color w:val="auto"/>
          <w:sz w:val="24"/>
          <w:highlight w:val="none"/>
        </w:rPr>
        <w:t>38.质疑处理</w:t>
      </w:r>
    </w:p>
    <w:p w14:paraId="03072180">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38.1对于依法提出的供应商质疑，采购机构将在收到质疑函之日起（以当面送达日期或信函快递收到日期为准）七个工作日内书面答复质疑供应商。</w:t>
      </w:r>
    </w:p>
    <w:p w14:paraId="5728F047">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38.2质疑答复函将通过来人领取或信函邮寄、快递等原件方式向质疑供应商送达，不得以电子邮件、传真等非原件方式送达质疑供应商。</w:t>
      </w:r>
    </w:p>
    <w:p w14:paraId="488CDD1D">
      <w:pPr>
        <w:tabs>
          <w:tab w:val="left" w:pos="360"/>
          <w:tab w:val="left" w:pos="588"/>
        </w:tabs>
        <w:spacing w:line="360" w:lineRule="auto"/>
        <w:ind w:left="284"/>
        <w:rPr>
          <w:rFonts w:ascii="宋体"/>
          <w:color w:val="auto"/>
          <w:kern w:val="0"/>
          <w:sz w:val="24"/>
          <w:highlight w:val="none"/>
        </w:rPr>
      </w:pPr>
      <w:r>
        <w:rPr>
          <w:rFonts w:hint="eastAsia" w:ascii="宋体"/>
          <w:color w:val="auto"/>
          <w:kern w:val="0"/>
          <w:sz w:val="24"/>
          <w:highlight w:val="none"/>
        </w:rPr>
        <w:t>38.3质疑供应商提出质疑不符合磋商文件37.2和37.3要求的，采购机构将不予受理。</w:t>
      </w:r>
    </w:p>
    <w:p w14:paraId="2A154390">
      <w:pPr>
        <w:tabs>
          <w:tab w:val="left" w:pos="0"/>
        </w:tabs>
        <w:ind w:left="480" w:hanging="480"/>
        <w:rPr>
          <w:rFonts w:ascii="宋体"/>
          <w:color w:val="auto"/>
          <w:kern w:val="0"/>
          <w:sz w:val="24"/>
          <w:highlight w:val="none"/>
        </w:rPr>
      </w:pPr>
    </w:p>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14:paraId="6FF95522">
      <w:pPr>
        <w:tabs>
          <w:tab w:val="left" w:pos="360"/>
          <w:tab w:val="left" w:pos="588"/>
        </w:tabs>
        <w:spacing w:line="360" w:lineRule="auto"/>
        <w:rPr>
          <w:rFonts w:ascii="宋体" w:cs="宋体"/>
          <w:color w:val="auto"/>
          <w:sz w:val="30"/>
          <w:szCs w:val="30"/>
          <w:highlight w:val="none"/>
        </w:rPr>
        <w:sectPr>
          <w:footerReference r:id="rId3" w:type="default"/>
          <w:pgSz w:w="11907" w:h="16840"/>
          <w:pgMar w:top="1758" w:right="1361" w:bottom="1588" w:left="1361" w:header="851" w:footer="851" w:gutter="0"/>
          <w:cols w:space="720" w:num="1"/>
          <w:docGrid w:linePitch="462" w:charSpace="0"/>
        </w:sectPr>
      </w:pPr>
      <w:bookmarkStart w:id="381" w:name="_Toc249515320"/>
      <w:bookmarkStart w:id="382" w:name="_Toc413748880"/>
      <w:bookmarkStart w:id="383" w:name="_Toc249515432"/>
      <w:bookmarkStart w:id="384" w:name="_Toc232395220"/>
      <w:bookmarkStart w:id="385" w:name="_Toc249525201"/>
      <w:bookmarkStart w:id="386" w:name="_Toc230583547"/>
      <w:bookmarkStart w:id="387" w:name="_Toc256342150"/>
      <w:bookmarkStart w:id="388" w:name="_Toc232176280"/>
    </w:p>
    <w:bookmarkEnd w:id="17"/>
    <w:bookmarkEnd w:id="381"/>
    <w:bookmarkEnd w:id="382"/>
    <w:bookmarkEnd w:id="383"/>
    <w:bookmarkEnd w:id="384"/>
    <w:bookmarkEnd w:id="385"/>
    <w:bookmarkEnd w:id="386"/>
    <w:bookmarkEnd w:id="387"/>
    <w:bookmarkEnd w:id="388"/>
    <w:p w14:paraId="36897B1E">
      <w:pPr>
        <w:tabs>
          <w:tab w:val="left" w:pos="9240"/>
        </w:tabs>
        <w:adjustRightInd w:val="0"/>
        <w:spacing w:before="240" w:beforeLines="100"/>
        <w:ind w:right="145" w:rightChars="0"/>
        <w:jc w:val="center"/>
        <w:textAlignment w:val="baseline"/>
        <w:outlineLvl w:val="0"/>
        <w:rPr>
          <w:rFonts w:ascii="宋体" w:cs="宋体"/>
          <w:b/>
          <w:bCs/>
          <w:color w:val="auto"/>
          <w:kern w:val="0"/>
          <w:sz w:val="30"/>
          <w:szCs w:val="30"/>
          <w:highlight w:val="none"/>
        </w:rPr>
      </w:pPr>
      <w:bookmarkStart w:id="389" w:name="_Toc2618"/>
      <w:bookmarkStart w:id="390" w:name="_Toc101545312"/>
      <w:bookmarkStart w:id="391" w:name="_Toc53722865"/>
      <w:bookmarkStart w:id="392" w:name="_Toc474350612"/>
      <w:bookmarkStart w:id="393" w:name="_Toc249525250"/>
      <w:bookmarkStart w:id="394" w:name="_Toc50753036"/>
      <w:bookmarkStart w:id="395" w:name="_Toc503063458"/>
      <w:bookmarkStart w:id="396" w:name="_Toc500747010"/>
      <w:bookmarkStart w:id="397" w:name="_Toc249515369"/>
      <w:bookmarkStart w:id="398" w:name="_Toc230013638"/>
      <w:bookmarkStart w:id="399" w:name="_Toc177995483"/>
      <w:bookmarkStart w:id="400" w:name="_Toc70687202"/>
      <w:bookmarkStart w:id="401" w:name="_Toc232176282"/>
      <w:bookmarkStart w:id="402" w:name="_Toc499711087"/>
      <w:bookmarkStart w:id="403" w:name="_Toc232395222"/>
      <w:bookmarkStart w:id="404" w:name="_Toc230099803"/>
      <w:bookmarkStart w:id="405" w:name="_Toc256342152"/>
      <w:bookmarkStart w:id="406" w:name="_Toc492955459"/>
      <w:bookmarkStart w:id="407" w:name="_Toc56534799"/>
      <w:bookmarkStart w:id="408" w:name="_Toc176882552"/>
      <w:bookmarkStart w:id="409" w:name="_Toc496324623"/>
      <w:bookmarkStart w:id="410" w:name="_Toc177817344"/>
      <w:bookmarkStart w:id="411" w:name="_Toc500747233"/>
      <w:bookmarkStart w:id="412" w:name="_Toc500747106"/>
      <w:bookmarkStart w:id="413" w:name="_Toc184043058"/>
      <w:bookmarkStart w:id="414" w:name="_Toc249515482"/>
      <w:bookmarkStart w:id="415" w:name="_Toc499711928"/>
      <w:bookmarkStart w:id="416" w:name="_Toc230583552"/>
      <w:bookmarkStart w:id="417" w:name="_Toc177189245"/>
      <w:r>
        <w:rPr>
          <w:rFonts w:hint="eastAsia" w:ascii="宋体" w:cs="宋体"/>
          <w:b/>
          <w:bCs/>
          <w:color w:val="auto"/>
          <w:kern w:val="0"/>
          <w:sz w:val="30"/>
          <w:szCs w:val="30"/>
          <w:highlight w:val="none"/>
        </w:rPr>
        <w:t>第三部分 合同主要条款及格式</w:t>
      </w:r>
      <w:bookmarkEnd w:id="389"/>
      <w:bookmarkEnd w:id="390"/>
    </w:p>
    <w:p w14:paraId="42000B99">
      <w:pPr>
        <w:spacing w:line="360" w:lineRule="exact"/>
        <w:jc w:val="center"/>
        <w:rPr>
          <w:rFonts w:ascii="宋体"/>
          <w:color w:val="auto"/>
          <w:sz w:val="24"/>
          <w:highlight w:val="none"/>
        </w:rPr>
      </w:pPr>
      <w:r>
        <w:rPr>
          <w:rFonts w:hint="eastAsia" w:ascii="宋体"/>
          <w:color w:val="auto"/>
          <w:sz w:val="24"/>
          <w:highlight w:val="none"/>
        </w:rPr>
        <w:t xml:space="preserve">                                                    编号：</w:t>
      </w:r>
      <w:r>
        <w:rPr>
          <w:rFonts w:hint="eastAsia" w:ascii="宋体"/>
          <w:color w:val="auto"/>
          <w:sz w:val="24"/>
          <w:highlight w:val="none"/>
          <w:u w:val="single"/>
        </w:rPr>
        <w:t xml:space="preserve"> </w:t>
      </w:r>
      <w:r>
        <w:rPr>
          <w:rFonts w:ascii="宋体"/>
          <w:color w:val="auto"/>
          <w:sz w:val="24"/>
          <w:highlight w:val="none"/>
          <w:u w:val="single"/>
        </w:rPr>
        <w:t xml:space="preserve">     </w:t>
      </w:r>
      <w:r>
        <w:rPr>
          <w:rFonts w:hint="eastAsia" w:ascii="宋体"/>
          <w:color w:val="auto"/>
          <w:sz w:val="24"/>
          <w:highlight w:val="none"/>
          <w:u w:val="single"/>
        </w:rPr>
        <w:t xml:space="preserve">    </w:t>
      </w:r>
    </w:p>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14:paraId="25E22945">
      <w:pPr>
        <w:spacing w:line="360" w:lineRule="auto"/>
        <w:jc w:val="center"/>
        <w:rPr>
          <w:rFonts w:hint="eastAsia" w:ascii="宋体" w:hAnsi="宋体" w:eastAsia="宋体" w:cs="宋体"/>
          <w:b/>
          <w:color w:val="auto"/>
          <w:sz w:val="52"/>
          <w:szCs w:val="52"/>
          <w:highlight w:val="none"/>
          <w:lang w:eastAsia="zh-CN"/>
        </w:rPr>
      </w:pPr>
      <w:bookmarkStart w:id="418" w:name="_Toc101545313"/>
      <w:bookmarkStart w:id="419" w:name="_Toc70064615"/>
      <w:bookmarkStart w:id="420" w:name="_Toc56534807"/>
      <w:bookmarkStart w:id="421" w:name="EB5d66604eb87a47a4905597ef53b5bce8"/>
      <w:bookmarkStart w:id="422" w:name="_Toc46196324"/>
    </w:p>
    <w:p w14:paraId="3487D84E">
      <w:pPr>
        <w:spacing w:line="360" w:lineRule="auto"/>
        <w:jc w:val="center"/>
        <w:rPr>
          <w:rFonts w:hint="eastAsia" w:ascii="宋体" w:hAnsi="宋体" w:eastAsia="宋体" w:cs="宋体"/>
          <w:color w:val="auto"/>
          <w:sz w:val="52"/>
          <w:szCs w:val="52"/>
          <w:highlight w:val="none"/>
        </w:rPr>
      </w:pPr>
      <w:r>
        <w:rPr>
          <w:rFonts w:hint="eastAsia" w:ascii="宋体" w:hAnsi="宋体" w:eastAsia="宋体" w:cs="宋体"/>
          <w:b/>
          <w:color w:val="auto"/>
          <w:sz w:val="52"/>
          <w:szCs w:val="52"/>
          <w:highlight w:val="none"/>
          <w:lang w:eastAsia="zh-CN"/>
        </w:rPr>
        <w:t>阳江海关2026</w:t>
      </w:r>
      <w:r>
        <w:rPr>
          <w:rFonts w:hint="eastAsia" w:ascii="宋体" w:hAnsi="宋体" w:eastAsia="宋体" w:cs="宋体"/>
          <w:b/>
          <w:color w:val="auto"/>
          <w:sz w:val="52"/>
          <w:szCs w:val="52"/>
          <w:highlight w:val="none"/>
          <w:lang w:val="en-US" w:eastAsia="zh-CN"/>
        </w:rPr>
        <w:t>-</w:t>
      </w:r>
      <w:r>
        <w:rPr>
          <w:rFonts w:hint="eastAsia" w:ascii="宋体" w:hAnsi="宋体" w:eastAsia="宋体" w:cs="宋体"/>
          <w:b/>
          <w:color w:val="auto"/>
          <w:sz w:val="52"/>
          <w:szCs w:val="52"/>
          <w:highlight w:val="none"/>
          <w:lang w:eastAsia="zh-CN"/>
        </w:rPr>
        <w:t>2027年度食堂食材配送服务采购项目</w:t>
      </w:r>
    </w:p>
    <w:p w14:paraId="643B3AA6">
      <w:pPr>
        <w:spacing w:line="360" w:lineRule="auto"/>
        <w:jc w:val="center"/>
        <w:rPr>
          <w:rFonts w:hint="eastAsia" w:ascii="宋体" w:hAnsi="宋体" w:eastAsia="宋体" w:cs="宋体"/>
          <w:b/>
          <w:color w:val="auto"/>
          <w:sz w:val="52"/>
          <w:szCs w:val="52"/>
          <w:highlight w:val="none"/>
        </w:rPr>
      </w:pPr>
    </w:p>
    <w:p w14:paraId="1D52B1D2">
      <w:pPr>
        <w:spacing w:line="360" w:lineRule="auto"/>
        <w:jc w:val="center"/>
        <w:rPr>
          <w:rFonts w:hint="eastAsia" w:ascii="宋体" w:hAnsi="宋体" w:eastAsia="宋体" w:cs="宋体"/>
          <w:b/>
          <w:color w:val="auto"/>
          <w:sz w:val="52"/>
          <w:szCs w:val="52"/>
          <w:highlight w:val="none"/>
        </w:rPr>
      </w:pPr>
    </w:p>
    <w:p w14:paraId="6F05515F">
      <w:pPr>
        <w:spacing w:line="360" w:lineRule="auto"/>
        <w:jc w:val="center"/>
        <w:rPr>
          <w:rFonts w:hint="eastAsia" w:ascii="宋体" w:hAnsi="宋体" w:eastAsia="宋体" w:cs="宋体"/>
          <w:color w:val="auto"/>
          <w:sz w:val="52"/>
          <w:szCs w:val="52"/>
          <w:highlight w:val="none"/>
        </w:rPr>
      </w:pPr>
      <w:r>
        <w:rPr>
          <w:rFonts w:hint="eastAsia" w:ascii="宋体" w:hAnsi="宋体" w:eastAsia="宋体" w:cs="宋体"/>
          <w:b/>
          <w:color w:val="auto"/>
          <w:sz w:val="52"/>
          <w:szCs w:val="52"/>
          <w:highlight w:val="none"/>
        </w:rPr>
        <w:t>合</w:t>
      </w:r>
      <w:r>
        <w:rPr>
          <w:rFonts w:hint="eastAsia" w:ascii="宋体" w:hAnsi="宋体" w:eastAsia="宋体" w:cs="宋体"/>
          <w:b/>
          <w:color w:val="auto"/>
          <w:sz w:val="52"/>
          <w:szCs w:val="52"/>
          <w:highlight w:val="none"/>
          <w:lang w:val="en-US" w:eastAsia="zh-CN"/>
        </w:rPr>
        <w:t xml:space="preserve">  </w:t>
      </w:r>
      <w:r>
        <w:rPr>
          <w:rFonts w:hint="eastAsia" w:ascii="宋体" w:hAnsi="宋体" w:eastAsia="宋体" w:cs="宋体"/>
          <w:b/>
          <w:color w:val="auto"/>
          <w:sz w:val="52"/>
          <w:szCs w:val="52"/>
          <w:highlight w:val="none"/>
        </w:rPr>
        <w:t>同</w:t>
      </w:r>
      <w:r>
        <w:rPr>
          <w:rFonts w:hint="eastAsia" w:ascii="宋体" w:hAnsi="宋体" w:eastAsia="宋体" w:cs="宋体"/>
          <w:b/>
          <w:color w:val="auto"/>
          <w:sz w:val="52"/>
          <w:szCs w:val="52"/>
          <w:highlight w:val="none"/>
          <w:lang w:val="en-US" w:eastAsia="zh-CN"/>
        </w:rPr>
        <w:t xml:space="preserve">  </w:t>
      </w:r>
      <w:r>
        <w:rPr>
          <w:rFonts w:hint="eastAsia" w:ascii="宋体" w:hAnsi="宋体" w:eastAsia="宋体" w:cs="宋体"/>
          <w:b/>
          <w:color w:val="auto"/>
          <w:sz w:val="52"/>
          <w:szCs w:val="52"/>
          <w:highlight w:val="none"/>
        </w:rPr>
        <w:t>书</w:t>
      </w:r>
    </w:p>
    <w:p w14:paraId="71C1C2BE">
      <w:pPr>
        <w:shd w:val="clear" w:color="auto"/>
        <w:spacing w:line="360" w:lineRule="auto"/>
        <w:jc w:val="center"/>
        <w:rPr>
          <w:rFonts w:hint="eastAsia" w:ascii="宋体" w:hAnsi="宋体" w:eastAsia="宋体" w:cs="宋体"/>
          <w:color w:val="auto"/>
          <w:sz w:val="21"/>
          <w:szCs w:val="21"/>
          <w:highlight w:val="none"/>
        </w:rPr>
      </w:pPr>
    </w:p>
    <w:p w14:paraId="7A575655">
      <w:pPr>
        <w:shd w:val="clear" w:color="auto"/>
        <w:spacing w:line="360" w:lineRule="auto"/>
        <w:jc w:val="center"/>
        <w:rPr>
          <w:rFonts w:hint="eastAsia" w:ascii="宋体" w:hAnsi="宋体" w:eastAsia="宋体" w:cs="宋体"/>
          <w:color w:val="auto"/>
          <w:sz w:val="21"/>
          <w:szCs w:val="21"/>
          <w:highlight w:val="none"/>
        </w:rPr>
      </w:pPr>
    </w:p>
    <w:p w14:paraId="608A1743">
      <w:pPr>
        <w:shd w:val="clear" w:color="auto"/>
        <w:spacing w:line="360" w:lineRule="auto"/>
        <w:jc w:val="center"/>
        <w:rPr>
          <w:rFonts w:hint="eastAsia" w:ascii="宋体" w:hAnsi="宋体" w:eastAsia="宋体" w:cs="宋体"/>
          <w:color w:val="auto"/>
          <w:sz w:val="21"/>
          <w:szCs w:val="21"/>
          <w:highlight w:val="none"/>
        </w:rPr>
      </w:pPr>
    </w:p>
    <w:p w14:paraId="6F44784B">
      <w:pPr>
        <w:shd w:val="clear" w:color="auto"/>
        <w:spacing w:line="360" w:lineRule="auto"/>
        <w:jc w:val="center"/>
        <w:rPr>
          <w:rFonts w:hint="eastAsia" w:ascii="宋体" w:hAnsi="宋体" w:eastAsia="宋体" w:cs="宋体"/>
          <w:color w:val="auto"/>
          <w:sz w:val="21"/>
          <w:szCs w:val="21"/>
          <w:highlight w:val="none"/>
        </w:rPr>
      </w:pPr>
    </w:p>
    <w:p w14:paraId="4A0B4679">
      <w:pPr>
        <w:shd w:val="clear" w:color="auto"/>
        <w:spacing w:line="360" w:lineRule="auto"/>
        <w:jc w:val="center"/>
        <w:rPr>
          <w:rFonts w:hint="eastAsia" w:ascii="宋体" w:hAnsi="宋体" w:eastAsia="宋体" w:cs="宋体"/>
          <w:color w:val="auto"/>
          <w:sz w:val="21"/>
          <w:szCs w:val="21"/>
          <w:highlight w:val="none"/>
        </w:rPr>
      </w:pPr>
    </w:p>
    <w:p w14:paraId="17D87157">
      <w:pPr>
        <w:shd w:val="clear" w:color="auto"/>
        <w:spacing w:line="360" w:lineRule="auto"/>
        <w:jc w:val="center"/>
        <w:rPr>
          <w:rFonts w:hint="eastAsia" w:ascii="宋体" w:hAnsi="宋体" w:eastAsia="宋体" w:cs="宋体"/>
          <w:color w:val="auto"/>
          <w:sz w:val="21"/>
          <w:szCs w:val="21"/>
          <w:highlight w:val="none"/>
        </w:rPr>
      </w:pPr>
    </w:p>
    <w:p w14:paraId="3BF3A577">
      <w:pPr>
        <w:shd w:val="clear" w:color="auto"/>
        <w:spacing w:line="360" w:lineRule="auto"/>
        <w:jc w:val="center"/>
        <w:rPr>
          <w:rFonts w:hint="eastAsia" w:ascii="宋体" w:hAnsi="宋体" w:eastAsia="宋体" w:cs="宋体"/>
          <w:color w:val="auto"/>
          <w:sz w:val="24"/>
          <w:szCs w:val="24"/>
          <w:highlight w:val="none"/>
        </w:rPr>
      </w:pPr>
    </w:p>
    <w:p w14:paraId="03ACE17B">
      <w:pPr>
        <w:jc w:val="center"/>
        <w:rPr>
          <w:rFonts w:hint="eastAsia" w:ascii="宋体" w:hAnsi="宋体" w:eastAsia="宋体" w:cs="宋体"/>
          <w:color w:val="auto"/>
          <w:sz w:val="21"/>
          <w:szCs w:val="21"/>
          <w:highlight w:val="none"/>
        </w:rPr>
      </w:pPr>
    </w:p>
    <w:p w14:paraId="26BF2E3E">
      <w:pPr>
        <w:jc w:val="center"/>
        <w:rPr>
          <w:rFonts w:hint="eastAsia" w:ascii="宋体" w:hAnsi="宋体" w:eastAsia="宋体" w:cs="宋体"/>
          <w:color w:val="auto"/>
          <w:sz w:val="21"/>
          <w:szCs w:val="21"/>
          <w:highlight w:val="none"/>
        </w:rPr>
      </w:pPr>
    </w:p>
    <w:p w14:paraId="7A36B2C5">
      <w:pPr>
        <w:jc w:val="center"/>
        <w:rPr>
          <w:rFonts w:hint="eastAsia" w:ascii="宋体" w:hAnsi="宋体" w:eastAsia="宋体" w:cs="宋体"/>
          <w:color w:val="auto"/>
          <w:sz w:val="21"/>
          <w:szCs w:val="21"/>
          <w:highlight w:val="none"/>
        </w:rPr>
      </w:pPr>
    </w:p>
    <w:p w14:paraId="18595161">
      <w:pPr>
        <w:jc w:val="center"/>
        <w:rPr>
          <w:rFonts w:hint="eastAsia" w:ascii="宋体" w:hAnsi="宋体" w:eastAsia="宋体" w:cs="宋体"/>
          <w:color w:val="auto"/>
          <w:sz w:val="21"/>
          <w:szCs w:val="21"/>
          <w:highlight w:val="none"/>
        </w:rPr>
      </w:pPr>
    </w:p>
    <w:p w14:paraId="5868340D">
      <w:pPr>
        <w:jc w:val="center"/>
        <w:rPr>
          <w:rFonts w:hint="eastAsia" w:ascii="宋体" w:hAnsi="宋体" w:eastAsia="宋体" w:cs="宋体"/>
          <w:color w:val="auto"/>
          <w:sz w:val="21"/>
          <w:szCs w:val="21"/>
          <w:highlight w:val="none"/>
        </w:rPr>
      </w:pPr>
    </w:p>
    <w:p w14:paraId="6A5574AB">
      <w:pPr>
        <w:jc w:val="both"/>
        <w:rPr>
          <w:rFonts w:hint="eastAsia" w:ascii="宋体" w:hAnsi="宋体" w:eastAsia="宋体" w:cs="宋体"/>
          <w:b/>
          <w:color w:val="auto"/>
          <w:sz w:val="21"/>
          <w:szCs w:val="21"/>
          <w:highlight w:val="none"/>
        </w:rPr>
        <w:sectPr>
          <w:headerReference r:id="rId4" w:type="default"/>
          <w:footerReference r:id="rId5" w:type="default"/>
          <w:pgSz w:w="11905" w:h="16838"/>
          <w:pgMar w:top="1440" w:right="1462" w:bottom="1440" w:left="1403" w:header="850" w:footer="992" w:gutter="0"/>
          <w:pgBorders>
            <w:top w:val="none" w:sz="0" w:space="0"/>
            <w:left w:val="none" w:sz="0" w:space="0"/>
            <w:bottom w:val="none" w:sz="0" w:space="0"/>
            <w:right w:val="none" w:sz="0" w:space="0"/>
          </w:pgBorders>
          <w:cols w:space="0" w:num="1"/>
          <w:rtlGutter w:val="0"/>
          <w:docGrid w:type="lines" w:linePitch="332" w:charSpace="0"/>
        </w:sectPr>
      </w:pPr>
    </w:p>
    <w:p w14:paraId="30BB0CDA">
      <w:pPr>
        <w:shd w:val="clear"/>
        <w:spacing w:line="360" w:lineRule="auto"/>
        <w:jc w:val="left"/>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b/>
          <w:color w:val="auto"/>
          <w:sz w:val="24"/>
          <w:szCs w:val="24"/>
          <w:highlight w:val="none"/>
          <w:shd w:val="clear" w:color="auto" w:fill="auto"/>
          <w:lang w:eastAsia="zh-CN"/>
        </w:rPr>
        <w:t>甲</w:t>
      </w:r>
      <w:r>
        <w:rPr>
          <w:rFonts w:hint="eastAsia" w:ascii="宋体" w:hAnsi="宋体" w:eastAsia="宋体" w:cs="宋体"/>
          <w:b/>
          <w:color w:val="auto"/>
          <w:sz w:val="24"/>
          <w:szCs w:val="24"/>
          <w:highlight w:val="none"/>
          <w:shd w:val="clear" w:color="auto" w:fill="auto"/>
          <w:lang w:val="en-US" w:eastAsia="zh-CN"/>
        </w:rPr>
        <w:t xml:space="preserve"> </w:t>
      </w:r>
      <w:r>
        <w:rPr>
          <w:rFonts w:hint="eastAsia" w:ascii="宋体" w:hAnsi="宋体" w:eastAsia="宋体" w:cs="宋体"/>
          <w:b/>
          <w:color w:val="auto"/>
          <w:sz w:val="24"/>
          <w:szCs w:val="24"/>
          <w:highlight w:val="none"/>
          <w:shd w:val="clear" w:color="auto" w:fill="auto"/>
          <w:lang w:eastAsia="zh-CN"/>
        </w:rPr>
        <w:t>方</w:t>
      </w:r>
      <w:r>
        <w:rPr>
          <w:rFonts w:hint="eastAsia" w:ascii="宋体" w:hAnsi="宋体" w:eastAsia="宋体" w:cs="宋体"/>
          <w:b/>
          <w:color w:val="auto"/>
          <w:sz w:val="24"/>
          <w:szCs w:val="24"/>
          <w:highlight w:val="none"/>
          <w:shd w:val="clear" w:color="auto" w:fill="auto"/>
        </w:rPr>
        <w:t>：</w:t>
      </w:r>
      <w:r>
        <w:rPr>
          <w:rFonts w:hint="eastAsia" w:ascii="宋体" w:hAnsi="宋体" w:eastAsia="宋体" w:cs="宋体"/>
          <w:color w:val="auto"/>
          <w:sz w:val="24"/>
          <w:szCs w:val="24"/>
          <w:highlight w:val="none"/>
          <w:u w:val="single"/>
          <w:shd w:val="clear" w:color="auto" w:fill="auto"/>
          <w:lang w:val="en-US" w:eastAsia="zh-CN"/>
        </w:rPr>
        <w:t xml:space="preserve">                             </w:t>
      </w:r>
    </w:p>
    <w:p w14:paraId="04E1CE64">
      <w:pPr>
        <w:shd w:val="clear"/>
        <w:spacing w:line="360" w:lineRule="auto"/>
        <w:jc w:val="left"/>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b/>
          <w:color w:val="auto"/>
          <w:sz w:val="24"/>
          <w:szCs w:val="24"/>
          <w:highlight w:val="none"/>
          <w:shd w:val="clear" w:color="auto" w:fill="auto"/>
          <w:lang w:eastAsia="zh-CN"/>
        </w:rPr>
        <w:t>乙</w:t>
      </w:r>
      <w:r>
        <w:rPr>
          <w:rFonts w:hint="eastAsia" w:ascii="宋体" w:hAnsi="宋体" w:eastAsia="宋体" w:cs="宋体"/>
          <w:b/>
          <w:color w:val="auto"/>
          <w:sz w:val="24"/>
          <w:szCs w:val="24"/>
          <w:highlight w:val="none"/>
          <w:shd w:val="clear" w:color="auto" w:fill="auto"/>
          <w:lang w:val="en-US" w:eastAsia="zh-CN"/>
        </w:rPr>
        <w:t xml:space="preserve"> </w:t>
      </w:r>
      <w:r>
        <w:rPr>
          <w:rFonts w:hint="eastAsia" w:ascii="宋体" w:hAnsi="宋体" w:eastAsia="宋体" w:cs="宋体"/>
          <w:b/>
          <w:color w:val="auto"/>
          <w:sz w:val="24"/>
          <w:szCs w:val="24"/>
          <w:highlight w:val="none"/>
          <w:shd w:val="clear" w:color="auto" w:fill="auto"/>
          <w:lang w:eastAsia="zh-CN"/>
        </w:rPr>
        <w:t>方</w:t>
      </w:r>
      <w:r>
        <w:rPr>
          <w:rFonts w:hint="eastAsia" w:ascii="宋体" w:hAnsi="宋体" w:eastAsia="宋体" w:cs="宋体"/>
          <w:b/>
          <w:color w:val="auto"/>
          <w:sz w:val="24"/>
          <w:szCs w:val="24"/>
          <w:highlight w:val="none"/>
          <w:shd w:val="clear" w:color="auto" w:fill="auto"/>
        </w:rPr>
        <w:t>：</w:t>
      </w:r>
      <w:r>
        <w:rPr>
          <w:rFonts w:hint="eastAsia" w:ascii="宋体" w:hAnsi="宋体" w:eastAsia="宋体" w:cs="宋体"/>
          <w:color w:val="auto"/>
          <w:sz w:val="24"/>
          <w:szCs w:val="24"/>
          <w:highlight w:val="none"/>
          <w:u w:val="single"/>
          <w:shd w:val="clear" w:color="auto" w:fill="auto"/>
          <w:lang w:val="en-US" w:eastAsia="zh-CN"/>
        </w:rPr>
        <w:t xml:space="preserve">                             </w:t>
      </w:r>
    </w:p>
    <w:p w14:paraId="4CCBF500">
      <w:pPr>
        <w:shd w:val="clear"/>
        <w:spacing w:line="360" w:lineRule="auto"/>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w:t>
      </w:r>
    </w:p>
    <w:p w14:paraId="50320B3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参照《中华人民共和国政府采购法》、根据《中华人民共和国民法典》等相关法律法规及</w:t>
      </w:r>
      <w:r>
        <w:rPr>
          <w:rFonts w:hint="eastAsia" w:ascii="宋体" w:hAnsi="宋体" w:eastAsia="宋体" w:cs="宋体"/>
          <w:color w:val="auto"/>
          <w:sz w:val="24"/>
          <w:szCs w:val="24"/>
          <w:highlight w:val="none"/>
          <w:u w:val="single"/>
          <w:shd w:val="clear" w:color="auto" w:fill="auto"/>
          <w:lang w:val="en-US" w:eastAsia="zh-CN"/>
        </w:rPr>
        <w:t xml:space="preserve"> 阳江海关2026-2027年度食堂食材配送服务采购项目 </w:t>
      </w:r>
      <w:r>
        <w:rPr>
          <w:rFonts w:hint="eastAsia" w:ascii="宋体" w:hAnsi="宋体" w:eastAsia="宋体" w:cs="宋体"/>
          <w:color w:val="auto"/>
          <w:sz w:val="24"/>
          <w:szCs w:val="24"/>
          <w:highlight w:val="none"/>
          <w:shd w:val="clear" w:color="auto" w:fill="auto"/>
          <w:lang w:val="en-US" w:eastAsia="zh-CN"/>
        </w:rPr>
        <w:t>磋商</w:t>
      </w:r>
      <w:r>
        <w:rPr>
          <w:rFonts w:hint="eastAsia" w:ascii="宋体" w:hAnsi="宋体" w:eastAsia="宋体" w:cs="宋体"/>
          <w:color w:val="auto"/>
          <w:sz w:val="24"/>
          <w:szCs w:val="24"/>
          <w:highlight w:val="none"/>
          <w:shd w:val="clear" w:color="auto" w:fill="auto"/>
        </w:rPr>
        <w:t>文件（项目编号：</w:t>
      </w:r>
      <w:r>
        <w:rPr>
          <w:rFonts w:hint="eastAsia" w:ascii="宋体" w:hAnsi="宋体" w:eastAsia="宋体" w:cs="宋体"/>
          <w:color w:val="auto"/>
          <w:sz w:val="24"/>
          <w:szCs w:val="24"/>
          <w:highlight w:val="none"/>
          <w:u w:val="single"/>
          <w:shd w:val="clear" w:color="auto" w:fill="auto"/>
        </w:rPr>
        <w:t xml:space="preserve"> </w:t>
      </w:r>
      <w:r>
        <w:rPr>
          <w:rFonts w:hint="eastAsia" w:ascii="宋体" w:hAnsi="宋体" w:eastAsia="宋体" w:cs="宋体"/>
          <w:color w:val="auto"/>
          <w:sz w:val="24"/>
          <w:szCs w:val="24"/>
          <w:highlight w:val="none"/>
          <w:u w:val="single"/>
          <w:shd w:val="clear" w:color="auto" w:fill="auto"/>
          <w:lang w:eastAsia="zh-CN"/>
        </w:rPr>
        <w:t>YXCG-20260717</w:t>
      </w:r>
      <w:r>
        <w:rPr>
          <w:rFonts w:hint="eastAsia" w:ascii="宋体" w:hAnsi="宋体" w:eastAsia="宋体" w:cs="宋体"/>
          <w:color w:val="auto"/>
          <w:sz w:val="24"/>
          <w:szCs w:val="24"/>
          <w:highlight w:val="none"/>
          <w:u w:val="single"/>
          <w:shd w:val="clear" w:color="auto" w:fill="auto"/>
          <w:lang w:val="en-US" w:eastAsia="zh-CN"/>
        </w:rPr>
        <w:t xml:space="preserve"> </w:t>
      </w:r>
      <w:r>
        <w:rPr>
          <w:rFonts w:hint="eastAsia" w:ascii="宋体" w:hAnsi="宋体" w:eastAsia="宋体" w:cs="宋体"/>
          <w:color w:val="auto"/>
          <w:sz w:val="24"/>
          <w:szCs w:val="24"/>
          <w:highlight w:val="none"/>
          <w:shd w:val="clear" w:color="auto" w:fill="auto"/>
        </w:rPr>
        <w:t>）的要求，经双方协商，本着平等互利和诚实信用的原则，一致同意签订本合同。</w:t>
      </w:r>
    </w:p>
    <w:p w14:paraId="39948E65">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一、合同金额</w:t>
      </w:r>
    </w:p>
    <w:p w14:paraId="28240E8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合同金额：</w:t>
      </w:r>
      <w:r>
        <w:rPr>
          <w:rFonts w:hint="eastAsia" w:ascii="宋体" w:hAnsi="宋体" w:eastAsia="宋体" w:cs="宋体"/>
          <w:color w:val="auto"/>
          <w:sz w:val="24"/>
          <w:szCs w:val="24"/>
          <w:highlight w:val="none"/>
          <w:shd w:val="clear" w:color="auto" w:fill="auto"/>
          <w:lang w:val="en-US" w:eastAsia="zh-CN"/>
        </w:rPr>
        <w:t>¥</w:t>
      </w:r>
      <w:r>
        <w:rPr>
          <w:rFonts w:hint="eastAsia" w:ascii="宋体" w:hAnsi="宋体" w:eastAsia="宋体" w:cs="宋体"/>
          <w:color w:val="auto"/>
          <w:sz w:val="24"/>
          <w:szCs w:val="24"/>
          <w:highlight w:val="none"/>
          <w:u w:val="single"/>
          <w:shd w:val="clear" w:color="auto" w:fill="auto"/>
          <w:lang w:val="en-US" w:eastAsia="zh-CN"/>
        </w:rPr>
        <w:t xml:space="preserve">      </w:t>
      </w:r>
      <w:r>
        <w:rPr>
          <w:rFonts w:hint="eastAsia" w:ascii="宋体" w:hAnsi="宋体" w:eastAsia="宋体" w:cs="宋体"/>
          <w:color w:val="auto"/>
          <w:sz w:val="24"/>
          <w:szCs w:val="24"/>
          <w:highlight w:val="none"/>
          <w:shd w:val="clear" w:color="auto" w:fill="auto"/>
        </w:rPr>
        <w:t>元（大写：</w:t>
      </w:r>
      <w:r>
        <w:rPr>
          <w:rFonts w:hint="eastAsia" w:ascii="宋体" w:hAnsi="宋体" w:eastAsia="宋体" w:cs="宋体"/>
          <w:color w:val="auto"/>
          <w:sz w:val="24"/>
          <w:szCs w:val="24"/>
          <w:highlight w:val="none"/>
          <w:u w:val="single"/>
          <w:shd w:val="clear" w:color="auto" w:fill="auto"/>
        </w:rPr>
        <w:t xml:space="preserve"> </w:t>
      </w:r>
      <w:r>
        <w:rPr>
          <w:rFonts w:hint="eastAsia" w:ascii="宋体" w:hAnsi="宋体" w:eastAsia="宋体" w:cs="宋体"/>
          <w:color w:val="auto"/>
          <w:sz w:val="24"/>
          <w:szCs w:val="24"/>
          <w:highlight w:val="none"/>
          <w:u w:val="single"/>
          <w:shd w:val="clear" w:color="auto" w:fill="auto"/>
          <w:lang w:val="en-US" w:eastAsia="zh-CN"/>
        </w:rPr>
        <w:t xml:space="preserve">     </w:t>
      </w:r>
      <w:r>
        <w:rPr>
          <w:rFonts w:hint="eastAsia" w:ascii="宋体" w:hAnsi="宋体" w:eastAsia="宋体" w:cs="宋体"/>
          <w:color w:val="auto"/>
          <w:sz w:val="24"/>
          <w:szCs w:val="24"/>
          <w:highlight w:val="none"/>
          <w:shd w:val="clear" w:color="auto" w:fill="auto"/>
          <w:lang w:val="en-US" w:eastAsia="zh-CN"/>
        </w:rPr>
        <w:t xml:space="preserve"> </w:t>
      </w:r>
      <w:r>
        <w:rPr>
          <w:rFonts w:hint="eastAsia" w:ascii="宋体" w:hAnsi="宋体" w:eastAsia="宋体" w:cs="宋体"/>
          <w:color w:val="auto"/>
          <w:sz w:val="24"/>
          <w:szCs w:val="24"/>
          <w:highlight w:val="none"/>
          <w:shd w:val="clear" w:color="auto" w:fill="auto"/>
        </w:rPr>
        <w:t>）</w:t>
      </w:r>
    </w:p>
    <w:p w14:paraId="59D20131">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成交</w:t>
      </w:r>
      <w:r>
        <w:rPr>
          <w:rFonts w:hint="eastAsia" w:ascii="宋体" w:hAnsi="宋体" w:eastAsia="宋体" w:cs="宋体"/>
          <w:color w:val="auto"/>
          <w:sz w:val="24"/>
          <w:szCs w:val="24"/>
          <w:highlight w:val="none"/>
          <w:shd w:val="clear" w:color="auto" w:fill="auto"/>
        </w:rPr>
        <w:t>折扣率：</w:t>
      </w:r>
      <w:r>
        <w:rPr>
          <w:rFonts w:hint="eastAsia" w:ascii="宋体" w:hAnsi="宋体" w:eastAsia="宋体" w:cs="宋体"/>
          <w:color w:val="auto"/>
          <w:sz w:val="24"/>
          <w:szCs w:val="24"/>
          <w:highlight w:val="none"/>
          <w:u w:val="single"/>
          <w:shd w:val="clear" w:color="auto" w:fill="auto"/>
        </w:rPr>
        <w:t xml:space="preserve"> </w:t>
      </w:r>
      <w:r>
        <w:rPr>
          <w:rFonts w:hint="eastAsia" w:ascii="宋体" w:hAnsi="宋体" w:eastAsia="宋体" w:cs="宋体"/>
          <w:color w:val="auto"/>
          <w:sz w:val="24"/>
          <w:szCs w:val="24"/>
          <w:highlight w:val="none"/>
          <w:u w:val="single"/>
          <w:shd w:val="clear" w:color="auto" w:fill="auto"/>
          <w:lang w:val="en-US" w:eastAsia="zh-CN"/>
        </w:rPr>
        <w:t xml:space="preserve">     </w:t>
      </w:r>
    </w:p>
    <w:p w14:paraId="33D1333C">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二、服务范围</w:t>
      </w:r>
      <w:r>
        <w:rPr>
          <w:rFonts w:hint="eastAsia" w:ascii="宋体" w:hAnsi="宋体" w:eastAsia="宋体" w:cs="宋体"/>
          <w:b/>
          <w:color w:val="auto"/>
          <w:sz w:val="24"/>
          <w:szCs w:val="24"/>
          <w:highlight w:val="none"/>
          <w:shd w:val="clear" w:color="auto" w:fill="auto"/>
          <w:lang w:eastAsia="zh-CN"/>
        </w:rPr>
        <w:t>：</w:t>
      </w:r>
      <w:r>
        <w:rPr>
          <w:rFonts w:hint="eastAsia" w:ascii="宋体" w:hAnsi="宋体" w:eastAsia="宋体" w:cs="宋体"/>
          <w:b/>
          <w:color w:val="auto"/>
          <w:sz w:val="24"/>
          <w:szCs w:val="24"/>
          <w:highlight w:val="none"/>
          <w:u w:val="single"/>
          <w:shd w:val="clear" w:color="auto" w:fill="auto"/>
          <w:lang w:val="en-US" w:eastAsia="zh-CN"/>
        </w:rPr>
        <w:t xml:space="preserve"> 2026-2027 </w:t>
      </w:r>
      <w:r>
        <w:rPr>
          <w:rFonts w:hint="eastAsia" w:ascii="宋体" w:hAnsi="宋体" w:eastAsia="宋体" w:cs="宋体"/>
          <w:color w:val="auto"/>
          <w:sz w:val="24"/>
          <w:szCs w:val="24"/>
          <w:highlight w:val="none"/>
          <w:shd w:val="clear" w:color="auto" w:fill="auto"/>
        </w:rPr>
        <w:t>年度食堂食材</w:t>
      </w:r>
      <w:r>
        <w:rPr>
          <w:rFonts w:hint="eastAsia" w:ascii="宋体" w:hAnsi="宋体" w:cs="宋体"/>
          <w:color w:val="auto"/>
          <w:sz w:val="24"/>
          <w:szCs w:val="24"/>
          <w:highlight w:val="none"/>
          <w:shd w:val="clear" w:color="auto" w:fill="auto"/>
          <w:lang w:val="en-US" w:eastAsia="zh-CN"/>
        </w:rPr>
        <w:t>配送</w:t>
      </w:r>
    </w:p>
    <w:p w14:paraId="21705ED3">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三、服务期限及服务地点</w:t>
      </w:r>
    </w:p>
    <w:p w14:paraId="2AC2BBD5">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rPr>
        <w:t>1.服务期限：</w:t>
      </w:r>
      <w:r>
        <w:rPr>
          <w:rFonts w:hint="eastAsia" w:ascii="宋体" w:hAnsi="宋体" w:eastAsia="宋体" w:cs="宋体"/>
          <w:b w:val="0"/>
          <w:bCs/>
          <w:color w:val="auto"/>
          <w:sz w:val="24"/>
          <w:szCs w:val="24"/>
          <w:highlight w:val="none"/>
          <w:u w:val="single"/>
          <w:shd w:val="clear" w:color="auto" w:fill="auto"/>
          <w:lang w:val="en-US" w:eastAsia="zh-CN"/>
        </w:rPr>
        <w:t xml:space="preserve">    </w:t>
      </w:r>
      <w:r>
        <w:rPr>
          <w:rFonts w:hint="eastAsia" w:ascii="宋体" w:hAnsi="宋体" w:eastAsia="宋体" w:cs="宋体"/>
          <w:b w:val="0"/>
          <w:bCs/>
          <w:color w:val="auto"/>
          <w:sz w:val="24"/>
          <w:szCs w:val="24"/>
          <w:highlight w:val="none"/>
          <w:shd w:val="clear" w:color="auto" w:fill="auto"/>
        </w:rPr>
        <w:t>年</w:t>
      </w:r>
      <w:r>
        <w:rPr>
          <w:rFonts w:hint="eastAsia" w:ascii="宋体" w:hAnsi="宋体" w:eastAsia="宋体" w:cs="宋体"/>
          <w:b w:val="0"/>
          <w:bCs/>
          <w:color w:val="auto"/>
          <w:sz w:val="24"/>
          <w:szCs w:val="24"/>
          <w:highlight w:val="none"/>
          <w:u w:val="single"/>
          <w:shd w:val="clear" w:color="auto" w:fill="auto"/>
          <w:lang w:val="en-US" w:eastAsia="zh-CN"/>
        </w:rPr>
        <w:t xml:space="preserve">   </w:t>
      </w:r>
      <w:r>
        <w:rPr>
          <w:rFonts w:hint="eastAsia" w:ascii="宋体" w:hAnsi="宋体" w:eastAsia="宋体" w:cs="宋体"/>
          <w:b w:val="0"/>
          <w:bCs/>
          <w:color w:val="auto"/>
          <w:sz w:val="24"/>
          <w:szCs w:val="24"/>
          <w:highlight w:val="none"/>
          <w:shd w:val="clear" w:color="auto" w:fill="auto"/>
        </w:rPr>
        <w:t>月</w:t>
      </w:r>
      <w:r>
        <w:rPr>
          <w:rFonts w:hint="eastAsia" w:ascii="宋体" w:hAnsi="宋体" w:eastAsia="宋体" w:cs="宋体"/>
          <w:b w:val="0"/>
          <w:bCs/>
          <w:color w:val="auto"/>
          <w:sz w:val="24"/>
          <w:szCs w:val="24"/>
          <w:highlight w:val="none"/>
          <w:u w:val="single"/>
          <w:shd w:val="clear" w:color="auto" w:fill="auto"/>
          <w:lang w:val="en-US" w:eastAsia="zh-CN"/>
        </w:rPr>
        <w:t xml:space="preserve">   </w:t>
      </w:r>
      <w:r>
        <w:rPr>
          <w:rFonts w:hint="eastAsia" w:ascii="宋体" w:hAnsi="宋体" w:eastAsia="宋体" w:cs="宋体"/>
          <w:b w:val="0"/>
          <w:bCs/>
          <w:color w:val="auto"/>
          <w:sz w:val="24"/>
          <w:szCs w:val="24"/>
          <w:highlight w:val="none"/>
          <w:shd w:val="clear" w:color="auto" w:fill="auto"/>
        </w:rPr>
        <w:t>日起至</w:t>
      </w:r>
      <w:r>
        <w:rPr>
          <w:rFonts w:hint="eastAsia" w:ascii="宋体" w:hAnsi="宋体" w:eastAsia="宋体" w:cs="宋体"/>
          <w:b w:val="0"/>
          <w:bCs/>
          <w:color w:val="auto"/>
          <w:sz w:val="24"/>
          <w:szCs w:val="24"/>
          <w:highlight w:val="none"/>
          <w:u w:val="single"/>
          <w:shd w:val="clear" w:color="auto" w:fill="auto"/>
          <w:lang w:val="en-US" w:eastAsia="zh-CN"/>
        </w:rPr>
        <w:t xml:space="preserve">    </w:t>
      </w:r>
      <w:r>
        <w:rPr>
          <w:rFonts w:hint="eastAsia" w:ascii="宋体" w:hAnsi="宋体" w:eastAsia="宋体" w:cs="宋体"/>
          <w:b w:val="0"/>
          <w:bCs/>
          <w:color w:val="auto"/>
          <w:sz w:val="24"/>
          <w:szCs w:val="24"/>
          <w:highlight w:val="none"/>
          <w:shd w:val="clear" w:color="auto" w:fill="auto"/>
        </w:rPr>
        <w:t>年</w:t>
      </w:r>
      <w:r>
        <w:rPr>
          <w:rFonts w:hint="eastAsia" w:ascii="宋体" w:hAnsi="宋体" w:eastAsia="宋体" w:cs="宋体"/>
          <w:b w:val="0"/>
          <w:bCs/>
          <w:color w:val="auto"/>
          <w:sz w:val="24"/>
          <w:szCs w:val="24"/>
          <w:highlight w:val="none"/>
          <w:u w:val="single"/>
          <w:shd w:val="clear" w:color="auto" w:fill="auto"/>
          <w:lang w:val="en-US" w:eastAsia="zh-CN"/>
        </w:rPr>
        <w:t xml:space="preserve">   </w:t>
      </w:r>
      <w:r>
        <w:rPr>
          <w:rFonts w:hint="eastAsia" w:ascii="宋体" w:hAnsi="宋体" w:eastAsia="宋体" w:cs="宋体"/>
          <w:b w:val="0"/>
          <w:bCs/>
          <w:color w:val="auto"/>
          <w:sz w:val="24"/>
          <w:szCs w:val="24"/>
          <w:highlight w:val="none"/>
          <w:shd w:val="clear" w:color="auto" w:fill="auto"/>
        </w:rPr>
        <w:t>月</w:t>
      </w:r>
      <w:r>
        <w:rPr>
          <w:rFonts w:hint="eastAsia" w:ascii="宋体" w:hAnsi="宋体" w:eastAsia="宋体" w:cs="宋体"/>
          <w:b w:val="0"/>
          <w:bCs/>
          <w:color w:val="auto"/>
          <w:sz w:val="24"/>
          <w:szCs w:val="24"/>
          <w:highlight w:val="none"/>
          <w:u w:val="single"/>
          <w:shd w:val="clear" w:color="auto" w:fill="auto"/>
          <w:lang w:val="en-US" w:eastAsia="zh-CN"/>
        </w:rPr>
        <w:t xml:space="preserve">   </w:t>
      </w:r>
      <w:r>
        <w:rPr>
          <w:rFonts w:hint="eastAsia" w:ascii="宋体" w:hAnsi="宋体" w:eastAsia="宋体" w:cs="宋体"/>
          <w:b w:val="0"/>
          <w:bCs/>
          <w:color w:val="auto"/>
          <w:sz w:val="24"/>
          <w:szCs w:val="24"/>
          <w:highlight w:val="none"/>
          <w:shd w:val="clear" w:color="auto" w:fill="auto"/>
        </w:rPr>
        <w:t>日或累计结算金额达到合同金额，以二者先到者为准。</w:t>
      </w:r>
    </w:p>
    <w:p w14:paraId="2822FDBD">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rPr>
        <w:t>2.服务地点：甲方指定地点。</w:t>
      </w:r>
    </w:p>
    <w:p w14:paraId="70C7FE92">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lang w:val="en-US" w:eastAsia="zh-CN"/>
        </w:rPr>
        <w:t>四、</w:t>
      </w:r>
      <w:r>
        <w:rPr>
          <w:rFonts w:hint="eastAsia" w:ascii="宋体" w:hAnsi="宋体" w:eastAsia="宋体" w:cs="宋体"/>
          <w:b/>
          <w:color w:val="auto"/>
          <w:sz w:val="24"/>
          <w:szCs w:val="24"/>
          <w:highlight w:val="none"/>
          <w:shd w:val="clear" w:color="auto" w:fill="auto"/>
        </w:rPr>
        <w:t>甲方乙方的权利和义务</w:t>
      </w:r>
    </w:p>
    <w:p w14:paraId="78B5EAB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（一）甲方权利及义务：</w:t>
      </w:r>
    </w:p>
    <w:p w14:paraId="65B2ED1B">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1.甲方应明确乙方的工作任务和工作要求，并由甲方分配工作任务。</w:t>
      </w:r>
    </w:p>
    <w:p w14:paraId="797CE2A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2.有权制订相应的规章制度及管理措施，以保证乙方按合同要求及其他经双方议定的要求运作。对违反规章制度，不履行职责或泄密造成经济损失的，将有权追究乙方的民事法律和经济赔偿责任。</w:t>
      </w:r>
    </w:p>
    <w:p w14:paraId="23DA0F2C">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3.有权对乙方的服务质量进行考核，提出改进的要求。</w:t>
      </w:r>
    </w:p>
    <w:p w14:paraId="61C88522">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4.有权负责现场的管理相关工作。</w:t>
      </w:r>
    </w:p>
    <w:p w14:paraId="3351F8B5">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5.甲方应按照本合同规定的标准和支付方式支付乙方服务费用。</w:t>
      </w:r>
    </w:p>
    <w:p w14:paraId="4F939E7A">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（二）乙方权利及义务：</w:t>
      </w:r>
    </w:p>
    <w:p w14:paraId="015C6389">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1.乙方应保证具有履行合同的法定资质，向甲方提供有关服务、营业执照等资质证明的原件及复印件。</w:t>
      </w:r>
    </w:p>
    <w:p w14:paraId="4CF2B404">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2.根据有关法律法规及本合同的约定，制订管理制度，编制管理年度计划，并经甲方审定后实施。</w:t>
      </w:r>
    </w:p>
    <w:p w14:paraId="520233C3">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3.乙方应</w:t>
      </w:r>
      <w:r>
        <w:rPr>
          <w:rFonts w:hint="eastAsia" w:ascii="宋体" w:hAnsi="宋体" w:eastAsia="宋体" w:cs="宋体"/>
          <w:color w:val="auto"/>
          <w:sz w:val="24"/>
          <w:szCs w:val="24"/>
          <w:highlight w:val="none"/>
          <w:u w:val="single"/>
          <w:shd w:val="clear" w:color="auto" w:fill="auto"/>
        </w:rPr>
        <w:t xml:space="preserve"> 3 </w:t>
      </w:r>
      <w:r>
        <w:rPr>
          <w:rFonts w:hint="eastAsia" w:ascii="宋体" w:hAnsi="宋体" w:eastAsia="宋体" w:cs="宋体"/>
          <w:color w:val="auto"/>
          <w:sz w:val="24"/>
          <w:szCs w:val="24"/>
          <w:highlight w:val="none"/>
          <w:shd w:val="clear" w:color="auto" w:fill="auto"/>
        </w:rPr>
        <w:t>个工作日内对甲方提出的改进要求进行改进。</w:t>
      </w:r>
    </w:p>
    <w:p w14:paraId="2D8AD79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4.乙方不得转包或分包项目内容，乙方转包或分包项目内容的，甲方有权解除合同。</w:t>
      </w:r>
    </w:p>
    <w:p w14:paraId="393453B6">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w:t>
      </w:r>
      <w:r>
        <w:rPr>
          <w:rFonts w:hint="eastAsia" w:ascii="宋体" w:hAnsi="宋体" w:eastAsia="宋体" w:cs="宋体"/>
          <w:color w:val="auto"/>
          <w:sz w:val="24"/>
          <w:szCs w:val="24"/>
          <w:highlight w:val="none"/>
          <w:shd w:val="clear" w:color="auto" w:fill="auto"/>
          <w:lang w:val="en-US" w:eastAsia="zh-CN"/>
        </w:rPr>
        <w:t>磋商</w:t>
      </w:r>
      <w:r>
        <w:rPr>
          <w:rFonts w:hint="eastAsia" w:ascii="宋体" w:hAnsi="宋体" w:eastAsia="宋体" w:cs="宋体"/>
          <w:color w:val="auto"/>
          <w:sz w:val="24"/>
          <w:szCs w:val="24"/>
          <w:highlight w:val="none"/>
          <w:shd w:val="clear" w:color="auto" w:fill="auto"/>
        </w:rPr>
        <w:t>文件及合同附件中约定的乙方其它权利义务。</w:t>
      </w:r>
    </w:p>
    <w:p w14:paraId="2A1FE057">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14:paraId="1A541910">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lang w:val="en-US" w:eastAsia="zh-CN"/>
        </w:rPr>
        <w:t>五</w:t>
      </w:r>
      <w:r>
        <w:rPr>
          <w:rFonts w:hint="eastAsia" w:ascii="宋体" w:hAnsi="宋体" w:eastAsia="宋体" w:cs="宋体"/>
          <w:b/>
          <w:color w:val="auto"/>
          <w:sz w:val="24"/>
          <w:szCs w:val="24"/>
          <w:highlight w:val="none"/>
          <w:shd w:val="clear" w:color="auto" w:fill="auto"/>
        </w:rPr>
        <w:t>、服务内容：</w:t>
      </w:r>
    </w:p>
    <w:p w14:paraId="1B5C67B3">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具体内容详见</w:t>
      </w:r>
      <w:r>
        <w:rPr>
          <w:rFonts w:hint="eastAsia" w:ascii="宋体" w:hAnsi="宋体" w:eastAsia="宋体" w:cs="宋体"/>
          <w:color w:val="auto"/>
          <w:sz w:val="24"/>
          <w:szCs w:val="24"/>
          <w:highlight w:val="none"/>
          <w:shd w:val="clear" w:color="auto" w:fill="auto"/>
          <w:lang w:val="en-US" w:eastAsia="zh-CN"/>
        </w:rPr>
        <w:t>磋商</w:t>
      </w:r>
      <w:r>
        <w:rPr>
          <w:rFonts w:hint="eastAsia" w:ascii="宋体" w:hAnsi="宋体" w:eastAsia="宋体" w:cs="宋体"/>
          <w:color w:val="auto"/>
          <w:sz w:val="24"/>
          <w:szCs w:val="24"/>
          <w:highlight w:val="none"/>
          <w:shd w:val="clear" w:color="auto" w:fill="auto"/>
        </w:rPr>
        <w:t>文件。</w:t>
      </w:r>
    </w:p>
    <w:p w14:paraId="11CCBCC0">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lang w:val="en-US" w:eastAsia="zh-CN"/>
        </w:rPr>
      </w:pPr>
      <w:r>
        <w:rPr>
          <w:rFonts w:hint="eastAsia" w:ascii="宋体" w:hAnsi="宋体" w:eastAsia="宋体" w:cs="宋体"/>
          <w:b/>
          <w:color w:val="auto"/>
          <w:sz w:val="24"/>
          <w:szCs w:val="24"/>
          <w:highlight w:val="none"/>
          <w:shd w:val="clear" w:color="auto" w:fill="auto"/>
          <w:lang w:val="en-US" w:eastAsia="zh-CN"/>
        </w:rPr>
        <w:t>六</w:t>
      </w:r>
      <w:r>
        <w:rPr>
          <w:rFonts w:hint="eastAsia" w:ascii="宋体" w:hAnsi="宋体" w:eastAsia="宋体" w:cs="宋体"/>
          <w:b/>
          <w:color w:val="auto"/>
          <w:sz w:val="24"/>
          <w:szCs w:val="24"/>
          <w:highlight w:val="none"/>
          <w:shd w:val="clear" w:color="auto" w:fill="auto"/>
        </w:rPr>
        <w:t>、</w:t>
      </w:r>
      <w:r>
        <w:rPr>
          <w:rFonts w:hint="eastAsia" w:ascii="宋体" w:hAnsi="宋体" w:eastAsia="宋体" w:cs="宋体"/>
          <w:b/>
          <w:color w:val="auto"/>
          <w:sz w:val="24"/>
          <w:szCs w:val="24"/>
          <w:highlight w:val="none"/>
          <w:shd w:val="clear" w:color="auto" w:fill="auto"/>
          <w:lang w:val="en-US" w:eastAsia="zh-CN"/>
        </w:rPr>
        <w:t>其他要求</w:t>
      </w:r>
    </w:p>
    <w:p w14:paraId="695C20FA">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lang w:val="en-US" w:eastAsia="zh-CN"/>
        </w:rPr>
      </w:pPr>
      <w:r>
        <w:rPr>
          <w:rFonts w:hint="eastAsia" w:ascii="宋体" w:hAnsi="宋体" w:eastAsia="宋体" w:cs="宋体"/>
          <w:b w:val="0"/>
          <w:bCs/>
          <w:color w:val="auto"/>
          <w:sz w:val="24"/>
          <w:szCs w:val="24"/>
          <w:highlight w:val="none"/>
          <w:shd w:val="clear" w:color="auto" w:fill="auto"/>
          <w:lang w:val="en-US" w:eastAsia="zh-CN"/>
        </w:rPr>
        <w:t>1.乙方需严格履行采购文件和合同的约定，保质、保量、按时配送食品。</w:t>
      </w:r>
    </w:p>
    <w:p w14:paraId="2FC200EB">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lang w:val="en-US" w:eastAsia="zh-CN"/>
        </w:rPr>
      </w:pPr>
      <w:r>
        <w:rPr>
          <w:rFonts w:hint="eastAsia" w:ascii="宋体" w:hAnsi="宋体" w:eastAsia="宋体" w:cs="宋体"/>
          <w:b w:val="0"/>
          <w:bCs/>
          <w:color w:val="auto"/>
          <w:sz w:val="24"/>
          <w:szCs w:val="24"/>
          <w:highlight w:val="none"/>
          <w:shd w:val="clear" w:color="auto" w:fill="auto"/>
          <w:lang w:val="en-US" w:eastAsia="zh-CN"/>
        </w:rPr>
        <w:t>2.乙方在食品配送过程中如出现需向甲方支付经济赔偿金、违约金等相关费用时，甲方可直接在每月食品配送结算金额中扣除。</w:t>
      </w:r>
    </w:p>
    <w:p w14:paraId="5C7370FA">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lang w:val="en-US" w:eastAsia="zh-CN"/>
        </w:rPr>
      </w:pPr>
      <w:r>
        <w:rPr>
          <w:rFonts w:hint="eastAsia" w:ascii="宋体" w:hAnsi="宋体" w:eastAsia="宋体" w:cs="宋体"/>
          <w:b w:val="0"/>
          <w:bCs/>
          <w:color w:val="auto"/>
          <w:sz w:val="24"/>
          <w:szCs w:val="24"/>
          <w:highlight w:val="none"/>
          <w:shd w:val="clear" w:color="auto" w:fill="auto"/>
          <w:lang w:val="en-US" w:eastAsia="zh-CN"/>
        </w:rPr>
        <w:t>3.合同期内，如因乙方违约原因被甲方解除合同或乙方单方解除合同时，经济赔偿金、违约罚金等相关费用按如下处理：</w:t>
      </w:r>
    </w:p>
    <w:p w14:paraId="5E68C331">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lang w:val="en-US" w:eastAsia="zh-CN"/>
        </w:rPr>
      </w:pPr>
      <w:r>
        <w:rPr>
          <w:rFonts w:hint="eastAsia" w:ascii="宋体" w:hAnsi="宋体" w:eastAsia="宋体" w:cs="宋体"/>
          <w:b w:val="0"/>
          <w:bCs/>
          <w:color w:val="auto"/>
          <w:sz w:val="24"/>
          <w:szCs w:val="24"/>
          <w:highlight w:val="none"/>
          <w:shd w:val="clear" w:color="auto" w:fill="auto"/>
          <w:lang w:val="en-US" w:eastAsia="zh-CN"/>
        </w:rPr>
        <w:t>（1）如乙方出现需向甲方支付经济赔偿金、违约罚金等相关费用，而食品配送结算金额不足以支付时，差额部分乙方需3日内另行向甲方支付。</w:t>
      </w:r>
    </w:p>
    <w:p w14:paraId="75E13B3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lang w:val="en-US" w:eastAsia="zh-CN"/>
        </w:rPr>
      </w:pPr>
      <w:r>
        <w:rPr>
          <w:rFonts w:hint="eastAsia" w:ascii="宋体" w:hAnsi="宋体" w:eastAsia="宋体" w:cs="宋体"/>
          <w:b w:val="0"/>
          <w:bCs/>
          <w:color w:val="auto"/>
          <w:sz w:val="24"/>
          <w:szCs w:val="24"/>
          <w:highlight w:val="none"/>
          <w:shd w:val="clear" w:color="auto" w:fill="auto"/>
          <w:lang w:val="en-US" w:eastAsia="zh-CN"/>
        </w:rPr>
        <w:t>（2）乙方因违反合同约定给甲方造成重大影响或经济损失或未及时向甲方支付经济赔偿金、违约金等相关费用差额的，甲方保留法律追究权。</w:t>
      </w:r>
    </w:p>
    <w:p w14:paraId="2C41923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lang w:val="en-US" w:eastAsia="zh-CN"/>
        </w:rPr>
      </w:pPr>
      <w:r>
        <w:rPr>
          <w:rFonts w:hint="eastAsia" w:ascii="宋体" w:hAnsi="宋体" w:eastAsia="宋体" w:cs="宋体"/>
          <w:b w:val="0"/>
          <w:bCs/>
          <w:color w:val="auto"/>
          <w:sz w:val="24"/>
          <w:szCs w:val="24"/>
          <w:highlight w:val="none"/>
          <w:shd w:val="clear" w:color="auto" w:fill="auto"/>
          <w:lang w:val="en-US" w:eastAsia="zh-CN"/>
        </w:rPr>
        <w:t>4.乙方拟派在该项目中的项目负责人和其他工作人员需有食品配送相关工作经验。乙方在后期项目实施过程中更换项目负责人或其他工作人员需经甲方同意，未经甲方同意擅自更换项目负责人或其他人员的，食材不符合国家标准的，发现一次甲方有权终止合同。</w:t>
      </w:r>
    </w:p>
    <w:p w14:paraId="7F41DF03">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lang w:eastAsia="zh-CN"/>
        </w:rPr>
      </w:pPr>
      <w:r>
        <w:rPr>
          <w:rFonts w:hint="eastAsia" w:ascii="宋体" w:hAnsi="宋体" w:eastAsia="宋体" w:cs="宋体"/>
          <w:b/>
          <w:color w:val="auto"/>
          <w:sz w:val="24"/>
          <w:szCs w:val="24"/>
          <w:highlight w:val="none"/>
          <w:shd w:val="clear" w:color="auto" w:fill="auto"/>
          <w:lang w:val="en-US" w:eastAsia="zh-CN"/>
        </w:rPr>
        <w:t>七</w:t>
      </w:r>
      <w:r>
        <w:rPr>
          <w:rFonts w:hint="eastAsia" w:ascii="宋体" w:hAnsi="宋体" w:eastAsia="宋体" w:cs="宋体"/>
          <w:b/>
          <w:color w:val="auto"/>
          <w:sz w:val="24"/>
          <w:szCs w:val="24"/>
          <w:highlight w:val="none"/>
          <w:shd w:val="clear" w:color="auto" w:fill="auto"/>
        </w:rPr>
        <w:t>、验收</w:t>
      </w:r>
      <w:r>
        <w:rPr>
          <w:rFonts w:hint="eastAsia" w:ascii="宋体" w:hAnsi="宋体" w:eastAsia="宋体" w:cs="宋体"/>
          <w:b/>
          <w:color w:val="auto"/>
          <w:sz w:val="24"/>
          <w:szCs w:val="24"/>
          <w:highlight w:val="none"/>
          <w:shd w:val="clear" w:color="auto" w:fill="auto"/>
          <w:lang w:eastAsia="zh-CN"/>
        </w:rPr>
        <w:t>要求</w:t>
      </w:r>
    </w:p>
    <w:p w14:paraId="0D11D40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（一）验收流程：</w:t>
      </w:r>
    </w:p>
    <w:p w14:paraId="246183D0">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1.做好卸货前的检查。双方验收人员卸货前应对场地和验收设备做好准备，并对物品的外观质量进行初步了解。食品运输必须采用符合卫生标准的外包装和运输工具，保持清洁和定期消毒，车厢内无不良气味、异味。冷藏、冷冻食品必须用专用冷藏、冷冻载具运输，在运输过程中保持安全的冷藏、冷冻温度，冷冻食品没有曾经解冻痕迹或软化现象，包装呈干爽状态。食品应清洁，无损伤、腐烂现象，外包装完整，无寄生虫或已受虫害现象。</w:t>
      </w:r>
    </w:p>
    <w:p w14:paraId="677C5719">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2.采取现场验收的方式，双方验收人员应认真检查物资的质量，按索票——验证——抽查——过磅——入库的程序完成验收，乙方可提供原件的留原件，原件只有一份而无法提供给甲方的，查验原件后索取复印件留存。</w:t>
      </w:r>
    </w:p>
    <w:p w14:paraId="7C21EBF8">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3.每批次每种货物均抽查验收，对数量在50箱以上（含50箱）的抽查率为10%,50箱以下的抽查率为15%。</w:t>
      </w:r>
    </w:p>
    <w:p w14:paraId="31EA9E86">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4.验收人员应按</w:t>
      </w:r>
      <w:r>
        <w:rPr>
          <w:rFonts w:hint="eastAsia" w:ascii="宋体" w:hAnsi="宋体" w:cs="宋体"/>
          <w:b w:val="0"/>
          <w:bCs w:val="0"/>
          <w:snapToGrid/>
          <w:color w:val="auto"/>
          <w:kern w:val="2"/>
          <w:sz w:val="24"/>
          <w:szCs w:val="24"/>
          <w:highlight w:val="none"/>
          <w:lang w:val="en-US" w:eastAsia="zh-CN"/>
        </w:rPr>
        <w:t>磋商文件</w:t>
      </w:r>
      <w:r>
        <w:rPr>
          <w:rFonts w:hint="eastAsia" w:ascii="宋体" w:hAnsi="宋体" w:eastAsia="宋体" w:cs="宋体"/>
          <w:b w:val="0"/>
          <w:bCs w:val="0"/>
          <w:snapToGrid/>
          <w:color w:val="auto"/>
          <w:kern w:val="2"/>
          <w:sz w:val="24"/>
          <w:szCs w:val="24"/>
          <w:highlight w:val="none"/>
          <w:lang w:val="en-US" w:eastAsia="zh-CN"/>
        </w:rPr>
        <w:t>产品质量要求对货物质量进行抽查，比较相关文件，以确保食品品种符合要求。如确定有所差异，应即刻通知送货人员。如发现食品有损坏的情况，应在相关单据上记录所有损坏情况。建议对货物损坏情况进行拍照并存档。对于食品验收的全部信息数据，甲方使用单位验收人员应和乙方送货人员一起确认，并保留双方签字单据。</w:t>
      </w:r>
    </w:p>
    <w:p w14:paraId="06AF7827">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5.抽查发现食品安全质量问题的处理。</w:t>
      </w:r>
    </w:p>
    <w:p w14:paraId="3187F92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（1）对危及人身安全的食品质量问题采取零容忍措施，一经发现，当日所送同批次产品全部退货，如水产品中发现河豚鱼，发现腐败变质肉类等。</w:t>
      </w:r>
    </w:p>
    <w:p w14:paraId="4E97D268">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（2）若抽查未发现问题，而在加工食用前发现部分产品质量问题，应立即通知乙方，将问题产品退货处理。</w:t>
      </w:r>
    </w:p>
    <w:p w14:paraId="5ECE9940">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6.抽查发现资质证照不全问题的处理。</w:t>
      </w:r>
    </w:p>
    <w:p w14:paraId="5906260D">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（1）畜禽冻肉类整批产品无政府部门出具的动植物检疫合格证明的全部退货。</w:t>
      </w:r>
    </w:p>
    <w:p w14:paraId="22F4B424">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2）抽查发现部分畜禽冻肉类产品无政府部门出具的动植物检疫合格证明，加抽15%，两次抽查数50%以上没有动植物检疫合格证明的，全部退货；50%以下没有动植物检疫合格证明的，将无动植物检疫合格证明的物品退货。</w:t>
      </w:r>
    </w:p>
    <w:p w14:paraId="48EA68C5">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（3）整批产品有省地市出具的动植物检疫合格证明，随箱产品合格证不齐全的，加抽15%。两次抽查数50%以上没有产品合格证的，全部退货：50%以下没有产品合格证明的，将无产品合格证明的货物退货。</w:t>
      </w:r>
    </w:p>
    <w:p w14:paraId="50966549">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（二）退（补）货流程</w:t>
      </w:r>
    </w:p>
    <w:p w14:paraId="0108A04A">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对不符合质量要求的货物由甲方使用单位验收人员提出清退，如双方对质量或重量有争议的可送具有检验资质的部门检测，同时留样备检。对数量不足或部分退货的，责成乙方以不影响伙食供应为前提尽快补送。在退货过程中，对有碍公共卫生安全的食品，应按国家有关规定处理或进行协议销毁，不退货给乙方。</w:t>
      </w:r>
    </w:p>
    <w:p w14:paraId="59AD7EF0">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（三）验收记录</w:t>
      </w:r>
    </w:p>
    <w:p w14:paraId="69DD686C">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对每次验收的货物均记录货物名称、数量，验收情况等事项，并由双方验收人员签名确认。</w:t>
      </w:r>
    </w:p>
    <w:p w14:paraId="37521674">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（四）验收条款</w:t>
      </w:r>
    </w:p>
    <w:p w14:paraId="2157C93B">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1.乙方所提供的物品必须符合《中华人民共和国食品安全法》要求。</w:t>
      </w:r>
    </w:p>
    <w:p w14:paraId="59A38735">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2.乙方所提供的物品必须符合国家行业生产及经营标准，货真价实，均能提供相应批次的合格检验证明。</w:t>
      </w:r>
    </w:p>
    <w:p w14:paraId="72C317ED">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3.乙方所提供的物品各项技术指标必须完全符合国家有关质量检测、环保标准及产品出厂标准。</w:t>
      </w:r>
    </w:p>
    <w:p w14:paraId="3FFACAD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4.所有货物指标要符合国家强制性标准要求。</w:t>
      </w:r>
    </w:p>
    <w:p w14:paraId="19E39C68">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5.乙方必须负责成交货物的运输、质量检测等工作，所产生的费用由乙方负责。</w:t>
      </w:r>
    </w:p>
    <w:p w14:paraId="07655DA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6.乙方配送货物必须按时按量按质送到甲方指定地点，并当面核实克重。验收完毕后，双方必须在货物收货清单（格式自定，但必须包括货物单价、数量、重量、合价等内容）上签名确认，货物收货清单作为甲方支付货款的依据之一。</w:t>
      </w:r>
    </w:p>
    <w:p w14:paraId="3B2523B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7.验收方式</w:t>
      </w:r>
    </w:p>
    <w:p w14:paraId="07F19CFA">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称重验收与数量验收相结合的方法。</w:t>
      </w:r>
    </w:p>
    <w:p w14:paraId="31BB67B7">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8.乙方提供假冒伪劣、过期、变质的、有毒食品的，一经发现，除按甲方要求无条件退货或换货外，还应承担如下违约责任：</w:t>
      </w:r>
    </w:p>
    <w:p w14:paraId="6E941102">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1）乙方提供假冒伪劣、过期、变质食品的，甲方有权要求无条件退货或换货，乙方将被处以当次供应食品货款2倍的违约金，违约金在供货结算款内扣除。</w:t>
      </w:r>
    </w:p>
    <w:p w14:paraId="351AB66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2）乙方若提供有毒食品，造成食品安全事故的，经有关单位鉴定原因后，如确实为乙方提供的食品问题，视为乙方单方违约，乙方须负担全额的医药费及赔偿款项，甲方将取消该乙方的供货资格并解除合同，乙方同时承担相应的民事及刑事法律责任及放弃先诉抗辩权。</w:t>
      </w:r>
    </w:p>
    <w:p w14:paraId="07149AF7">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lang w:val="en-US" w:eastAsia="zh-CN"/>
        </w:rPr>
        <w:t>八</w:t>
      </w:r>
      <w:r>
        <w:rPr>
          <w:rFonts w:hint="eastAsia" w:ascii="宋体" w:hAnsi="宋体" w:eastAsia="宋体" w:cs="宋体"/>
          <w:b/>
          <w:color w:val="auto"/>
          <w:sz w:val="24"/>
          <w:szCs w:val="24"/>
          <w:highlight w:val="none"/>
          <w:shd w:val="clear" w:color="auto" w:fill="auto"/>
        </w:rPr>
        <w:t>、付款方式及结算方式</w:t>
      </w:r>
    </w:p>
    <w:p w14:paraId="4C367A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（一）由甲方每月结算一次。</w:t>
      </w:r>
    </w:p>
    <w:p w14:paraId="3DED4A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（二）付款方式：乙方完成当月供货，甲方与乙方核对当月供货数量和金额无误后，甲方在收到乙方发票后的30个工作日内结清当月货款。</w:t>
      </w:r>
    </w:p>
    <w:p w14:paraId="469261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注：</w:t>
      </w:r>
    </w:p>
    <w:p w14:paraId="308BDB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1）付款方式采用支票、银行汇付（含电汇）等形式。每期申请支付合同款项时，乙方须向甲方提供中华人民共和国大陆地区合法有效发票。</w:t>
      </w:r>
    </w:p>
    <w:p w14:paraId="557FB0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2）合同付款时间为甲方向政府采购支付部门提出支付申请的时间（不含政府采购支付部门的审核和支付时间），在规定时间内提交付款申请即视为甲方已履行。</w:t>
      </w:r>
    </w:p>
    <w:p w14:paraId="4ADF7C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3）因财政集中支付延误时间不计算在内，乙方提交付款单据延迟或缺失的，甲方有权相应顺延付款期限；因出现不可抗力、国家政策调整等特殊情况影响合同款项支付进度的，双方应通过补充协议形式予以解决。</w:t>
      </w:r>
    </w:p>
    <w:p w14:paraId="52085FF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bCs/>
          <w:snapToGrid/>
          <w:color w:val="auto"/>
          <w:kern w:val="2"/>
          <w:sz w:val="24"/>
          <w:szCs w:val="24"/>
          <w:highlight w:val="none"/>
          <w:lang w:bidi="ar-SA"/>
        </w:rPr>
      </w:pPr>
      <w:r>
        <w:rPr>
          <w:rFonts w:hint="eastAsia" w:ascii="宋体" w:hAnsi="宋体" w:eastAsia="宋体" w:cs="宋体"/>
          <w:b/>
          <w:bCs/>
          <w:snapToGrid/>
          <w:color w:val="auto"/>
          <w:kern w:val="2"/>
          <w:sz w:val="24"/>
          <w:szCs w:val="24"/>
          <w:highlight w:val="none"/>
          <w:lang w:val="en-US" w:eastAsia="zh-CN" w:bidi="ar-SA"/>
        </w:rPr>
        <w:t>九、退出机制及相关说明</w:t>
      </w:r>
    </w:p>
    <w:p w14:paraId="7B76E092">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1.乙方按要求与甲方签订配送合同、安全承诺书、廉洁承诺书，在服务期满后自然退出。</w:t>
      </w:r>
    </w:p>
    <w:p w14:paraId="23F9C7F6">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2.服务期内，若乙方配送服务与采购文件中各配送品种质量要求不一致，或提供不合格产品或不按要求配送，或延迟配送影响正常就餐的，按照退出机制或合同约定方式，甲方有权单方面解除合同，如造成责任事故的一并追究其法律责任。</w:t>
      </w:r>
    </w:p>
    <w:p w14:paraId="6CB3D161">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3.在</w:t>
      </w:r>
      <w:r>
        <w:rPr>
          <w:rFonts w:hint="eastAsia" w:ascii="宋体"/>
          <w:color w:val="auto"/>
          <w:sz w:val="24"/>
          <w:highlight w:val="none"/>
          <w:lang w:val="en-US" w:eastAsia="zh-CN"/>
        </w:rPr>
        <w:t>磋商</w:t>
      </w:r>
      <w:r>
        <w:rPr>
          <w:rFonts w:hint="default" w:ascii="宋体" w:hAnsi="宋体" w:eastAsia="宋体" w:cs="宋体"/>
          <w:snapToGrid/>
          <w:color w:val="auto"/>
          <w:kern w:val="2"/>
          <w:sz w:val="24"/>
          <w:szCs w:val="24"/>
          <w:highlight w:val="none"/>
          <w:lang w:val="en-US" w:eastAsia="zh-CN" w:bidi="ar-SA"/>
        </w:rPr>
        <w:t>过程中以弄虚作假等欺诈手段成交，或配送过程中由于情况变化不再符合准入条件的，甲方有权立即取消其配送资格，解除合同。</w:t>
      </w:r>
    </w:p>
    <w:p w14:paraId="0BF886AB">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4.按合同约定供货，乙方不得转包、分包，否则甲方有权单方面终止合同，乙方承担由此给甲方造成一切损失。</w:t>
      </w:r>
    </w:p>
    <w:p w14:paraId="7713C95A">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5.乙方在合同期间未按配送要求提供食材等商品，影响正常就餐的，三次及以上者，甲方有权立即取消其配送资格，解除合同。</w:t>
      </w:r>
    </w:p>
    <w:p w14:paraId="1581B5BB">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6.确认为乙方而造成的食物中毒事故或配送食品质量引发重大食品安全事故，甲方有权立即取消其配送资格并解除合同，对所造成的损失有权追究乙方的法律责任和经济赔偿。</w:t>
      </w:r>
    </w:p>
    <w:p w14:paraId="7811CF9A">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7.服务期内，如乙方不能按时、保质、保量供货，则由甲方的相关人员自行采购，乙方必须赔偿甲方由此造成的经济损失和承担责任。</w:t>
      </w:r>
    </w:p>
    <w:p w14:paraId="37A17CEF">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8.乙方在合同履行期间内保证对甲方的货物供应，若成交后反悔或不能履行合同的，甲方有权单方终止合同，由此产生的一切经济损失由乙方自行承担。</w:t>
      </w:r>
    </w:p>
    <w:p w14:paraId="4DBB2D44">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9.乙方拟派在该项目中的项目负责人和其他工作人员需有食品配送相关工作经验。乙方在后期项目实施过程中更换项目负责人或其他工作人员需经甲方同意，未经甲方同意擅自更换项目负责人或其他人员的，食材不符合国家标准的，发现一次甲方有权终止合同。</w:t>
      </w:r>
    </w:p>
    <w:p w14:paraId="6AFD8E87">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10.考核机制：</w:t>
      </w:r>
    </w:p>
    <w:p w14:paraId="686F268F">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（1）签订合同前，甲方对乙方进行现场考察，如考察发现乙方在</w:t>
      </w:r>
      <w:r>
        <w:rPr>
          <w:rFonts w:hint="eastAsia" w:ascii="宋体"/>
          <w:color w:val="auto"/>
          <w:sz w:val="24"/>
          <w:highlight w:val="none"/>
          <w:lang w:val="en-US" w:eastAsia="zh-CN"/>
        </w:rPr>
        <w:t>磋商</w:t>
      </w:r>
      <w:r>
        <w:rPr>
          <w:rFonts w:hint="default" w:ascii="宋体" w:hAnsi="宋体" w:eastAsia="宋体" w:cs="宋体"/>
          <w:snapToGrid/>
          <w:color w:val="auto"/>
          <w:kern w:val="2"/>
          <w:sz w:val="24"/>
          <w:szCs w:val="24"/>
          <w:highlight w:val="none"/>
          <w:lang w:val="en-US" w:eastAsia="zh-CN" w:bidi="ar-SA"/>
        </w:rPr>
        <w:t>过程中以弄虚作假等欺诈手段成交的、或存在与</w:t>
      </w:r>
      <w:r>
        <w:rPr>
          <w:rFonts w:hint="eastAsia" w:ascii="宋体" w:hAnsi="宋体" w:cs="宋体"/>
          <w:snapToGrid/>
          <w:color w:val="auto"/>
          <w:kern w:val="2"/>
          <w:sz w:val="24"/>
          <w:szCs w:val="24"/>
          <w:highlight w:val="none"/>
          <w:lang w:val="en-US" w:eastAsia="zh-CN" w:bidi="ar-SA"/>
        </w:rPr>
        <w:t>响应</w:t>
      </w:r>
      <w:r>
        <w:rPr>
          <w:rFonts w:hint="default" w:ascii="宋体" w:hAnsi="宋体" w:eastAsia="宋体" w:cs="宋体"/>
          <w:snapToGrid/>
          <w:color w:val="auto"/>
          <w:kern w:val="2"/>
          <w:sz w:val="24"/>
          <w:szCs w:val="24"/>
          <w:highlight w:val="none"/>
          <w:lang w:val="en-US" w:eastAsia="zh-CN" w:bidi="ar-SA"/>
        </w:rPr>
        <w:t>文件提供内容不一致的，甲方有权立即取消其成交资格，并追究乙方的法律责任。</w:t>
      </w:r>
    </w:p>
    <w:p w14:paraId="5C26503A">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（2）甲方采取月度形式对乙方的服务和管理情况进行考核：</w:t>
      </w:r>
    </w:p>
    <w:p w14:paraId="636DE426">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①月度考核内容见附件1：《供应商配送服务质量考核评价表》，并根据考核的结果、反映的情况，要求乙方进行相应的整改；</w:t>
      </w:r>
    </w:p>
    <w:p w14:paraId="28DF8253">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②《供应商配送服务质量考核评价表》总得分低于95分，甲方将出具书面通知要求乙方进行整改。连续两个月考评分低于85分，甲方将当月结算款的10%作为违约金。连续3个月考评分低于85分，甲方将无条件解除合同，后果由乙方负责。</w:t>
      </w:r>
    </w:p>
    <w:p w14:paraId="112D3730">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default" w:ascii="宋体" w:hAnsi="宋体" w:eastAsia="宋体" w:cs="宋体"/>
          <w:snapToGrid/>
          <w:color w:val="auto"/>
          <w:kern w:val="2"/>
          <w:sz w:val="24"/>
          <w:szCs w:val="24"/>
          <w:highlight w:val="none"/>
          <w:lang w:val="en-US" w:eastAsia="zh-CN" w:bidi="ar-SA"/>
        </w:rPr>
      </w:pPr>
      <w:r>
        <w:rPr>
          <w:rFonts w:hint="default" w:ascii="宋体" w:hAnsi="宋体" w:eastAsia="宋体" w:cs="宋体"/>
          <w:snapToGrid/>
          <w:color w:val="auto"/>
          <w:kern w:val="2"/>
          <w:sz w:val="24"/>
          <w:szCs w:val="24"/>
          <w:highlight w:val="none"/>
          <w:lang w:val="en-US" w:eastAsia="zh-CN" w:bidi="ar-SA"/>
        </w:rPr>
        <w:t>③若因甲方原因导致乙方无法按《供应商配送服务质量考核评价表》完成工作的项目，该服务评价项目评价不予扣分。</w:t>
      </w:r>
    </w:p>
    <w:p w14:paraId="777B50A2">
      <w:pPr>
        <w:keepNext w:val="0"/>
        <w:keepLines w:val="0"/>
        <w:pageBreakBefore w:val="0"/>
        <w:widowControl/>
        <w:numPr>
          <w:ilvl w:val="0"/>
          <w:numId w:val="0"/>
        </w:numPr>
        <w:shd w:val="clear"/>
        <w:tabs>
          <w:tab w:val="left" w:pos="504"/>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color w:val="auto"/>
          <w:sz w:val="24"/>
          <w:szCs w:val="24"/>
          <w:highlight w:val="none"/>
          <w:shd w:val="clear" w:color="auto" w:fill="auto"/>
          <w:lang w:val="en-US" w:eastAsia="zh-CN"/>
        </w:rPr>
      </w:pPr>
      <w:r>
        <w:rPr>
          <w:rFonts w:hint="default" w:ascii="宋体" w:hAnsi="宋体" w:eastAsia="宋体" w:cs="宋体"/>
          <w:snapToGrid/>
          <w:color w:val="auto"/>
          <w:kern w:val="2"/>
          <w:sz w:val="24"/>
          <w:szCs w:val="24"/>
          <w:highlight w:val="none"/>
          <w:lang w:val="en-US" w:eastAsia="zh-CN" w:bidi="ar-SA"/>
        </w:rPr>
        <w:t>④因特殊情况，乙方不能达到考核项要求的，应在考核前7天书面告知</w:t>
      </w:r>
      <w:r>
        <w:rPr>
          <w:rFonts w:hint="eastAsia" w:ascii="宋体" w:hAnsi="宋体" w:eastAsia="宋体" w:cs="宋体"/>
          <w:snapToGrid/>
          <w:color w:val="auto"/>
          <w:kern w:val="2"/>
          <w:sz w:val="24"/>
          <w:szCs w:val="24"/>
          <w:highlight w:val="none"/>
          <w:lang w:val="en-US" w:eastAsia="zh-CN" w:bidi="ar-SA"/>
        </w:rPr>
        <w:t>甲方</w:t>
      </w:r>
      <w:r>
        <w:rPr>
          <w:rFonts w:hint="default" w:ascii="宋体" w:hAnsi="宋体" w:eastAsia="宋体" w:cs="宋体"/>
          <w:snapToGrid/>
          <w:color w:val="auto"/>
          <w:kern w:val="2"/>
          <w:sz w:val="24"/>
          <w:szCs w:val="24"/>
          <w:highlight w:val="none"/>
          <w:lang w:val="en-US" w:eastAsia="zh-CN" w:bidi="ar-SA"/>
        </w:rPr>
        <w:t>，经甲方管理部门同意后，可免除对应项的考核扣分。</w:t>
      </w:r>
    </w:p>
    <w:p w14:paraId="1BFC763E">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lang w:val="en-US" w:eastAsia="zh-CN"/>
        </w:rPr>
        <w:t>十、</w:t>
      </w:r>
      <w:r>
        <w:rPr>
          <w:rFonts w:hint="eastAsia" w:ascii="宋体" w:hAnsi="宋体" w:eastAsia="宋体" w:cs="宋体"/>
          <w:b/>
          <w:color w:val="auto"/>
          <w:sz w:val="24"/>
          <w:szCs w:val="24"/>
          <w:highlight w:val="none"/>
          <w:shd w:val="clear" w:color="auto" w:fill="auto"/>
        </w:rPr>
        <w:t>知识产权归属</w:t>
      </w:r>
    </w:p>
    <w:p w14:paraId="30E22DC6">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rPr>
        <w:t>乙方必须保证甲方在中华人民共和国境内使用</w:t>
      </w:r>
      <w:r>
        <w:rPr>
          <w:rFonts w:hint="eastAsia" w:ascii="宋体" w:hAnsi="宋体" w:cs="宋体"/>
          <w:b w:val="0"/>
          <w:bCs/>
          <w:color w:val="auto"/>
          <w:sz w:val="24"/>
          <w:szCs w:val="24"/>
          <w:highlight w:val="none"/>
          <w:shd w:val="clear" w:color="auto" w:fill="auto"/>
          <w:lang w:val="en-US" w:eastAsia="zh-CN"/>
        </w:rPr>
        <w:t>响应</w:t>
      </w:r>
      <w:r>
        <w:rPr>
          <w:rFonts w:hint="eastAsia" w:ascii="宋体" w:hAnsi="宋体" w:eastAsia="宋体" w:cs="宋体"/>
          <w:b w:val="0"/>
          <w:bCs/>
          <w:color w:val="auto"/>
          <w:sz w:val="24"/>
          <w:szCs w:val="24"/>
          <w:highlight w:val="none"/>
          <w:shd w:val="clear" w:color="auto" w:fill="auto"/>
        </w:rPr>
        <w:t>文件资料、服务或其任何一部分时，享有不受限制的无偿使用权，不会产生因第三方提出侵犯其专利权、商标权或其它知识产权而引起的法律或经济纠纷。否则乙方需全额赔偿由此造成的甲方经济损失，且乙方应立即全额退还已收取的甲方费用。</w:t>
      </w:r>
    </w:p>
    <w:p w14:paraId="75C323DB">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lang w:val="en-US" w:eastAsia="zh-CN"/>
        </w:rPr>
        <w:t>十一、</w:t>
      </w:r>
      <w:r>
        <w:rPr>
          <w:rFonts w:hint="eastAsia" w:ascii="宋体" w:hAnsi="宋体" w:eastAsia="宋体" w:cs="宋体"/>
          <w:b/>
          <w:color w:val="auto"/>
          <w:sz w:val="24"/>
          <w:szCs w:val="24"/>
          <w:highlight w:val="none"/>
          <w:shd w:val="clear" w:color="auto" w:fill="auto"/>
        </w:rPr>
        <w:t>保密条款</w:t>
      </w:r>
    </w:p>
    <w:p w14:paraId="05BE6B2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rPr>
        <w:t>乙方在实施食品食材供货期间，不得将供货的实际数量及供货地点泄露给其他企业或者个人，乙方必须指派相对固定的人员完成食品食材配送服务，并需将配送人员的详细资料报</w:t>
      </w:r>
      <w:r>
        <w:rPr>
          <w:rFonts w:hint="eastAsia" w:ascii="宋体" w:hAnsi="宋体" w:eastAsia="宋体" w:cs="宋体"/>
          <w:b w:val="0"/>
          <w:bCs/>
          <w:color w:val="auto"/>
          <w:sz w:val="24"/>
          <w:szCs w:val="24"/>
          <w:highlight w:val="none"/>
          <w:shd w:val="clear" w:color="auto" w:fill="auto"/>
          <w:lang w:val="en-US" w:eastAsia="zh-CN"/>
        </w:rPr>
        <w:t>甲方</w:t>
      </w:r>
      <w:r>
        <w:rPr>
          <w:rFonts w:hint="eastAsia" w:ascii="宋体" w:hAnsi="宋体" w:eastAsia="宋体" w:cs="宋体"/>
          <w:b w:val="0"/>
          <w:bCs/>
          <w:color w:val="auto"/>
          <w:sz w:val="24"/>
          <w:szCs w:val="24"/>
          <w:highlight w:val="none"/>
          <w:shd w:val="clear" w:color="auto" w:fill="auto"/>
        </w:rPr>
        <w:t>备案，配送人员必须遵纪守法、品行良好，无违法犯罪记录。如需要更换配送人员必须事先通知</w:t>
      </w:r>
      <w:r>
        <w:rPr>
          <w:rFonts w:hint="eastAsia" w:ascii="宋体" w:hAnsi="宋体" w:eastAsia="宋体" w:cs="宋体"/>
          <w:b w:val="0"/>
          <w:bCs/>
          <w:color w:val="auto"/>
          <w:sz w:val="24"/>
          <w:szCs w:val="24"/>
          <w:highlight w:val="none"/>
          <w:shd w:val="clear" w:color="auto" w:fill="auto"/>
          <w:lang w:val="en-US" w:eastAsia="zh-CN"/>
        </w:rPr>
        <w:t>甲方</w:t>
      </w:r>
      <w:r>
        <w:rPr>
          <w:rFonts w:hint="eastAsia" w:ascii="宋体" w:hAnsi="宋体" w:eastAsia="宋体" w:cs="宋体"/>
          <w:b w:val="0"/>
          <w:bCs/>
          <w:color w:val="auto"/>
          <w:sz w:val="24"/>
          <w:szCs w:val="24"/>
          <w:highlight w:val="none"/>
          <w:shd w:val="clear" w:color="auto" w:fill="auto"/>
        </w:rPr>
        <w:t>并将其个人资料送</w:t>
      </w:r>
      <w:r>
        <w:rPr>
          <w:rFonts w:hint="eastAsia" w:ascii="宋体" w:hAnsi="宋体" w:eastAsia="宋体" w:cs="宋体"/>
          <w:b w:val="0"/>
          <w:bCs/>
          <w:color w:val="auto"/>
          <w:sz w:val="24"/>
          <w:szCs w:val="24"/>
          <w:highlight w:val="none"/>
          <w:shd w:val="clear" w:color="auto" w:fill="auto"/>
          <w:lang w:val="en-US" w:eastAsia="zh-CN"/>
        </w:rPr>
        <w:t>甲方</w:t>
      </w:r>
      <w:r>
        <w:rPr>
          <w:rFonts w:hint="eastAsia" w:ascii="宋体" w:hAnsi="宋体" w:eastAsia="宋体" w:cs="宋体"/>
          <w:b w:val="0"/>
          <w:bCs/>
          <w:color w:val="auto"/>
          <w:sz w:val="24"/>
          <w:szCs w:val="24"/>
          <w:highlight w:val="none"/>
          <w:shd w:val="clear" w:color="auto" w:fill="auto"/>
        </w:rPr>
        <w:t>审批，审批合格者才能更换。</w:t>
      </w:r>
    </w:p>
    <w:p w14:paraId="66B59A96">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default" w:ascii="宋体" w:hAnsi="宋体" w:eastAsia="宋体" w:cs="宋体"/>
          <w:b/>
          <w:color w:val="auto"/>
          <w:sz w:val="24"/>
          <w:szCs w:val="24"/>
          <w:highlight w:val="none"/>
          <w:shd w:val="clear" w:color="auto" w:fill="auto"/>
          <w:lang w:val="en-US" w:eastAsia="zh-CN"/>
        </w:rPr>
      </w:pPr>
      <w:r>
        <w:rPr>
          <w:rFonts w:hint="eastAsia" w:ascii="宋体" w:hAnsi="宋体" w:eastAsia="宋体" w:cs="宋体"/>
          <w:b/>
          <w:color w:val="auto"/>
          <w:sz w:val="24"/>
          <w:szCs w:val="24"/>
          <w:highlight w:val="none"/>
          <w:shd w:val="clear" w:color="auto" w:fill="auto"/>
          <w:lang w:val="en-US" w:eastAsia="zh-CN"/>
        </w:rPr>
        <w:t>十二、售后服务要求</w:t>
      </w:r>
    </w:p>
    <w:p w14:paraId="4E8D998A">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lang w:val="en-US" w:eastAsia="zh-CN"/>
        </w:rPr>
      </w:pPr>
      <w:r>
        <w:rPr>
          <w:rFonts w:hint="eastAsia" w:ascii="宋体" w:hAnsi="宋体" w:eastAsia="宋体" w:cs="宋体"/>
          <w:b w:val="0"/>
          <w:bCs/>
          <w:color w:val="auto"/>
          <w:sz w:val="24"/>
          <w:szCs w:val="24"/>
          <w:highlight w:val="none"/>
          <w:shd w:val="clear" w:color="auto" w:fill="auto"/>
          <w:lang w:val="en-US" w:eastAsia="zh-CN"/>
        </w:rPr>
        <w:t>非甲方人为原因而出现的产品质量问题，由乙方负责包换或包退，并承担因此而产生的一切费用，由于乙方所供货物质量原因（以有资质的质检部门出具的质检报告为准），造成甲方用餐人员发生食品安全事故的，乙方须承担所有相关的经济赔偿及法律责任。</w:t>
      </w:r>
    </w:p>
    <w:p w14:paraId="6D48CE5C">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lang w:val="en-US" w:eastAsia="zh-CN"/>
        </w:rPr>
        <w:t>十三</w:t>
      </w:r>
      <w:r>
        <w:rPr>
          <w:rFonts w:hint="eastAsia" w:ascii="宋体" w:hAnsi="宋体" w:eastAsia="宋体" w:cs="宋体"/>
          <w:b/>
          <w:color w:val="auto"/>
          <w:sz w:val="24"/>
          <w:szCs w:val="24"/>
          <w:highlight w:val="none"/>
          <w:shd w:val="clear" w:color="auto" w:fill="auto"/>
        </w:rPr>
        <w:t>、违约责任与赔偿损失</w:t>
      </w:r>
    </w:p>
    <w:p w14:paraId="4B776C99">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1.乙方提供的服务不符合</w:t>
      </w:r>
      <w:r>
        <w:rPr>
          <w:rFonts w:hint="eastAsia" w:ascii="宋体" w:hAnsi="宋体" w:eastAsia="宋体" w:cs="宋体"/>
          <w:color w:val="auto"/>
          <w:sz w:val="24"/>
          <w:szCs w:val="24"/>
          <w:highlight w:val="none"/>
          <w:shd w:val="clear" w:color="auto" w:fill="auto"/>
          <w:lang w:val="en-US" w:eastAsia="zh-CN"/>
        </w:rPr>
        <w:t>磋商</w:t>
      </w:r>
      <w:r>
        <w:rPr>
          <w:rFonts w:hint="eastAsia" w:ascii="宋体" w:hAnsi="宋体" w:eastAsia="宋体" w:cs="宋体"/>
          <w:color w:val="auto"/>
          <w:sz w:val="24"/>
          <w:szCs w:val="24"/>
          <w:highlight w:val="none"/>
          <w:shd w:val="clear" w:color="auto" w:fill="auto"/>
        </w:rPr>
        <w:t>文件、</w:t>
      </w:r>
      <w:r>
        <w:rPr>
          <w:rFonts w:hint="eastAsia" w:ascii="宋体" w:hAnsi="宋体" w:eastAsia="宋体" w:cs="宋体"/>
          <w:color w:val="auto"/>
          <w:sz w:val="24"/>
          <w:szCs w:val="24"/>
          <w:highlight w:val="none"/>
          <w:shd w:val="clear" w:color="auto" w:fill="auto"/>
          <w:lang w:val="en-US" w:eastAsia="zh-CN"/>
        </w:rPr>
        <w:t>响应</w:t>
      </w:r>
      <w:r>
        <w:rPr>
          <w:rFonts w:hint="eastAsia" w:ascii="宋体" w:hAnsi="宋体" w:eastAsia="宋体" w:cs="宋体"/>
          <w:color w:val="auto"/>
          <w:sz w:val="24"/>
          <w:szCs w:val="24"/>
          <w:highlight w:val="none"/>
          <w:shd w:val="clear" w:color="auto" w:fill="auto"/>
        </w:rPr>
        <w:t>文件或本合同规定的，甲方有权拒收，并且乙方须向甲方支付本合同总价5%的违约金。</w:t>
      </w:r>
    </w:p>
    <w:p w14:paraId="2205B196">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2.乙方未能按本合同规定的交货时间提供服务，从逾期之日起每日按本合同总价</w:t>
      </w:r>
      <w:r>
        <w:rPr>
          <w:rFonts w:hint="eastAsia" w:ascii="宋体" w:hAnsi="宋体" w:eastAsia="宋体" w:cs="宋体"/>
          <w:color w:val="auto"/>
          <w:sz w:val="24"/>
          <w:szCs w:val="24"/>
          <w:highlight w:val="none"/>
          <w:shd w:val="clear" w:color="auto" w:fill="auto"/>
          <w:lang w:val="en-US" w:eastAsia="zh-CN"/>
        </w:rPr>
        <w:t>0.5</w:t>
      </w:r>
      <w:r>
        <w:rPr>
          <w:rFonts w:hint="eastAsia" w:ascii="宋体" w:hAnsi="宋体" w:eastAsia="宋体" w:cs="宋体"/>
          <w:color w:val="auto"/>
          <w:sz w:val="24"/>
          <w:szCs w:val="24"/>
          <w:highlight w:val="none"/>
          <w:shd w:val="clear" w:color="auto" w:fill="auto"/>
        </w:rPr>
        <w:t>‰的数额向甲方支付违约金；逾期15 个自然日以上的，甲方有权终止合同，由此造成的甲方经济损失由乙方承担。</w:t>
      </w:r>
    </w:p>
    <w:p w14:paraId="54ED83F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3</w:t>
      </w:r>
      <w:r>
        <w:rPr>
          <w:rFonts w:hint="eastAsia" w:ascii="宋体" w:hAnsi="宋体" w:eastAsia="宋体" w:cs="宋体"/>
          <w:color w:val="auto"/>
          <w:sz w:val="24"/>
          <w:szCs w:val="24"/>
          <w:highlight w:val="none"/>
          <w:shd w:val="clear" w:color="auto" w:fill="auto"/>
        </w:rPr>
        <w:t>.其它违约责任按《中华人民共和国民法典</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合同编</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》处理。</w:t>
      </w:r>
    </w:p>
    <w:p w14:paraId="21EB0762">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lang w:val="en-US" w:eastAsia="zh-CN"/>
        </w:rPr>
        <w:t>十四</w:t>
      </w:r>
      <w:r>
        <w:rPr>
          <w:rFonts w:hint="eastAsia" w:ascii="宋体" w:hAnsi="宋体" w:eastAsia="宋体" w:cs="宋体"/>
          <w:b/>
          <w:color w:val="auto"/>
          <w:sz w:val="24"/>
          <w:szCs w:val="24"/>
          <w:highlight w:val="none"/>
          <w:shd w:val="clear" w:color="auto" w:fill="auto"/>
        </w:rPr>
        <w:t>、争端的解决</w:t>
      </w:r>
    </w:p>
    <w:p w14:paraId="5B967FC8">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合同执行过程中发生的任何争议，如双方不能通过友好协商解决，则向甲方所在地有管辖权的人民法院提起诉讼。败诉方（或违约方）应承担相对方因解决争议而产生的费用（包括但不限于诉讼费、保全费、财产保全保险费、公证费、鉴定费、差旅费、律师费等费用）。     </w:t>
      </w:r>
    </w:p>
    <w:p w14:paraId="1680E62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十</w:t>
      </w:r>
      <w:r>
        <w:rPr>
          <w:rFonts w:hint="eastAsia" w:ascii="宋体" w:hAnsi="宋体" w:eastAsia="宋体" w:cs="宋体"/>
          <w:b/>
          <w:color w:val="auto"/>
          <w:sz w:val="24"/>
          <w:szCs w:val="24"/>
          <w:highlight w:val="none"/>
          <w:shd w:val="clear" w:color="auto" w:fill="auto"/>
          <w:lang w:val="en-US" w:eastAsia="zh-CN"/>
        </w:rPr>
        <w:t>五</w:t>
      </w:r>
      <w:r>
        <w:rPr>
          <w:rFonts w:hint="eastAsia" w:ascii="宋体" w:hAnsi="宋体" w:eastAsia="宋体" w:cs="宋体"/>
          <w:b/>
          <w:color w:val="auto"/>
          <w:sz w:val="24"/>
          <w:szCs w:val="24"/>
          <w:highlight w:val="none"/>
          <w:shd w:val="clear" w:color="auto" w:fill="auto"/>
        </w:rPr>
        <w:t>、不可抗力</w:t>
      </w:r>
    </w:p>
    <w:p w14:paraId="0DB5BF82">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13CFF934">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十</w:t>
      </w:r>
      <w:r>
        <w:rPr>
          <w:rFonts w:hint="eastAsia" w:ascii="宋体" w:hAnsi="宋体" w:eastAsia="宋体" w:cs="宋体"/>
          <w:b/>
          <w:color w:val="auto"/>
          <w:sz w:val="24"/>
          <w:szCs w:val="24"/>
          <w:highlight w:val="none"/>
          <w:shd w:val="clear" w:color="auto" w:fill="auto"/>
          <w:lang w:val="en-US" w:eastAsia="zh-CN"/>
        </w:rPr>
        <w:t>六</w:t>
      </w:r>
      <w:r>
        <w:rPr>
          <w:rFonts w:hint="eastAsia" w:ascii="宋体" w:hAnsi="宋体" w:eastAsia="宋体" w:cs="宋体"/>
          <w:b/>
          <w:color w:val="auto"/>
          <w:sz w:val="24"/>
          <w:szCs w:val="24"/>
          <w:highlight w:val="none"/>
          <w:shd w:val="clear" w:color="auto" w:fill="auto"/>
        </w:rPr>
        <w:t>、税费</w:t>
      </w:r>
    </w:p>
    <w:p w14:paraId="26C51334">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在中国境内、外发生的与本合同执行有关的一切税费均由乙方负担。</w:t>
      </w:r>
    </w:p>
    <w:p w14:paraId="02EAC263">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0" w:firstLineChars="0"/>
        <w:jc w:val="left"/>
        <w:textAlignment w:val="baseline"/>
        <w:rPr>
          <w:rFonts w:hint="eastAsia" w:ascii="宋体" w:hAnsi="宋体" w:eastAsia="宋体" w:cs="宋体"/>
          <w:b/>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十</w:t>
      </w:r>
      <w:r>
        <w:rPr>
          <w:rFonts w:hint="eastAsia" w:ascii="宋体" w:hAnsi="宋体" w:eastAsia="宋体" w:cs="宋体"/>
          <w:b/>
          <w:color w:val="auto"/>
          <w:sz w:val="24"/>
          <w:szCs w:val="24"/>
          <w:highlight w:val="none"/>
          <w:shd w:val="clear" w:color="auto" w:fill="auto"/>
          <w:lang w:val="en-US" w:eastAsia="zh-CN"/>
        </w:rPr>
        <w:t>七</w:t>
      </w:r>
      <w:r>
        <w:rPr>
          <w:rFonts w:hint="eastAsia" w:ascii="宋体" w:hAnsi="宋体" w:eastAsia="宋体" w:cs="宋体"/>
          <w:b/>
          <w:color w:val="auto"/>
          <w:sz w:val="24"/>
          <w:szCs w:val="24"/>
          <w:highlight w:val="none"/>
          <w:shd w:val="clear" w:color="auto" w:fill="auto"/>
        </w:rPr>
        <w:t>、其它</w:t>
      </w:r>
    </w:p>
    <w:p w14:paraId="21B2BBAB">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1.本合同所有附件、</w:t>
      </w:r>
      <w:r>
        <w:rPr>
          <w:rFonts w:hint="eastAsia" w:ascii="宋体" w:hAnsi="宋体" w:eastAsia="宋体" w:cs="宋体"/>
          <w:color w:val="auto"/>
          <w:sz w:val="24"/>
          <w:szCs w:val="24"/>
          <w:highlight w:val="none"/>
          <w:shd w:val="clear" w:color="auto" w:fill="auto"/>
          <w:lang w:val="en-US" w:eastAsia="zh-CN"/>
        </w:rPr>
        <w:t>磋商</w:t>
      </w:r>
      <w:r>
        <w:rPr>
          <w:rFonts w:hint="eastAsia" w:ascii="宋体" w:hAnsi="宋体" w:eastAsia="宋体" w:cs="宋体"/>
          <w:color w:val="auto"/>
          <w:sz w:val="24"/>
          <w:szCs w:val="24"/>
          <w:highlight w:val="none"/>
          <w:shd w:val="clear" w:color="auto" w:fill="auto"/>
        </w:rPr>
        <w:t>文件、</w:t>
      </w:r>
      <w:r>
        <w:rPr>
          <w:rFonts w:hint="eastAsia" w:ascii="宋体" w:hAnsi="宋体" w:eastAsia="宋体" w:cs="宋体"/>
          <w:color w:val="auto"/>
          <w:sz w:val="24"/>
          <w:szCs w:val="24"/>
          <w:highlight w:val="none"/>
          <w:shd w:val="clear" w:color="auto" w:fill="auto"/>
          <w:lang w:val="en-US" w:eastAsia="zh-CN"/>
        </w:rPr>
        <w:t>响应</w:t>
      </w:r>
      <w:r>
        <w:rPr>
          <w:rFonts w:hint="eastAsia" w:ascii="宋体" w:hAnsi="宋体" w:eastAsia="宋体" w:cs="宋体"/>
          <w:color w:val="auto"/>
          <w:sz w:val="24"/>
          <w:szCs w:val="24"/>
          <w:highlight w:val="none"/>
          <w:shd w:val="clear" w:color="auto" w:fill="auto"/>
        </w:rPr>
        <w:t>文件、中标</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成交</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通知书均为合同的有效组成部分，与本合同具有同等法律效力。</w:t>
      </w:r>
    </w:p>
    <w:p w14:paraId="6F424B73">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2.在执行本合同的过程中，所有经双方签署确认的文件（包括会议纪要、补充协议、往来信函）即成为本合同的有效组成部分。</w:t>
      </w:r>
    </w:p>
    <w:p w14:paraId="5F55075F">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3.如一方地址、电话、传真号码有变更，应在变更当日内书面通知对方，否则，应承担相应责任。</w:t>
      </w:r>
    </w:p>
    <w:p w14:paraId="7D98FFA1">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4.除甲方事先书面同意外，乙方不得部分或全部转让其应履行的合同项下的义务。</w:t>
      </w:r>
    </w:p>
    <w:p w14:paraId="1C845B87">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rPr>
        <w:t>5.本合同正本一式</w:t>
      </w:r>
      <w:r>
        <w:rPr>
          <w:rFonts w:hint="eastAsia" w:ascii="宋体" w:hAnsi="宋体" w:eastAsia="宋体" w:cs="宋体"/>
          <w:b w:val="0"/>
          <w:bCs/>
          <w:color w:val="auto"/>
          <w:sz w:val="24"/>
          <w:szCs w:val="24"/>
          <w:highlight w:val="none"/>
          <w:u w:val="single"/>
          <w:shd w:val="clear" w:color="auto" w:fill="auto"/>
          <w:lang w:val="en-US" w:eastAsia="zh-CN"/>
        </w:rPr>
        <w:t xml:space="preserve"> 肆 </w:t>
      </w:r>
      <w:r>
        <w:rPr>
          <w:rFonts w:hint="eastAsia" w:ascii="宋体" w:hAnsi="宋体" w:eastAsia="宋体" w:cs="宋体"/>
          <w:b w:val="0"/>
          <w:bCs/>
          <w:color w:val="auto"/>
          <w:sz w:val="24"/>
          <w:szCs w:val="24"/>
          <w:highlight w:val="none"/>
          <w:shd w:val="clear" w:color="auto" w:fill="auto"/>
        </w:rPr>
        <w:t>份，具有同等法律效力，甲、乙双方各执</w:t>
      </w:r>
      <w:r>
        <w:rPr>
          <w:rFonts w:hint="eastAsia" w:ascii="宋体" w:hAnsi="宋体" w:eastAsia="宋体" w:cs="宋体"/>
          <w:b w:val="0"/>
          <w:bCs/>
          <w:color w:val="auto"/>
          <w:sz w:val="24"/>
          <w:szCs w:val="24"/>
          <w:highlight w:val="none"/>
          <w:u w:val="single"/>
          <w:shd w:val="clear" w:color="auto" w:fill="auto"/>
          <w:lang w:val="en-US" w:eastAsia="zh-CN"/>
        </w:rPr>
        <w:t xml:space="preserve"> 贰 </w:t>
      </w:r>
      <w:r>
        <w:rPr>
          <w:rFonts w:hint="eastAsia" w:ascii="宋体" w:hAnsi="宋体" w:eastAsia="宋体" w:cs="宋体"/>
          <w:b w:val="0"/>
          <w:bCs/>
          <w:color w:val="auto"/>
          <w:sz w:val="24"/>
          <w:szCs w:val="24"/>
          <w:highlight w:val="none"/>
          <w:shd w:val="clear" w:color="auto" w:fill="auto"/>
        </w:rPr>
        <w:t>份。合同自甲乙双方盖章及法定代表人或授权代表人签字后生效。</w:t>
      </w:r>
    </w:p>
    <w:p w14:paraId="6F768DAC">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rPr>
        <w:t>6.本合同未尽事宜，由双方协商处理。</w:t>
      </w:r>
    </w:p>
    <w:p w14:paraId="58C13886">
      <w:pPr>
        <w:keepNext w:val="0"/>
        <w:keepLines w:val="0"/>
        <w:pageBreakBefore w:val="0"/>
        <w:widowControl/>
        <w:shd w:val="clear" w:color="auto"/>
        <w:kinsoku w:val="0"/>
        <w:wordWrap/>
        <w:overflowPunct/>
        <w:topLinePunct w:val="0"/>
        <w:autoSpaceDE w:val="0"/>
        <w:autoSpaceDN w:val="0"/>
        <w:bidi w:val="0"/>
        <w:adjustRightInd w:val="0"/>
        <w:snapToGrid/>
        <w:spacing w:line="360" w:lineRule="auto"/>
        <w:ind w:firstLine="480" w:firstLineChars="200"/>
        <w:jc w:val="left"/>
        <w:textAlignment w:val="baseline"/>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rPr>
        <w:t>（以下无正文）</w:t>
      </w:r>
    </w:p>
    <w:p w14:paraId="467C2C4B">
      <w:pPr>
        <w:shd w:val="clear"/>
        <w:bidi w:val="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 xml:space="preserve"> </w:t>
      </w:r>
    </w:p>
    <w:p w14:paraId="08DBB5A5">
      <w:pPr>
        <w:shd w:val="clear"/>
        <w:bidi w:val="0"/>
        <w:rPr>
          <w:rFonts w:hint="eastAsia" w:ascii="宋体" w:hAnsi="宋体" w:eastAsia="宋体" w:cs="宋体"/>
          <w:color w:val="auto"/>
          <w:highlight w:val="none"/>
          <w:shd w:val="clear" w:color="auto" w:fill="auto"/>
        </w:rPr>
      </w:pPr>
    </w:p>
    <w:p w14:paraId="628280D9">
      <w:pPr>
        <w:keepNext w:val="0"/>
        <w:keepLines w:val="0"/>
        <w:pageBreakBefore w:val="0"/>
        <w:shd w:val="clear" w:color="auto"/>
        <w:wordWrap/>
        <w:overflowPunct/>
        <w:topLinePunct w:val="0"/>
        <w:bidi w:val="0"/>
        <w:snapToGrid w:val="0"/>
        <w:spacing w:line="360" w:lineRule="auto"/>
        <w:ind w:firstLine="0" w:firstLineChars="0"/>
        <w:jc w:val="both"/>
        <w:rPr>
          <w:rFonts w:hint="default" w:ascii="宋体" w:hAnsi="宋体" w:eastAsia="宋体" w:cs="宋体"/>
          <w:b/>
          <w:color w:val="auto"/>
          <w:sz w:val="24"/>
          <w:szCs w:val="24"/>
          <w:highlight w:val="none"/>
          <w:shd w:val="clear" w:color="auto" w:fill="auto"/>
          <w:lang w:val="en-US" w:eastAsia="zh-CN"/>
        </w:rPr>
      </w:pPr>
      <w:r>
        <w:rPr>
          <w:rFonts w:hint="eastAsia" w:ascii="宋体" w:hAnsi="宋体" w:eastAsia="宋体" w:cs="宋体"/>
          <w:b/>
          <w:color w:val="auto"/>
          <w:sz w:val="24"/>
          <w:szCs w:val="24"/>
          <w:highlight w:val="none"/>
          <w:shd w:val="clear" w:color="auto" w:fill="auto"/>
        </w:rPr>
        <w:t>甲方（盖章）：</w:t>
      </w:r>
      <w:r>
        <w:rPr>
          <w:rFonts w:hint="eastAsia" w:ascii="宋体" w:hAnsi="宋体" w:eastAsia="宋体" w:cs="宋体"/>
          <w:b/>
          <w:color w:val="auto"/>
          <w:sz w:val="24"/>
          <w:szCs w:val="24"/>
          <w:highlight w:val="none"/>
          <w:shd w:val="clear" w:color="auto" w:fill="auto"/>
          <w:lang w:val="en-US" w:eastAsia="zh-CN"/>
        </w:rPr>
        <w:t xml:space="preserve">                      </w:t>
      </w:r>
      <w:r>
        <w:rPr>
          <w:rFonts w:hint="eastAsia" w:ascii="宋体" w:hAnsi="宋体" w:eastAsia="宋体" w:cs="宋体"/>
          <w:b/>
          <w:color w:val="auto"/>
          <w:sz w:val="24"/>
          <w:szCs w:val="24"/>
          <w:highlight w:val="none"/>
          <w:shd w:val="clear" w:color="auto" w:fill="auto"/>
        </w:rPr>
        <w:t>乙方（盖章）：</w:t>
      </w:r>
    </w:p>
    <w:p w14:paraId="40628450">
      <w:pPr>
        <w:keepNext w:val="0"/>
        <w:keepLines w:val="0"/>
        <w:pageBreakBefore w:val="0"/>
        <w:shd w:val="clear" w:color="auto"/>
        <w:wordWrap/>
        <w:overflowPunct/>
        <w:topLinePunct w:val="0"/>
        <w:bidi w:val="0"/>
        <w:snapToGrid w:val="0"/>
        <w:spacing w:line="360" w:lineRule="auto"/>
        <w:ind w:firstLine="0" w:firstLineChars="0"/>
        <w:jc w:val="both"/>
        <w:rPr>
          <w:rFonts w:hint="eastAsia" w:ascii="宋体" w:hAnsi="宋体" w:eastAsia="宋体" w:cs="宋体"/>
          <w:b/>
          <w:color w:val="auto"/>
          <w:sz w:val="24"/>
          <w:szCs w:val="24"/>
          <w:highlight w:val="none"/>
          <w:shd w:val="clear" w:color="auto" w:fill="auto"/>
          <w:lang w:eastAsia="zh-CN"/>
        </w:rPr>
      </w:pPr>
      <w:r>
        <w:rPr>
          <w:rFonts w:hint="eastAsia" w:ascii="宋体" w:hAnsi="宋体" w:eastAsia="宋体" w:cs="宋体"/>
          <w:b/>
          <w:color w:val="auto"/>
          <w:sz w:val="24"/>
          <w:szCs w:val="24"/>
          <w:highlight w:val="none"/>
          <w:shd w:val="clear" w:color="auto" w:fill="auto"/>
        </w:rPr>
        <w:t xml:space="preserve">中华人民共和国阳江海关     </w:t>
      </w:r>
      <w:r>
        <w:rPr>
          <w:rFonts w:hint="eastAsia" w:ascii="宋体" w:hAnsi="宋体" w:eastAsia="宋体" w:cs="宋体"/>
          <w:b/>
          <w:color w:val="auto"/>
          <w:sz w:val="24"/>
          <w:szCs w:val="24"/>
          <w:highlight w:val="none"/>
          <w:shd w:val="clear" w:color="auto" w:fill="auto"/>
          <w:lang w:val="en-US" w:eastAsia="zh-CN"/>
        </w:rPr>
        <w:t xml:space="preserve">         </w:t>
      </w:r>
    </w:p>
    <w:p w14:paraId="542F7049">
      <w:pPr>
        <w:keepNext w:val="0"/>
        <w:keepLines w:val="0"/>
        <w:pageBreakBefore w:val="0"/>
        <w:shd w:val="clear" w:color="auto"/>
        <w:wordWrap/>
        <w:overflowPunct/>
        <w:topLinePunct w:val="0"/>
        <w:bidi w:val="0"/>
        <w:snapToGrid w:val="0"/>
        <w:spacing w:line="360" w:lineRule="auto"/>
        <w:ind w:firstLine="0" w:firstLineChars="0"/>
        <w:jc w:val="both"/>
        <w:rPr>
          <w:rFonts w:hint="eastAsia" w:ascii="宋体" w:hAnsi="宋体" w:eastAsia="宋体" w:cs="宋体"/>
          <w:b/>
          <w:color w:val="auto"/>
          <w:sz w:val="24"/>
          <w:szCs w:val="24"/>
          <w:highlight w:val="none"/>
          <w:shd w:val="clear" w:color="auto" w:fill="auto"/>
        </w:rPr>
      </w:pPr>
    </w:p>
    <w:p w14:paraId="463698CF">
      <w:pPr>
        <w:keepNext w:val="0"/>
        <w:keepLines w:val="0"/>
        <w:pageBreakBefore w:val="0"/>
        <w:shd w:val="clear" w:color="auto"/>
        <w:wordWrap/>
        <w:overflowPunct/>
        <w:topLinePunct w:val="0"/>
        <w:bidi w:val="0"/>
        <w:snapToGrid w:val="0"/>
        <w:spacing w:line="360" w:lineRule="auto"/>
        <w:ind w:firstLine="0" w:firstLineChars="0"/>
        <w:jc w:val="both"/>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代表：                              代表：</w:t>
      </w:r>
    </w:p>
    <w:p w14:paraId="74F9EA7A">
      <w:pPr>
        <w:keepNext w:val="0"/>
        <w:keepLines w:val="0"/>
        <w:pageBreakBefore w:val="0"/>
        <w:widowControl w:val="0"/>
        <w:shd w:val="clear"/>
        <w:kinsoku/>
        <w:wordWrap/>
        <w:overflowPunct/>
        <w:topLinePunct w:val="0"/>
        <w:autoSpaceDE/>
        <w:autoSpaceDN/>
        <w:bidi w:val="0"/>
        <w:adjustRightInd/>
        <w:snapToGrid w:val="0"/>
        <w:spacing w:line="360" w:lineRule="auto"/>
        <w:ind w:firstLine="0" w:firstLineChars="0"/>
        <w:jc w:val="both"/>
        <w:textAlignment w:val="auto"/>
        <w:outlineLvl w:val="9"/>
        <w:rPr>
          <w:rFonts w:hint="eastAsia" w:ascii="宋体" w:hAnsi="宋体" w:eastAsia="宋体" w:cs="宋体"/>
          <w:color w:val="auto"/>
          <w:sz w:val="24"/>
          <w:szCs w:val="24"/>
          <w:highlight w:val="none"/>
          <w:shd w:val="clear" w:color="auto" w:fill="auto"/>
        </w:rPr>
      </w:pPr>
    </w:p>
    <w:p w14:paraId="29B2B5AD">
      <w:pPr>
        <w:keepNext w:val="0"/>
        <w:keepLines w:val="0"/>
        <w:pageBreakBefore w:val="0"/>
        <w:widowControl w:val="0"/>
        <w:shd w:val="clear"/>
        <w:kinsoku/>
        <w:wordWrap/>
        <w:overflowPunct/>
        <w:topLinePunct w:val="0"/>
        <w:autoSpaceDE/>
        <w:autoSpaceDN/>
        <w:bidi w:val="0"/>
        <w:adjustRightInd/>
        <w:snapToGrid w:val="0"/>
        <w:spacing w:line="360" w:lineRule="auto"/>
        <w:ind w:firstLine="0" w:firstLineChars="0"/>
        <w:jc w:val="both"/>
        <w:textAlignment w:val="auto"/>
        <w:outlineLvl w:val="9"/>
        <w:rPr>
          <w:rFonts w:hint="eastAsia" w:ascii="宋体" w:hAnsi="宋体" w:eastAsia="宋体" w:cs="宋体"/>
          <w:color w:val="auto"/>
          <w:sz w:val="24"/>
          <w:szCs w:val="24"/>
          <w:highlight w:val="none"/>
          <w:shd w:val="clear" w:color="auto" w:fill="auto"/>
        </w:rPr>
      </w:pPr>
    </w:p>
    <w:p w14:paraId="6C5A4543">
      <w:pPr>
        <w:keepNext w:val="0"/>
        <w:keepLines w:val="0"/>
        <w:pageBreakBefore w:val="0"/>
        <w:widowControl w:val="0"/>
        <w:shd w:val="clear"/>
        <w:kinsoku/>
        <w:wordWrap/>
        <w:overflowPunct/>
        <w:topLinePunct w:val="0"/>
        <w:autoSpaceDE/>
        <w:autoSpaceDN/>
        <w:bidi w:val="0"/>
        <w:adjustRightInd/>
        <w:snapToGrid w:val="0"/>
        <w:spacing w:line="360" w:lineRule="auto"/>
        <w:ind w:firstLine="0" w:firstLineChars="0"/>
        <w:jc w:val="both"/>
        <w:textAlignment w:val="auto"/>
        <w:outlineLvl w:val="9"/>
        <w:rPr>
          <w:rFonts w:hint="eastAsia" w:ascii="宋体" w:hAnsi="宋体" w:eastAsia="宋体" w:cs="宋体"/>
          <w:b/>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签订日期：　　年　　月　　日    </w:t>
      </w:r>
      <w:r>
        <w:rPr>
          <w:rFonts w:hint="eastAsia" w:ascii="宋体" w:hAnsi="宋体" w:eastAsia="宋体" w:cs="宋体"/>
          <w:color w:val="auto"/>
          <w:sz w:val="24"/>
          <w:szCs w:val="24"/>
          <w:highlight w:val="none"/>
          <w:shd w:val="clear" w:color="auto" w:fill="auto"/>
          <w:lang w:val="en-US" w:eastAsia="zh-CN"/>
        </w:rPr>
        <w:t xml:space="preserve"> </w:t>
      </w:r>
      <w:r>
        <w:rPr>
          <w:rFonts w:hint="eastAsia" w:ascii="宋体" w:hAnsi="宋体" w:eastAsia="宋体" w:cs="宋体"/>
          <w:color w:val="auto"/>
          <w:sz w:val="24"/>
          <w:szCs w:val="24"/>
          <w:highlight w:val="none"/>
          <w:shd w:val="clear" w:color="auto" w:fill="auto"/>
        </w:rPr>
        <w:t xml:space="preserve">   签订日期：　　年　　月　　日</w:t>
      </w:r>
    </w:p>
    <w:p w14:paraId="648DC525">
      <w:pPr>
        <w:keepNext w:val="0"/>
        <w:keepLines w:val="0"/>
        <w:pageBreakBefore w:val="0"/>
        <w:widowControl w:val="0"/>
        <w:shd w:val="clear"/>
        <w:kinsoku/>
        <w:wordWrap/>
        <w:overflowPunct/>
        <w:topLinePunct w:val="0"/>
        <w:autoSpaceDE/>
        <w:autoSpaceDN/>
        <w:bidi w:val="0"/>
        <w:adjustRightInd/>
        <w:snapToGrid w:val="0"/>
        <w:spacing w:line="360" w:lineRule="auto"/>
        <w:ind w:firstLine="482" w:firstLineChars="200"/>
        <w:jc w:val="center"/>
        <w:textAlignment w:val="auto"/>
        <w:outlineLvl w:val="9"/>
        <w:rPr>
          <w:rFonts w:hint="eastAsia" w:ascii="宋体" w:hAnsi="宋体" w:eastAsia="宋体" w:cs="宋体"/>
          <w:b/>
          <w:color w:val="auto"/>
          <w:sz w:val="24"/>
          <w:szCs w:val="24"/>
          <w:highlight w:val="none"/>
          <w:shd w:val="clear" w:color="auto" w:fill="auto"/>
        </w:rPr>
      </w:pPr>
    </w:p>
    <w:p w14:paraId="09075F10">
      <w:pPr>
        <w:keepNext w:val="0"/>
        <w:keepLines w:val="0"/>
        <w:pageBreakBefore w:val="0"/>
        <w:widowControl w:val="0"/>
        <w:shd w:val="clear"/>
        <w:kinsoku/>
        <w:wordWrap/>
        <w:overflowPunct/>
        <w:topLinePunct w:val="0"/>
        <w:autoSpaceDE/>
        <w:autoSpaceDN/>
        <w:bidi w:val="0"/>
        <w:adjustRightInd/>
        <w:snapToGrid w:val="0"/>
        <w:spacing w:line="360" w:lineRule="auto"/>
        <w:ind w:firstLine="482" w:firstLineChars="200"/>
        <w:jc w:val="center"/>
        <w:textAlignment w:val="auto"/>
        <w:outlineLvl w:val="9"/>
        <w:rPr>
          <w:rFonts w:hint="eastAsia" w:ascii="宋体" w:hAnsi="宋体" w:eastAsia="宋体" w:cs="宋体"/>
          <w:b/>
          <w:color w:val="auto"/>
          <w:sz w:val="24"/>
          <w:szCs w:val="24"/>
          <w:highlight w:val="none"/>
          <w:shd w:val="clear" w:color="auto" w:fill="auto"/>
        </w:rPr>
      </w:pPr>
    </w:p>
    <w:p w14:paraId="18F3C7CC">
      <w:pPr>
        <w:keepNext w:val="0"/>
        <w:keepLines w:val="0"/>
        <w:pageBreakBefore w:val="0"/>
        <w:widowControl w:val="0"/>
        <w:shd w:val="clear"/>
        <w:kinsoku/>
        <w:wordWrap/>
        <w:overflowPunct/>
        <w:topLinePunct w:val="0"/>
        <w:autoSpaceDE/>
        <w:autoSpaceDN/>
        <w:bidi w:val="0"/>
        <w:adjustRightInd/>
        <w:snapToGrid w:val="0"/>
        <w:spacing w:line="360" w:lineRule="auto"/>
        <w:ind w:firstLine="482" w:firstLineChars="200"/>
        <w:jc w:val="center"/>
        <w:textAlignment w:val="auto"/>
        <w:outlineLvl w:val="9"/>
        <w:rPr>
          <w:rFonts w:hint="eastAsia" w:ascii="宋体" w:hAnsi="宋体" w:eastAsia="宋体" w:cs="宋体"/>
          <w:b/>
          <w:color w:val="auto"/>
          <w:sz w:val="24"/>
          <w:szCs w:val="24"/>
          <w:highlight w:val="none"/>
          <w:shd w:val="clear" w:color="auto" w:fill="auto"/>
        </w:rPr>
      </w:pPr>
    </w:p>
    <w:p w14:paraId="7BB342AB">
      <w:pPr>
        <w:keepNext w:val="0"/>
        <w:keepLines w:val="0"/>
        <w:pageBreakBefore w:val="0"/>
        <w:widowControl w:val="0"/>
        <w:shd w:val="clear"/>
        <w:kinsoku/>
        <w:wordWrap/>
        <w:overflowPunct/>
        <w:topLinePunct w:val="0"/>
        <w:autoSpaceDE/>
        <w:autoSpaceDN/>
        <w:bidi w:val="0"/>
        <w:adjustRightInd/>
        <w:snapToGrid w:val="0"/>
        <w:spacing w:line="360" w:lineRule="auto"/>
        <w:ind w:firstLine="482" w:firstLineChars="200"/>
        <w:jc w:val="center"/>
        <w:textAlignment w:val="auto"/>
        <w:outlineLvl w:val="9"/>
        <w:rPr>
          <w:rFonts w:hint="eastAsia" w:ascii="宋体" w:hAnsi="宋体" w:eastAsia="宋体" w:cs="宋体"/>
          <w:b/>
          <w:color w:val="auto"/>
          <w:sz w:val="24"/>
          <w:szCs w:val="24"/>
          <w:highlight w:val="none"/>
          <w:shd w:val="clear" w:color="auto" w:fill="auto"/>
        </w:rPr>
      </w:pPr>
    </w:p>
    <w:p w14:paraId="48EA315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snapToGrid/>
          <w:color w:val="auto"/>
          <w:kern w:val="2"/>
          <w:sz w:val="21"/>
          <w:szCs w:val="21"/>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0128430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附件1：《供应商配送服务质量考核评价表》</w:t>
      </w:r>
    </w:p>
    <w:p w14:paraId="7BC49B5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rPr>
        <w:t>《供应商配送服务质量考核评价表》</w:t>
      </w:r>
    </w:p>
    <w:tbl>
      <w:tblPr>
        <w:tblStyle w:val="62"/>
        <w:tblW w:w="92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1266"/>
        <w:gridCol w:w="2744"/>
        <w:gridCol w:w="3218"/>
        <w:gridCol w:w="1104"/>
      </w:tblGrid>
      <w:tr w14:paraId="27782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B1FFCC9">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napToGrid/>
                <w:color w:val="auto"/>
                <w:kern w:val="0"/>
                <w:sz w:val="21"/>
                <w:szCs w:val="21"/>
                <w:highlight w:val="none"/>
                <w:lang w:bidi="ar-SA"/>
              </w:rPr>
            </w:pPr>
            <w:r>
              <w:rPr>
                <w:rFonts w:hint="eastAsia" w:ascii="宋体" w:hAnsi="宋体" w:eastAsia="宋体" w:cs="宋体"/>
                <w:b/>
                <w:bCs/>
                <w:snapToGrid/>
                <w:color w:val="auto"/>
                <w:kern w:val="0"/>
                <w:sz w:val="21"/>
                <w:szCs w:val="21"/>
                <w:highlight w:val="none"/>
                <w:lang w:bidi="ar-SA"/>
              </w:rPr>
              <w:t>序号</w:t>
            </w:r>
          </w:p>
        </w:tc>
        <w:tc>
          <w:tcPr>
            <w:tcW w:w="1266" w:type="dxa"/>
            <w:tcBorders>
              <w:top w:val="single" w:color="000000" w:sz="4" w:space="0"/>
              <w:left w:val="single" w:color="000000" w:sz="4" w:space="0"/>
              <w:bottom w:val="single" w:color="000000" w:sz="4" w:space="0"/>
              <w:right w:val="single" w:color="000000" w:sz="4" w:space="0"/>
            </w:tcBorders>
            <w:vAlign w:val="center"/>
          </w:tcPr>
          <w:p w14:paraId="1207A85A">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napToGrid/>
                <w:color w:val="auto"/>
                <w:kern w:val="0"/>
                <w:sz w:val="21"/>
                <w:szCs w:val="21"/>
                <w:highlight w:val="none"/>
                <w:lang w:bidi="ar-SA"/>
              </w:rPr>
            </w:pPr>
            <w:r>
              <w:rPr>
                <w:rFonts w:hint="eastAsia" w:ascii="宋体" w:hAnsi="宋体" w:eastAsia="宋体" w:cs="宋体"/>
                <w:b/>
                <w:bCs/>
                <w:snapToGrid/>
                <w:color w:val="auto"/>
                <w:kern w:val="0"/>
                <w:sz w:val="21"/>
                <w:szCs w:val="21"/>
                <w:highlight w:val="none"/>
                <w:lang w:bidi="ar-SA"/>
              </w:rPr>
              <w:t>项目</w:t>
            </w: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4A64F953">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napToGrid/>
                <w:color w:val="auto"/>
                <w:kern w:val="0"/>
                <w:sz w:val="21"/>
                <w:szCs w:val="21"/>
                <w:highlight w:val="none"/>
                <w:lang w:bidi="ar-SA"/>
              </w:rPr>
            </w:pPr>
            <w:r>
              <w:rPr>
                <w:rFonts w:hint="eastAsia" w:ascii="宋体" w:hAnsi="宋体" w:eastAsia="宋体" w:cs="宋体"/>
                <w:b/>
                <w:bCs/>
                <w:snapToGrid/>
                <w:color w:val="auto"/>
                <w:kern w:val="0"/>
                <w:sz w:val="21"/>
                <w:szCs w:val="21"/>
                <w:highlight w:val="none"/>
                <w:lang w:bidi="ar-SA"/>
              </w:rPr>
              <w:t>扣分事项</w:t>
            </w:r>
          </w:p>
        </w:tc>
        <w:tc>
          <w:tcPr>
            <w:tcW w:w="1104" w:type="dxa"/>
            <w:tcBorders>
              <w:top w:val="single" w:color="000000" w:sz="4" w:space="0"/>
              <w:left w:val="single" w:color="000000" w:sz="4" w:space="0"/>
              <w:bottom w:val="single" w:color="000000" w:sz="4" w:space="0"/>
              <w:right w:val="single" w:color="000000" w:sz="4" w:space="0"/>
            </w:tcBorders>
          </w:tcPr>
          <w:p w14:paraId="65518798">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napToGrid/>
                <w:color w:val="auto"/>
                <w:kern w:val="0"/>
                <w:sz w:val="21"/>
                <w:szCs w:val="21"/>
                <w:highlight w:val="none"/>
                <w:lang w:bidi="ar-SA"/>
              </w:rPr>
            </w:pPr>
            <w:r>
              <w:rPr>
                <w:rFonts w:hint="eastAsia" w:ascii="宋体" w:hAnsi="宋体" w:eastAsia="宋体" w:cs="宋体"/>
                <w:b/>
                <w:bCs/>
                <w:snapToGrid/>
                <w:color w:val="auto"/>
                <w:spacing w:val="-2"/>
                <w:kern w:val="0"/>
                <w:sz w:val="21"/>
                <w:szCs w:val="21"/>
                <w:highlight w:val="none"/>
                <w:lang w:bidi="ar-SA"/>
              </w:rPr>
              <w:t>扣除分数</w:t>
            </w:r>
          </w:p>
        </w:tc>
      </w:tr>
      <w:tr w14:paraId="2A1E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308BEBC9">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1</w:t>
            </w:r>
          </w:p>
        </w:tc>
        <w:tc>
          <w:tcPr>
            <w:tcW w:w="1266" w:type="dxa"/>
            <w:vMerge w:val="restart"/>
            <w:tcBorders>
              <w:top w:val="single" w:color="000000" w:sz="4" w:space="0"/>
              <w:left w:val="single" w:color="000000" w:sz="4" w:space="0"/>
              <w:bottom w:val="single" w:color="000000" w:sz="4" w:space="0"/>
              <w:right w:val="single" w:color="000000" w:sz="4" w:space="0"/>
            </w:tcBorders>
            <w:vAlign w:val="center"/>
          </w:tcPr>
          <w:p w14:paraId="4F0B95FD">
            <w:pPr>
              <w:keepNext w:val="0"/>
              <w:keepLines w:val="0"/>
              <w:pageBreakBefore w:val="0"/>
              <w:widowControl w:val="0"/>
              <w:kinsoku/>
              <w:wordWrap/>
              <w:overflowPunct/>
              <w:topLinePunct w:val="0"/>
              <w:autoSpaceDE w:val="0"/>
              <w:autoSpaceDN w:val="0"/>
              <w:bidi w:val="0"/>
              <w:adjustRightInd/>
              <w:snapToGrid/>
              <w:spacing w:line="360" w:lineRule="auto"/>
              <w:ind w:right="89"/>
              <w:jc w:val="center"/>
              <w:textAlignment w:val="auto"/>
              <w:outlineLvl w:val="9"/>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spacing w:val="-1"/>
                <w:kern w:val="0"/>
                <w:sz w:val="21"/>
                <w:szCs w:val="21"/>
                <w:highlight w:val="none"/>
                <w:lang w:bidi="ar-SA"/>
              </w:rPr>
              <w:t>配送要求</w:t>
            </w:r>
          </w:p>
        </w:tc>
        <w:tc>
          <w:tcPr>
            <w:tcW w:w="5962" w:type="dxa"/>
            <w:gridSpan w:val="2"/>
            <w:tcBorders>
              <w:top w:val="single" w:color="000000" w:sz="4" w:space="0"/>
              <w:left w:val="single" w:color="000000" w:sz="4" w:space="0"/>
              <w:bottom w:val="single" w:color="000000" w:sz="4" w:space="0"/>
              <w:right w:val="single" w:color="000000" w:sz="4" w:space="0"/>
            </w:tcBorders>
          </w:tcPr>
          <w:p w14:paraId="1EAED9D8">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配送车辆、实际运输不符合采购文件及合同约定的、或车厢内存在卫生问题的，每次扣5分</w:t>
            </w:r>
          </w:p>
        </w:tc>
        <w:tc>
          <w:tcPr>
            <w:tcW w:w="1104" w:type="dxa"/>
            <w:tcBorders>
              <w:top w:val="single" w:color="000000" w:sz="4" w:space="0"/>
              <w:left w:val="single" w:color="000000" w:sz="4" w:space="0"/>
              <w:bottom w:val="single" w:color="000000" w:sz="4" w:space="0"/>
              <w:right w:val="single" w:color="000000" w:sz="4" w:space="0"/>
            </w:tcBorders>
          </w:tcPr>
          <w:p w14:paraId="5C95DB86">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eastAsia="宋体" w:cs="宋体"/>
                <w:snapToGrid/>
                <w:color w:val="auto"/>
                <w:kern w:val="0"/>
                <w:sz w:val="21"/>
                <w:szCs w:val="21"/>
                <w:highlight w:val="none"/>
                <w:lang w:val="en-US" w:eastAsia="zh-CN" w:bidi="ar-SA"/>
              </w:rPr>
            </w:pPr>
          </w:p>
        </w:tc>
      </w:tr>
      <w:tr w14:paraId="51D38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18BA734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5E61565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015AAF5A">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未在规定时间内完成配送、供货，每次扣5分</w:t>
            </w:r>
          </w:p>
        </w:tc>
        <w:tc>
          <w:tcPr>
            <w:tcW w:w="1104" w:type="dxa"/>
            <w:tcBorders>
              <w:top w:val="single" w:color="000000" w:sz="4" w:space="0"/>
              <w:left w:val="single" w:color="000000" w:sz="4" w:space="0"/>
              <w:bottom w:val="single" w:color="000000" w:sz="4" w:space="0"/>
              <w:right w:val="single" w:color="000000" w:sz="4" w:space="0"/>
            </w:tcBorders>
          </w:tcPr>
          <w:p w14:paraId="348C9AE2">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00C89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2CBAD6D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7F5ABB6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65890C99">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实际配送食品少于订购数量且不能及时补充的，每次扣5分</w:t>
            </w:r>
          </w:p>
        </w:tc>
        <w:tc>
          <w:tcPr>
            <w:tcW w:w="1104" w:type="dxa"/>
            <w:tcBorders>
              <w:top w:val="single" w:color="000000" w:sz="4" w:space="0"/>
              <w:left w:val="single" w:color="000000" w:sz="4" w:space="0"/>
              <w:bottom w:val="single" w:color="000000" w:sz="4" w:space="0"/>
              <w:right w:val="single" w:color="000000" w:sz="4" w:space="0"/>
            </w:tcBorders>
          </w:tcPr>
          <w:p w14:paraId="466B3655">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565B2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0F01393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3A774C7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0CC67C07">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送货单没有详细注明商品的品牌、品种、单价、数量，送货单出现涂改，标记不清的情况的，每次扣3分</w:t>
            </w:r>
          </w:p>
        </w:tc>
        <w:tc>
          <w:tcPr>
            <w:tcW w:w="1104" w:type="dxa"/>
            <w:tcBorders>
              <w:top w:val="single" w:color="000000" w:sz="4" w:space="0"/>
              <w:left w:val="single" w:color="000000" w:sz="4" w:space="0"/>
              <w:bottom w:val="single" w:color="000000" w:sz="4" w:space="0"/>
              <w:right w:val="single" w:color="000000" w:sz="4" w:space="0"/>
            </w:tcBorders>
          </w:tcPr>
          <w:p w14:paraId="6AF45C95">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0E882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26E1FC2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108B3A6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68BC42A1">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实际配送的食品与订购货物种类、质量不符，未能按要求及时更换的，每次扣5分</w:t>
            </w:r>
          </w:p>
        </w:tc>
        <w:tc>
          <w:tcPr>
            <w:tcW w:w="1104" w:type="dxa"/>
            <w:tcBorders>
              <w:top w:val="single" w:color="000000" w:sz="4" w:space="0"/>
              <w:left w:val="single" w:color="000000" w:sz="4" w:space="0"/>
              <w:bottom w:val="single" w:color="000000" w:sz="4" w:space="0"/>
              <w:right w:val="single" w:color="000000" w:sz="4" w:space="0"/>
            </w:tcBorders>
          </w:tcPr>
          <w:p w14:paraId="4211DE42">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5650D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396334C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1B5A720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6C0886F7">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人员没有出示健康证，没有穿着工衣，每次扣3分</w:t>
            </w:r>
          </w:p>
        </w:tc>
        <w:tc>
          <w:tcPr>
            <w:tcW w:w="1104" w:type="dxa"/>
            <w:tcBorders>
              <w:top w:val="single" w:color="000000" w:sz="4" w:space="0"/>
              <w:left w:val="single" w:color="000000" w:sz="4" w:space="0"/>
              <w:bottom w:val="single" w:color="000000" w:sz="4" w:space="0"/>
              <w:right w:val="single" w:color="000000" w:sz="4" w:space="0"/>
            </w:tcBorders>
          </w:tcPr>
          <w:p w14:paraId="0794598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476B1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6F082AE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6A13B2D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5894E475">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没有由指定的供货人员送货的每次扣3分</w:t>
            </w:r>
          </w:p>
        </w:tc>
        <w:tc>
          <w:tcPr>
            <w:tcW w:w="1104" w:type="dxa"/>
            <w:tcBorders>
              <w:top w:val="single" w:color="000000" w:sz="4" w:space="0"/>
              <w:left w:val="single" w:color="000000" w:sz="4" w:space="0"/>
              <w:bottom w:val="single" w:color="000000" w:sz="4" w:space="0"/>
              <w:right w:val="single" w:color="000000" w:sz="4" w:space="0"/>
            </w:tcBorders>
          </w:tcPr>
          <w:p w14:paraId="09B3FB02">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2A607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19F91D7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4B3DBB3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5DE5ADB6">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没有按照采购人要求将食品送到指定地点，每次扣3分</w:t>
            </w:r>
          </w:p>
        </w:tc>
        <w:tc>
          <w:tcPr>
            <w:tcW w:w="1104" w:type="dxa"/>
            <w:tcBorders>
              <w:top w:val="single" w:color="000000" w:sz="4" w:space="0"/>
              <w:left w:val="single" w:color="000000" w:sz="4" w:space="0"/>
              <w:bottom w:val="single" w:color="000000" w:sz="4" w:space="0"/>
              <w:right w:val="single" w:color="000000" w:sz="4" w:space="0"/>
            </w:tcBorders>
          </w:tcPr>
          <w:p w14:paraId="21B8EDE2">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76DA2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620E6E0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2</w:t>
            </w:r>
          </w:p>
        </w:tc>
        <w:tc>
          <w:tcPr>
            <w:tcW w:w="1266" w:type="dxa"/>
            <w:vMerge w:val="restart"/>
            <w:tcBorders>
              <w:top w:val="single" w:color="000000" w:sz="4" w:space="0"/>
              <w:left w:val="single" w:color="000000" w:sz="4" w:space="0"/>
              <w:bottom w:val="single" w:color="000000" w:sz="4" w:space="0"/>
              <w:right w:val="single" w:color="000000" w:sz="4" w:space="0"/>
            </w:tcBorders>
            <w:vAlign w:val="center"/>
          </w:tcPr>
          <w:p w14:paraId="351C9751">
            <w:pPr>
              <w:keepNext w:val="0"/>
              <w:keepLines w:val="0"/>
              <w:pageBreakBefore w:val="0"/>
              <w:widowControl w:val="0"/>
              <w:kinsoku/>
              <w:wordWrap/>
              <w:overflowPunct/>
              <w:topLinePunct w:val="0"/>
              <w:autoSpaceDE w:val="0"/>
              <w:autoSpaceDN w:val="0"/>
              <w:bidi w:val="0"/>
              <w:adjustRightInd/>
              <w:snapToGrid/>
              <w:spacing w:line="360" w:lineRule="auto"/>
              <w:ind w:right="89"/>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spacing w:val="-1"/>
                <w:kern w:val="0"/>
                <w:sz w:val="21"/>
                <w:szCs w:val="21"/>
                <w:highlight w:val="none"/>
                <w:lang w:bidi="ar-SA"/>
              </w:rPr>
              <w:t>质量要求</w:t>
            </w:r>
          </w:p>
        </w:tc>
        <w:tc>
          <w:tcPr>
            <w:tcW w:w="5962" w:type="dxa"/>
            <w:gridSpan w:val="2"/>
            <w:tcBorders>
              <w:top w:val="single" w:color="000000" w:sz="4" w:space="0"/>
              <w:left w:val="single" w:color="000000" w:sz="4" w:space="0"/>
              <w:bottom w:val="single" w:color="000000" w:sz="4" w:space="0"/>
              <w:right w:val="single" w:color="000000" w:sz="4" w:space="0"/>
            </w:tcBorders>
          </w:tcPr>
          <w:p w14:paraId="3078D829">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相应批次的食品未能提供对应合格检验证明或合格证明的，每次扣3分</w:t>
            </w:r>
          </w:p>
        </w:tc>
        <w:tc>
          <w:tcPr>
            <w:tcW w:w="1104" w:type="dxa"/>
            <w:tcBorders>
              <w:top w:val="single" w:color="000000" w:sz="4" w:space="0"/>
              <w:left w:val="single" w:color="000000" w:sz="4" w:space="0"/>
              <w:bottom w:val="single" w:color="000000" w:sz="4" w:space="0"/>
              <w:right w:val="single" w:color="000000" w:sz="4" w:space="0"/>
            </w:tcBorders>
          </w:tcPr>
          <w:p w14:paraId="7F6157B3">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6F7AA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045F964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7E1BE8A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1D800469">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不及时了解市场信息，提供社会负面反响大的食品，每次扣3分</w:t>
            </w:r>
          </w:p>
        </w:tc>
        <w:tc>
          <w:tcPr>
            <w:tcW w:w="1104" w:type="dxa"/>
            <w:tcBorders>
              <w:top w:val="single" w:color="000000" w:sz="4" w:space="0"/>
              <w:left w:val="single" w:color="000000" w:sz="4" w:space="0"/>
              <w:bottom w:val="single" w:color="000000" w:sz="4" w:space="0"/>
              <w:right w:val="single" w:color="000000" w:sz="4" w:space="0"/>
            </w:tcBorders>
          </w:tcPr>
          <w:p w14:paraId="58E0CA70">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3E9E8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059D684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53701A3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054C760A">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无法向采购人提供上游企业票证，无法保证每批次进货能溯源，每次扣3分</w:t>
            </w:r>
          </w:p>
        </w:tc>
        <w:tc>
          <w:tcPr>
            <w:tcW w:w="1104" w:type="dxa"/>
            <w:tcBorders>
              <w:top w:val="single" w:color="000000" w:sz="4" w:space="0"/>
              <w:left w:val="single" w:color="000000" w:sz="4" w:space="0"/>
              <w:bottom w:val="single" w:color="000000" w:sz="4" w:space="0"/>
              <w:right w:val="single" w:color="000000" w:sz="4" w:space="0"/>
            </w:tcBorders>
          </w:tcPr>
          <w:p w14:paraId="4F87EB03">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2C378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2D17078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63DB1EB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1A859B82">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未按照标准严格采购，出现次、差、来历不明货物，每次扣3分</w:t>
            </w:r>
          </w:p>
        </w:tc>
        <w:tc>
          <w:tcPr>
            <w:tcW w:w="1104" w:type="dxa"/>
            <w:tcBorders>
              <w:top w:val="single" w:color="000000" w:sz="4" w:space="0"/>
              <w:left w:val="single" w:color="000000" w:sz="4" w:space="0"/>
              <w:bottom w:val="single" w:color="000000" w:sz="4" w:space="0"/>
              <w:right w:val="single" w:color="000000" w:sz="4" w:space="0"/>
            </w:tcBorders>
          </w:tcPr>
          <w:p w14:paraId="7097300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39AC1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72AD991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68FE052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2123AA96">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2"/>
                <w:szCs w:val="24"/>
                <w:highlight w:val="none"/>
              </w:rPr>
            </w:pPr>
            <w:r>
              <w:rPr>
                <w:rFonts w:hint="eastAsia" w:ascii="宋体" w:hAnsi="宋体" w:eastAsia="宋体" w:cs="宋体"/>
                <w:snapToGrid/>
                <w:color w:val="auto"/>
                <w:kern w:val="2"/>
                <w:szCs w:val="24"/>
                <w:highlight w:val="none"/>
              </w:rPr>
              <w:t>供应商没有建立食品安全卫生制度或有设备但没有使用，每次扣3分</w:t>
            </w:r>
          </w:p>
        </w:tc>
        <w:tc>
          <w:tcPr>
            <w:tcW w:w="1104" w:type="dxa"/>
            <w:tcBorders>
              <w:top w:val="single" w:color="000000" w:sz="4" w:space="0"/>
              <w:left w:val="single" w:color="000000" w:sz="4" w:space="0"/>
              <w:bottom w:val="single" w:color="000000" w:sz="4" w:space="0"/>
              <w:right w:val="single" w:color="000000" w:sz="4" w:space="0"/>
            </w:tcBorders>
          </w:tcPr>
          <w:p w14:paraId="0CBD48C1">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231D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41DD09D0">
            <w:pPr>
              <w:keepNext w:val="0"/>
              <w:keepLines w:val="0"/>
              <w:pageBreakBefore w:val="0"/>
              <w:widowControl w:val="0"/>
              <w:kinsoku/>
              <w:wordWrap/>
              <w:overflowPunct/>
              <w:topLinePunct w:val="0"/>
              <w:autoSpaceDE w:val="0"/>
              <w:autoSpaceDN w:val="0"/>
              <w:bidi w:val="0"/>
              <w:adjustRightInd/>
              <w:snapToGrid/>
              <w:spacing w:line="360" w:lineRule="auto"/>
              <w:ind w:left="6"/>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3</w:t>
            </w:r>
          </w:p>
        </w:tc>
        <w:tc>
          <w:tcPr>
            <w:tcW w:w="1266" w:type="dxa"/>
            <w:vMerge w:val="restart"/>
            <w:tcBorders>
              <w:top w:val="single" w:color="000000" w:sz="4" w:space="0"/>
              <w:left w:val="single" w:color="000000" w:sz="4" w:space="0"/>
              <w:bottom w:val="single" w:color="000000" w:sz="4" w:space="0"/>
              <w:right w:val="single" w:color="000000" w:sz="4" w:space="0"/>
            </w:tcBorders>
            <w:vAlign w:val="center"/>
          </w:tcPr>
          <w:p w14:paraId="1B757D52">
            <w:pPr>
              <w:keepNext w:val="0"/>
              <w:keepLines w:val="0"/>
              <w:pageBreakBefore w:val="0"/>
              <w:widowControl w:val="0"/>
              <w:kinsoku/>
              <w:wordWrap/>
              <w:overflowPunct/>
              <w:topLinePunct w:val="0"/>
              <w:autoSpaceDE w:val="0"/>
              <w:autoSpaceDN w:val="0"/>
              <w:bidi w:val="0"/>
              <w:adjustRightInd/>
              <w:snapToGrid/>
              <w:spacing w:line="360" w:lineRule="auto"/>
              <w:ind w:left="99" w:right="89"/>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spacing w:val="-1"/>
                <w:kern w:val="0"/>
                <w:sz w:val="21"/>
                <w:szCs w:val="21"/>
                <w:highlight w:val="none"/>
                <w:lang w:bidi="ar-SA"/>
              </w:rPr>
              <w:t>安全生产</w:t>
            </w:r>
            <w:r>
              <w:rPr>
                <w:rFonts w:hint="eastAsia" w:ascii="宋体" w:hAnsi="宋体" w:eastAsia="宋体" w:cs="宋体"/>
                <w:snapToGrid/>
                <w:color w:val="auto"/>
                <w:spacing w:val="-8"/>
                <w:kern w:val="0"/>
                <w:sz w:val="21"/>
                <w:szCs w:val="21"/>
                <w:highlight w:val="none"/>
                <w:lang w:bidi="ar-SA"/>
              </w:rPr>
              <w:t>管理</w:t>
            </w:r>
            <w:r>
              <w:rPr>
                <w:rFonts w:hint="eastAsia" w:ascii="宋体" w:hAnsi="宋体" w:eastAsia="宋体" w:cs="宋体"/>
                <w:snapToGrid/>
                <w:color w:val="auto"/>
                <w:kern w:val="0"/>
                <w:sz w:val="21"/>
                <w:szCs w:val="21"/>
                <w:highlight w:val="none"/>
                <w:lang w:bidi="ar-SA"/>
              </w:rPr>
              <w:t>要求</w:t>
            </w:r>
          </w:p>
        </w:tc>
        <w:tc>
          <w:tcPr>
            <w:tcW w:w="5962" w:type="dxa"/>
            <w:gridSpan w:val="2"/>
            <w:tcBorders>
              <w:top w:val="single" w:color="000000" w:sz="4" w:space="0"/>
              <w:left w:val="single" w:color="000000" w:sz="4" w:space="0"/>
              <w:bottom w:val="single" w:color="000000" w:sz="4" w:space="0"/>
              <w:right w:val="single" w:color="000000" w:sz="4" w:space="0"/>
            </w:tcBorders>
          </w:tcPr>
          <w:p w14:paraId="78678506">
            <w:pPr>
              <w:keepNext w:val="0"/>
              <w:keepLines w:val="0"/>
              <w:pageBreakBefore w:val="0"/>
              <w:widowControl w:val="0"/>
              <w:kinsoku/>
              <w:wordWrap/>
              <w:overflowPunct/>
              <w:topLinePunct w:val="0"/>
              <w:autoSpaceDE w:val="0"/>
              <w:autoSpaceDN w:val="0"/>
              <w:bidi w:val="0"/>
              <w:adjustRightInd/>
              <w:snapToGrid/>
              <w:spacing w:line="360" w:lineRule="auto"/>
              <w:ind w:left="42" w:leftChars="20"/>
              <w:jc w:val="left"/>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没有建立、健全本单位安全生产责任制、安全生产规章制度和操作规程，或没有按相关职能部门规定操作，每次扣5分</w:t>
            </w:r>
          </w:p>
        </w:tc>
        <w:tc>
          <w:tcPr>
            <w:tcW w:w="1104" w:type="dxa"/>
            <w:tcBorders>
              <w:top w:val="single" w:color="000000" w:sz="4" w:space="0"/>
              <w:left w:val="single" w:color="000000" w:sz="4" w:space="0"/>
              <w:bottom w:val="single" w:color="000000" w:sz="4" w:space="0"/>
              <w:right w:val="single" w:color="000000" w:sz="4" w:space="0"/>
            </w:tcBorders>
          </w:tcPr>
          <w:p w14:paraId="0804B97C">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75870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1D81367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2CBB1EE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tcPr>
          <w:p w14:paraId="2082933F">
            <w:pPr>
              <w:keepNext w:val="0"/>
              <w:keepLines w:val="0"/>
              <w:pageBreakBefore w:val="0"/>
              <w:widowControl w:val="0"/>
              <w:kinsoku/>
              <w:wordWrap/>
              <w:overflowPunct/>
              <w:topLinePunct w:val="0"/>
              <w:autoSpaceDE w:val="0"/>
              <w:autoSpaceDN w:val="0"/>
              <w:bidi w:val="0"/>
              <w:adjustRightInd/>
              <w:snapToGrid/>
              <w:spacing w:line="360" w:lineRule="auto"/>
              <w:ind w:left="42" w:leftChars="20"/>
              <w:jc w:val="left"/>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没有相关应急预案的，每次扣5分</w:t>
            </w:r>
          </w:p>
        </w:tc>
        <w:tc>
          <w:tcPr>
            <w:tcW w:w="1104" w:type="dxa"/>
            <w:tcBorders>
              <w:top w:val="single" w:color="000000" w:sz="4" w:space="0"/>
              <w:left w:val="single" w:color="000000" w:sz="4" w:space="0"/>
              <w:bottom w:val="single" w:color="000000" w:sz="4" w:space="0"/>
              <w:right w:val="single" w:color="000000" w:sz="4" w:space="0"/>
            </w:tcBorders>
          </w:tcPr>
          <w:p w14:paraId="356488A4">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val="en-US" w:eastAsia="zh-CN" w:bidi="ar-SA"/>
              </w:rPr>
            </w:pPr>
          </w:p>
        </w:tc>
      </w:tr>
      <w:tr w14:paraId="7D11C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43EDA2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4</w:t>
            </w:r>
          </w:p>
        </w:tc>
        <w:tc>
          <w:tcPr>
            <w:tcW w:w="1266" w:type="dxa"/>
            <w:tcBorders>
              <w:top w:val="single" w:color="000000" w:sz="4" w:space="0"/>
              <w:left w:val="single" w:color="000000" w:sz="4" w:space="0"/>
              <w:bottom w:val="single" w:color="000000" w:sz="4" w:space="0"/>
              <w:right w:val="single" w:color="000000" w:sz="4" w:space="0"/>
            </w:tcBorders>
            <w:vAlign w:val="center"/>
          </w:tcPr>
          <w:p w14:paraId="43E0A0E9">
            <w:pPr>
              <w:keepNext w:val="0"/>
              <w:keepLines w:val="0"/>
              <w:pageBreakBefore w:val="0"/>
              <w:widowControl w:val="0"/>
              <w:kinsoku/>
              <w:wordWrap/>
              <w:overflowPunct/>
              <w:topLinePunct w:val="0"/>
              <w:autoSpaceDE w:val="0"/>
              <w:autoSpaceDN w:val="0"/>
              <w:bidi w:val="0"/>
              <w:adjustRightInd/>
              <w:snapToGrid/>
              <w:spacing w:line="360" w:lineRule="auto"/>
              <w:ind w:left="99"/>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纪律要求</w:t>
            </w: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3BE483B9">
            <w:pPr>
              <w:keepNext w:val="0"/>
              <w:keepLines w:val="0"/>
              <w:pageBreakBefore w:val="0"/>
              <w:widowControl w:val="0"/>
              <w:kinsoku/>
              <w:wordWrap/>
              <w:overflowPunct/>
              <w:topLinePunct w:val="0"/>
              <w:autoSpaceDE w:val="0"/>
              <w:autoSpaceDN w:val="0"/>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提供资料弄虚作假的，每次扣</w:t>
            </w:r>
            <w:r>
              <w:rPr>
                <w:rFonts w:hint="eastAsia" w:ascii="宋体" w:hAnsi="宋体" w:cs="宋体" w:eastAsiaTheme="minorEastAsia"/>
                <w:snapToGrid/>
                <w:color w:val="auto"/>
                <w:kern w:val="0"/>
                <w:sz w:val="21"/>
                <w:szCs w:val="21"/>
                <w:highlight w:val="none"/>
                <w:lang w:val="en-US" w:eastAsia="zh-CN" w:bidi="ar-SA"/>
              </w:rPr>
              <w:t>6</w:t>
            </w:r>
            <w:r>
              <w:rPr>
                <w:rFonts w:hint="eastAsia" w:ascii="宋体" w:hAnsi="宋体" w:eastAsia="宋体" w:cs="宋体"/>
                <w:snapToGrid/>
                <w:color w:val="auto"/>
                <w:kern w:val="0"/>
                <w:sz w:val="21"/>
                <w:szCs w:val="21"/>
                <w:highlight w:val="none"/>
                <w:lang w:bidi="ar-SA"/>
              </w:rPr>
              <w:t>分</w:t>
            </w:r>
          </w:p>
        </w:tc>
        <w:tc>
          <w:tcPr>
            <w:tcW w:w="1104" w:type="dxa"/>
            <w:tcBorders>
              <w:top w:val="single" w:color="000000" w:sz="4" w:space="0"/>
              <w:left w:val="single" w:color="000000" w:sz="4" w:space="0"/>
              <w:bottom w:val="single" w:color="000000" w:sz="4" w:space="0"/>
              <w:right w:val="single" w:color="000000" w:sz="4" w:space="0"/>
            </w:tcBorders>
          </w:tcPr>
          <w:p w14:paraId="73316B0D">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2"/>
                <w:sz w:val="21"/>
                <w:szCs w:val="21"/>
                <w:highlight w:val="none"/>
                <w:lang w:bidi="ar-SA"/>
              </w:rPr>
            </w:pPr>
          </w:p>
        </w:tc>
      </w:tr>
      <w:tr w14:paraId="6AEDF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7C0806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5</w:t>
            </w:r>
          </w:p>
        </w:tc>
        <w:tc>
          <w:tcPr>
            <w:tcW w:w="1266" w:type="dxa"/>
            <w:vMerge w:val="restart"/>
            <w:tcBorders>
              <w:top w:val="single" w:color="000000" w:sz="4" w:space="0"/>
              <w:left w:val="single" w:color="000000" w:sz="4" w:space="0"/>
              <w:bottom w:val="single" w:color="000000" w:sz="4" w:space="0"/>
              <w:right w:val="single" w:color="000000" w:sz="4" w:space="0"/>
            </w:tcBorders>
            <w:vAlign w:val="center"/>
          </w:tcPr>
          <w:p w14:paraId="283203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诚信服务</w:t>
            </w: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15A9FC57">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被投诉并经查证属实，每次扣3分</w:t>
            </w:r>
          </w:p>
        </w:tc>
        <w:tc>
          <w:tcPr>
            <w:tcW w:w="1104" w:type="dxa"/>
            <w:tcBorders>
              <w:top w:val="single" w:color="000000" w:sz="4" w:space="0"/>
              <w:left w:val="single" w:color="000000" w:sz="4" w:space="0"/>
              <w:bottom w:val="single" w:color="000000" w:sz="4" w:space="0"/>
              <w:right w:val="single" w:color="000000" w:sz="4" w:space="0"/>
            </w:tcBorders>
          </w:tcPr>
          <w:p w14:paraId="6D705A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15165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243A13A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3688B10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2A6D8A69">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拒绝采购人提出的合理服务要求，每次扣2分</w:t>
            </w:r>
          </w:p>
        </w:tc>
        <w:tc>
          <w:tcPr>
            <w:tcW w:w="1104" w:type="dxa"/>
            <w:tcBorders>
              <w:top w:val="single" w:color="000000" w:sz="4" w:space="0"/>
              <w:left w:val="single" w:color="000000" w:sz="4" w:space="0"/>
              <w:bottom w:val="single" w:color="000000" w:sz="4" w:space="0"/>
              <w:right w:val="single" w:color="000000" w:sz="4" w:space="0"/>
            </w:tcBorders>
          </w:tcPr>
          <w:p w14:paraId="7DD5D4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51643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466213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6</w:t>
            </w:r>
          </w:p>
        </w:tc>
        <w:tc>
          <w:tcPr>
            <w:tcW w:w="1266" w:type="dxa"/>
            <w:vMerge w:val="restart"/>
            <w:tcBorders>
              <w:top w:val="single" w:color="000000" w:sz="4" w:space="0"/>
              <w:left w:val="single" w:color="000000" w:sz="4" w:space="0"/>
              <w:bottom w:val="single" w:color="000000" w:sz="4" w:space="0"/>
              <w:right w:val="single" w:color="000000" w:sz="4" w:space="0"/>
            </w:tcBorders>
            <w:vAlign w:val="center"/>
          </w:tcPr>
          <w:p w14:paraId="2FE9F9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原材料价格</w:t>
            </w: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4A920BB0">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供应商出现价格欺诈现象的，每次扣5分</w:t>
            </w:r>
          </w:p>
        </w:tc>
        <w:tc>
          <w:tcPr>
            <w:tcW w:w="1104" w:type="dxa"/>
            <w:tcBorders>
              <w:top w:val="single" w:color="000000" w:sz="4" w:space="0"/>
              <w:left w:val="single" w:color="000000" w:sz="4" w:space="0"/>
              <w:bottom w:val="single" w:color="000000" w:sz="4" w:space="0"/>
              <w:right w:val="single" w:color="000000" w:sz="4" w:space="0"/>
            </w:tcBorders>
          </w:tcPr>
          <w:p w14:paraId="3450D7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38EB6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6D7FC94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632306F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254DD7B2">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供应商不按议定的价格结算的，每次扣10分</w:t>
            </w:r>
          </w:p>
        </w:tc>
        <w:tc>
          <w:tcPr>
            <w:tcW w:w="1104" w:type="dxa"/>
            <w:tcBorders>
              <w:top w:val="single" w:color="000000" w:sz="4" w:space="0"/>
              <w:left w:val="single" w:color="000000" w:sz="4" w:space="0"/>
              <w:bottom w:val="single" w:color="000000" w:sz="4" w:space="0"/>
              <w:right w:val="single" w:color="000000" w:sz="4" w:space="0"/>
            </w:tcBorders>
          </w:tcPr>
          <w:p w14:paraId="619022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napToGrid/>
                <w:color w:val="auto"/>
                <w:kern w:val="0"/>
                <w:sz w:val="21"/>
                <w:szCs w:val="21"/>
                <w:highlight w:val="none"/>
                <w:lang w:val="en-US" w:eastAsia="zh-CN" w:bidi="ar-SA"/>
              </w:rPr>
            </w:pPr>
          </w:p>
        </w:tc>
      </w:tr>
      <w:tr w14:paraId="06A37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58C979D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49FA9F8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35BFA880">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群众监督对食品价格有特别异议的记录，每次扣2分</w:t>
            </w:r>
          </w:p>
        </w:tc>
        <w:tc>
          <w:tcPr>
            <w:tcW w:w="1104" w:type="dxa"/>
            <w:tcBorders>
              <w:top w:val="single" w:color="000000" w:sz="4" w:space="0"/>
              <w:left w:val="single" w:color="000000" w:sz="4" w:space="0"/>
              <w:bottom w:val="single" w:color="000000" w:sz="4" w:space="0"/>
              <w:right w:val="single" w:color="000000" w:sz="4" w:space="0"/>
            </w:tcBorders>
          </w:tcPr>
          <w:p w14:paraId="04A6D9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427CC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92ED3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7</w:t>
            </w:r>
          </w:p>
        </w:tc>
        <w:tc>
          <w:tcPr>
            <w:tcW w:w="1266" w:type="dxa"/>
            <w:tcBorders>
              <w:top w:val="single" w:color="000000" w:sz="4" w:space="0"/>
              <w:left w:val="single" w:color="000000" w:sz="4" w:space="0"/>
              <w:bottom w:val="single" w:color="000000" w:sz="4" w:space="0"/>
              <w:right w:val="single" w:color="000000" w:sz="4" w:space="0"/>
            </w:tcBorders>
            <w:vAlign w:val="center"/>
          </w:tcPr>
          <w:p w14:paraId="39981A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满意度要求</w:t>
            </w: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6F5C654D">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在监管部门的日常监督检查，被通报批评1次扣5分</w:t>
            </w:r>
          </w:p>
        </w:tc>
        <w:tc>
          <w:tcPr>
            <w:tcW w:w="1104" w:type="dxa"/>
            <w:tcBorders>
              <w:top w:val="single" w:color="000000" w:sz="4" w:space="0"/>
              <w:left w:val="single" w:color="000000" w:sz="4" w:space="0"/>
              <w:bottom w:val="single" w:color="000000" w:sz="4" w:space="0"/>
              <w:right w:val="single" w:color="000000" w:sz="4" w:space="0"/>
            </w:tcBorders>
          </w:tcPr>
          <w:p w14:paraId="5BC25C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0758B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6D9FBE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8</w:t>
            </w:r>
          </w:p>
        </w:tc>
        <w:tc>
          <w:tcPr>
            <w:tcW w:w="1266" w:type="dxa"/>
            <w:vMerge w:val="restart"/>
            <w:tcBorders>
              <w:top w:val="single" w:color="000000" w:sz="4" w:space="0"/>
              <w:left w:val="single" w:color="000000" w:sz="4" w:space="0"/>
              <w:bottom w:val="single" w:color="000000" w:sz="4" w:space="0"/>
              <w:right w:val="single" w:color="000000" w:sz="4" w:space="0"/>
            </w:tcBorders>
            <w:vAlign w:val="center"/>
          </w:tcPr>
          <w:p w14:paraId="50A08A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现场调查</w:t>
            </w: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2B7B4CF0">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不能提供采购人要求的食品安全相关材料，缺1份扣2分</w:t>
            </w:r>
          </w:p>
        </w:tc>
        <w:tc>
          <w:tcPr>
            <w:tcW w:w="1104" w:type="dxa"/>
            <w:tcBorders>
              <w:top w:val="single" w:color="000000" w:sz="4" w:space="0"/>
              <w:left w:val="single" w:color="000000" w:sz="4" w:space="0"/>
              <w:bottom w:val="single" w:color="000000" w:sz="4" w:space="0"/>
              <w:right w:val="single" w:color="000000" w:sz="4" w:space="0"/>
            </w:tcBorders>
          </w:tcPr>
          <w:p w14:paraId="2D6432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78609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6F3AB27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1266" w:type="dxa"/>
            <w:vMerge w:val="continue"/>
            <w:tcBorders>
              <w:top w:val="single" w:color="000000" w:sz="4" w:space="0"/>
              <w:left w:val="single" w:color="000000" w:sz="4" w:space="0"/>
              <w:bottom w:val="single" w:color="000000" w:sz="4" w:space="0"/>
              <w:right w:val="single" w:color="000000" w:sz="4" w:space="0"/>
            </w:tcBorders>
            <w:vAlign w:val="center"/>
          </w:tcPr>
          <w:p w14:paraId="3A1864D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color w:val="auto"/>
                <w:kern w:val="0"/>
                <w:sz w:val="21"/>
                <w:szCs w:val="21"/>
                <w:highlight w:val="none"/>
                <w:lang w:bidi="ar-SA"/>
              </w:rPr>
            </w:pP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4B2E5B07">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采购人对现场查验食品，通报批评1次扣3分</w:t>
            </w:r>
          </w:p>
        </w:tc>
        <w:tc>
          <w:tcPr>
            <w:tcW w:w="1104" w:type="dxa"/>
            <w:tcBorders>
              <w:top w:val="single" w:color="000000" w:sz="4" w:space="0"/>
              <w:left w:val="single" w:color="000000" w:sz="4" w:space="0"/>
              <w:bottom w:val="single" w:color="000000" w:sz="4" w:space="0"/>
              <w:right w:val="single" w:color="000000" w:sz="4" w:space="0"/>
            </w:tcBorders>
          </w:tcPr>
          <w:p w14:paraId="7BF1DE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09190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B6ABA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9</w:t>
            </w:r>
          </w:p>
        </w:tc>
        <w:tc>
          <w:tcPr>
            <w:tcW w:w="1266" w:type="dxa"/>
            <w:tcBorders>
              <w:top w:val="single" w:color="000000" w:sz="4" w:space="0"/>
              <w:left w:val="single" w:color="000000" w:sz="4" w:space="0"/>
              <w:bottom w:val="single" w:color="000000" w:sz="4" w:space="0"/>
              <w:right w:val="single" w:color="000000" w:sz="4" w:space="0"/>
            </w:tcBorders>
            <w:vAlign w:val="center"/>
          </w:tcPr>
          <w:p w14:paraId="55C8F3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其他</w:t>
            </w:r>
          </w:p>
        </w:tc>
        <w:tc>
          <w:tcPr>
            <w:tcW w:w="5962" w:type="dxa"/>
            <w:gridSpan w:val="2"/>
            <w:tcBorders>
              <w:top w:val="single" w:color="000000" w:sz="4" w:space="0"/>
              <w:left w:val="single" w:color="000000" w:sz="4" w:space="0"/>
              <w:bottom w:val="single" w:color="000000" w:sz="4" w:space="0"/>
              <w:right w:val="single" w:color="000000" w:sz="4" w:space="0"/>
            </w:tcBorders>
            <w:vAlign w:val="center"/>
          </w:tcPr>
          <w:p w14:paraId="6F600437">
            <w:pPr>
              <w:keepNext w:val="0"/>
              <w:keepLines w:val="0"/>
              <w:pageBreakBefore w:val="0"/>
              <w:widowControl w:val="0"/>
              <w:kinsoku/>
              <w:wordWrap/>
              <w:overflowPunct/>
              <w:topLinePunct w:val="0"/>
              <w:autoSpaceDE/>
              <w:autoSpaceDN/>
              <w:bidi w:val="0"/>
              <w:adjustRightInd/>
              <w:snapToGrid/>
              <w:spacing w:line="360" w:lineRule="auto"/>
              <w:ind w:left="42" w:leftChars="20"/>
              <w:jc w:val="both"/>
              <w:textAlignment w:val="auto"/>
              <w:rPr>
                <w:rFonts w:hint="eastAsia" w:ascii="宋体" w:hAnsi="宋体" w:eastAsia="宋体" w:cs="宋体"/>
                <w:snapToGrid/>
                <w:color w:val="auto"/>
                <w:kern w:val="0"/>
                <w:sz w:val="21"/>
                <w:szCs w:val="21"/>
                <w:highlight w:val="none"/>
                <w:lang w:bidi="ar-SA"/>
              </w:rPr>
            </w:pPr>
            <w:r>
              <w:rPr>
                <w:rFonts w:hint="eastAsia" w:ascii="宋体" w:hAnsi="宋体" w:eastAsia="宋体" w:cs="宋体"/>
                <w:snapToGrid/>
                <w:color w:val="auto"/>
                <w:kern w:val="0"/>
                <w:sz w:val="21"/>
                <w:szCs w:val="21"/>
                <w:highlight w:val="none"/>
                <w:lang w:bidi="ar-SA"/>
              </w:rPr>
              <w:t>有违反采购文件及合同规定的</w:t>
            </w:r>
            <w:r>
              <w:rPr>
                <w:rFonts w:hint="eastAsia" w:ascii="宋体" w:hAnsi="宋体" w:cs="宋体" w:eastAsiaTheme="minorEastAsia"/>
                <w:snapToGrid/>
                <w:color w:val="auto"/>
                <w:kern w:val="0"/>
                <w:sz w:val="21"/>
                <w:szCs w:val="21"/>
                <w:highlight w:val="none"/>
                <w:lang w:eastAsia="zh-CN" w:bidi="ar-SA"/>
              </w:rPr>
              <w:t>其他</w:t>
            </w:r>
            <w:r>
              <w:rPr>
                <w:rFonts w:hint="eastAsia" w:ascii="宋体" w:hAnsi="宋体" w:eastAsia="宋体" w:cs="宋体"/>
                <w:snapToGrid/>
                <w:color w:val="auto"/>
                <w:kern w:val="0"/>
                <w:sz w:val="21"/>
                <w:szCs w:val="21"/>
                <w:highlight w:val="none"/>
                <w:lang w:bidi="ar-SA"/>
              </w:rPr>
              <w:t>违约事件的，每发现1次，需按违约性质并结合上述违约类别，每次扣5分</w:t>
            </w:r>
          </w:p>
        </w:tc>
        <w:tc>
          <w:tcPr>
            <w:tcW w:w="1104" w:type="dxa"/>
            <w:tcBorders>
              <w:top w:val="single" w:color="000000" w:sz="4" w:space="0"/>
              <w:left w:val="single" w:color="000000" w:sz="4" w:space="0"/>
              <w:bottom w:val="single" w:color="000000" w:sz="4" w:space="0"/>
              <w:right w:val="single" w:color="000000" w:sz="4" w:space="0"/>
            </w:tcBorders>
          </w:tcPr>
          <w:p w14:paraId="2A1CEE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1"/>
                <w:szCs w:val="21"/>
                <w:highlight w:val="none"/>
                <w:lang w:val="en-US" w:eastAsia="zh-CN" w:bidi="ar-SA"/>
              </w:rPr>
            </w:pPr>
          </w:p>
        </w:tc>
      </w:tr>
      <w:tr w14:paraId="7043D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203" w:type="dxa"/>
            <w:gridSpan w:val="5"/>
            <w:tcBorders>
              <w:top w:val="single" w:color="000000" w:sz="4" w:space="0"/>
              <w:left w:val="single" w:color="000000" w:sz="4" w:space="0"/>
              <w:bottom w:val="single" w:color="000000" w:sz="4" w:space="0"/>
              <w:right w:val="single" w:color="000000" w:sz="4" w:space="0"/>
            </w:tcBorders>
          </w:tcPr>
          <w:p w14:paraId="3F89E6CC">
            <w:pPr>
              <w:keepNext w:val="0"/>
              <w:keepLines w:val="0"/>
              <w:pageBreakBefore w:val="0"/>
              <w:widowControl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snapToGrid/>
                <w:color w:val="auto"/>
                <w:kern w:val="2"/>
                <w:sz w:val="21"/>
                <w:szCs w:val="21"/>
                <w:highlight w:val="none"/>
                <w:lang w:val="zh-CN" w:bidi="zh-CN"/>
              </w:rPr>
            </w:pPr>
            <w:r>
              <w:rPr>
                <w:rFonts w:hint="eastAsia" w:ascii="宋体" w:hAnsi="宋体" w:eastAsia="宋体" w:cs="宋体"/>
                <w:snapToGrid/>
                <w:color w:val="auto"/>
                <w:kern w:val="2"/>
                <w:sz w:val="21"/>
                <w:szCs w:val="21"/>
                <w:highlight w:val="none"/>
                <w:lang w:val="zh-CN" w:bidi="zh-CN"/>
              </w:rPr>
              <w:t>总体评价：</w:t>
            </w:r>
          </w:p>
          <w:p w14:paraId="7D341265">
            <w:pPr>
              <w:keepNext w:val="0"/>
              <w:keepLines w:val="0"/>
              <w:pageBreakBefore w:val="0"/>
              <w:widowControl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snapToGrid/>
                <w:color w:val="auto"/>
                <w:kern w:val="2"/>
                <w:sz w:val="21"/>
                <w:szCs w:val="21"/>
                <w:highlight w:val="none"/>
                <w:lang w:val="zh-CN" w:bidi="zh-CN"/>
              </w:rPr>
            </w:pPr>
            <w:r>
              <w:rPr>
                <w:rFonts w:hint="eastAsia" w:ascii="宋体" w:hAnsi="宋体" w:eastAsia="宋体" w:cs="宋体"/>
                <w:snapToGrid/>
                <w:color w:val="auto"/>
                <w:kern w:val="2"/>
                <w:sz w:val="21"/>
                <w:szCs w:val="21"/>
                <w:highlight w:val="none"/>
                <w:lang w:val="zh-CN" w:bidi="zh-CN"/>
              </w:rPr>
              <w:t>（可附页）</w:t>
            </w:r>
          </w:p>
        </w:tc>
      </w:tr>
      <w:tr w14:paraId="02EDC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81" w:type="dxa"/>
            <w:gridSpan w:val="3"/>
            <w:tcBorders>
              <w:top w:val="single" w:color="000000" w:sz="4" w:space="0"/>
              <w:left w:val="single" w:color="000000" w:sz="4" w:space="0"/>
              <w:bottom w:val="single" w:color="000000" w:sz="4" w:space="0"/>
              <w:right w:val="single" w:color="000000" w:sz="4" w:space="0"/>
            </w:tcBorders>
          </w:tcPr>
          <w:p w14:paraId="239C03BC">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2"/>
                <w:sz w:val="21"/>
                <w:szCs w:val="21"/>
                <w:highlight w:val="none"/>
                <w:lang w:val="zh-CN" w:bidi="zh-CN"/>
              </w:rPr>
            </w:pPr>
            <w:r>
              <w:rPr>
                <w:rFonts w:hint="eastAsia" w:ascii="宋体" w:hAnsi="宋体" w:eastAsia="宋体" w:cs="宋体"/>
                <w:snapToGrid/>
                <w:color w:val="auto"/>
                <w:kern w:val="2"/>
                <w:sz w:val="21"/>
                <w:szCs w:val="21"/>
                <w:highlight w:val="none"/>
                <w:lang w:val="zh-CN" w:bidi="zh-CN"/>
              </w:rPr>
              <w:t>被考核单位负责人签名</w:t>
            </w:r>
          </w:p>
          <w:p w14:paraId="1557931C">
            <w:pPr>
              <w:keepNext w:val="0"/>
              <w:keepLines w:val="0"/>
              <w:pageBreakBefore w:val="0"/>
              <w:widowControl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snapToGrid/>
                <w:color w:val="auto"/>
                <w:kern w:val="2"/>
                <w:sz w:val="21"/>
                <w:szCs w:val="21"/>
                <w:highlight w:val="none"/>
                <w:lang w:val="zh-CN" w:bidi="zh-CN"/>
              </w:rPr>
            </w:pPr>
          </w:p>
        </w:tc>
        <w:tc>
          <w:tcPr>
            <w:tcW w:w="4322" w:type="dxa"/>
            <w:gridSpan w:val="2"/>
            <w:tcBorders>
              <w:top w:val="single" w:color="000000" w:sz="4" w:space="0"/>
              <w:left w:val="single" w:color="000000" w:sz="4" w:space="0"/>
              <w:bottom w:val="single" w:color="000000" w:sz="4" w:space="0"/>
              <w:right w:val="single" w:color="000000" w:sz="4" w:space="0"/>
            </w:tcBorders>
          </w:tcPr>
          <w:p w14:paraId="4EA91CE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napToGrid/>
                <w:color w:val="auto"/>
                <w:kern w:val="2"/>
                <w:sz w:val="21"/>
                <w:szCs w:val="21"/>
                <w:highlight w:val="none"/>
                <w:lang w:val="zh-CN" w:bidi="zh-CN"/>
              </w:rPr>
            </w:pPr>
            <w:r>
              <w:rPr>
                <w:rFonts w:hint="eastAsia" w:ascii="宋体" w:hAnsi="宋体" w:eastAsia="宋体" w:cs="宋体"/>
                <w:snapToGrid/>
                <w:color w:val="auto"/>
                <w:kern w:val="2"/>
                <w:sz w:val="21"/>
                <w:szCs w:val="21"/>
                <w:highlight w:val="none"/>
                <w:lang w:val="zh-CN" w:bidi="zh-CN"/>
              </w:rPr>
              <w:t>考核人员签名：</w:t>
            </w:r>
          </w:p>
        </w:tc>
      </w:tr>
      <w:tr w14:paraId="1C301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203" w:type="dxa"/>
            <w:gridSpan w:val="5"/>
            <w:tcBorders>
              <w:top w:val="single" w:color="000000" w:sz="4" w:space="0"/>
              <w:left w:val="single" w:color="000000" w:sz="4" w:space="0"/>
              <w:bottom w:val="single" w:color="000000" w:sz="4" w:space="0"/>
              <w:right w:val="single" w:color="000000" w:sz="4" w:space="0"/>
            </w:tcBorders>
          </w:tcPr>
          <w:p w14:paraId="53637B76">
            <w:pPr>
              <w:keepNext w:val="0"/>
              <w:keepLines w:val="0"/>
              <w:pageBreakBefore w:val="0"/>
              <w:widowControl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snapToGrid/>
                <w:color w:val="auto"/>
                <w:kern w:val="2"/>
                <w:sz w:val="21"/>
                <w:szCs w:val="21"/>
                <w:highlight w:val="none"/>
                <w:lang w:val="zh-CN" w:bidi="zh-CN"/>
              </w:rPr>
            </w:pPr>
            <w:r>
              <w:rPr>
                <w:rFonts w:hint="eastAsia" w:ascii="宋体" w:hAnsi="宋体" w:eastAsia="宋体" w:cs="宋体"/>
                <w:snapToGrid/>
                <w:color w:val="auto"/>
                <w:kern w:val="2"/>
                <w:sz w:val="21"/>
                <w:szCs w:val="21"/>
                <w:highlight w:val="none"/>
                <w:lang w:val="zh-CN" w:bidi="zh-CN"/>
              </w:rPr>
              <w:t>备注：1</w:t>
            </w:r>
            <w:r>
              <w:rPr>
                <w:rFonts w:hint="eastAsia" w:ascii="宋体" w:hAnsi="宋体" w:cs="宋体" w:eastAsiaTheme="minorEastAsia"/>
                <w:snapToGrid/>
                <w:color w:val="auto"/>
                <w:spacing w:val="-12"/>
                <w:kern w:val="2"/>
                <w:sz w:val="21"/>
                <w:szCs w:val="21"/>
                <w:highlight w:val="none"/>
                <w:lang w:val="en-US" w:bidi="zh-CN"/>
              </w:rPr>
              <w:t>.</w:t>
            </w:r>
            <w:r>
              <w:rPr>
                <w:rFonts w:hint="eastAsia" w:ascii="宋体" w:hAnsi="宋体" w:eastAsia="宋体" w:cs="宋体"/>
                <w:snapToGrid/>
                <w:color w:val="auto"/>
                <w:kern w:val="2"/>
                <w:sz w:val="21"/>
                <w:szCs w:val="21"/>
                <w:highlight w:val="none"/>
                <w:lang w:val="zh-CN" w:bidi="zh-CN"/>
              </w:rPr>
              <w:t>根据实际需要，可由采购人调整并实施。</w:t>
            </w:r>
          </w:p>
        </w:tc>
      </w:tr>
    </w:tbl>
    <w:p w14:paraId="4B8CCC4C">
      <w:pPr>
        <w:spacing w:line="360" w:lineRule="auto"/>
        <w:jc w:val="center"/>
        <w:rPr>
          <w:rFonts w:hint="eastAsia" w:ascii="宋体" w:hAnsi="宋体" w:eastAsia="宋体" w:cs="宋体"/>
          <w:b/>
          <w:color w:val="auto"/>
          <w:sz w:val="52"/>
          <w:szCs w:val="52"/>
          <w:highlight w:val="none"/>
          <w:lang w:eastAsia="zh-CN"/>
        </w:rPr>
      </w:pPr>
    </w:p>
    <w:p w14:paraId="601F8263">
      <w:pPr>
        <w:spacing w:line="360" w:lineRule="auto"/>
        <w:jc w:val="center"/>
        <w:rPr>
          <w:rFonts w:hint="eastAsia" w:ascii="宋体" w:hAnsi="宋体" w:eastAsia="宋体" w:cs="宋体"/>
          <w:b/>
          <w:color w:val="auto"/>
          <w:sz w:val="52"/>
          <w:szCs w:val="52"/>
          <w:highlight w:val="none"/>
          <w:lang w:eastAsia="zh-CN"/>
        </w:rPr>
      </w:pPr>
    </w:p>
    <w:p w14:paraId="02455857">
      <w:pPr>
        <w:rPr>
          <w:rFonts w:hint="eastAsia" w:ascii="宋体" w:hAnsi="宋体" w:eastAsia="宋体" w:cs="宋体"/>
          <w:color w:val="auto"/>
          <w:sz w:val="24"/>
          <w:szCs w:val="24"/>
          <w:highlight w:val="none"/>
        </w:rPr>
      </w:pPr>
    </w:p>
    <w:p w14:paraId="4172B929">
      <w:pPr>
        <w:adjustRightInd w:val="0"/>
        <w:spacing w:before="240" w:beforeLines="100"/>
        <w:ind w:right="958"/>
        <w:jc w:val="center"/>
        <w:textAlignment w:val="baseline"/>
        <w:outlineLvl w:val="0"/>
        <w:rPr>
          <w:rFonts w:ascii="宋体" w:cs="宋体"/>
          <w:b/>
          <w:bCs/>
          <w:color w:val="auto"/>
          <w:kern w:val="0"/>
          <w:sz w:val="30"/>
          <w:szCs w:val="30"/>
          <w:highlight w:val="none"/>
        </w:rPr>
      </w:pPr>
      <w:r>
        <w:rPr>
          <w:rFonts w:hint="eastAsia" w:ascii="宋体" w:cs="宋体"/>
          <w:b/>
          <w:bCs/>
          <w:color w:val="auto"/>
          <w:kern w:val="0"/>
          <w:sz w:val="30"/>
          <w:szCs w:val="30"/>
          <w:highlight w:val="none"/>
        </w:rPr>
        <w:br w:type="page"/>
      </w:r>
      <w:bookmarkStart w:id="423" w:name="_Toc10263"/>
      <w:r>
        <w:rPr>
          <w:rFonts w:hint="eastAsia" w:ascii="宋体" w:cs="宋体"/>
          <w:b/>
          <w:bCs/>
          <w:color w:val="auto"/>
          <w:kern w:val="0"/>
          <w:sz w:val="30"/>
          <w:szCs w:val="30"/>
          <w:highlight w:val="none"/>
        </w:rPr>
        <w:t>第四部分 项目需求书</w:t>
      </w:r>
      <w:bookmarkEnd w:id="418"/>
      <w:bookmarkEnd w:id="423"/>
    </w:p>
    <w:p w14:paraId="6CBE1BAC">
      <w:pPr>
        <w:spacing w:after="181"/>
        <w:ind w:left="439"/>
        <w:rPr>
          <w:color w:val="auto"/>
          <w:highlight w:val="none"/>
        </w:rPr>
      </w:pPr>
      <w:r>
        <w:rPr>
          <w:color w:val="auto"/>
          <w:highlight w:val="none"/>
        </w:rPr>
        <w:t>说明：</w:t>
      </w:r>
    </w:p>
    <w:p w14:paraId="4277900C">
      <w:pPr>
        <w:spacing w:line="424"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1.响应供应商须对本项目单位的服务进行整体响应，任何只对其中一部分内容进行的响应都被视为无效响应。</w:t>
      </w:r>
    </w:p>
    <w:p w14:paraId="01809901">
      <w:pPr>
        <w:spacing w:line="424"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2.用户需求书中打“★”号条款为实质性条款，响应供应商如有任何一条负偏离则导致响应无效。</w:t>
      </w:r>
    </w:p>
    <w:bookmarkEnd w:id="419"/>
    <w:p w14:paraId="1F9ED04D">
      <w:pPr>
        <w:pStyle w:val="546"/>
        <w:tabs>
          <w:tab w:val="left" w:pos="284"/>
          <w:tab w:val="left" w:pos="567"/>
          <w:tab w:val="left" w:pos="1276"/>
        </w:tabs>
        <w:spacing w:line="360" w:lineRule="auto"/>
        <w:jc w:val="both"/>
        <w:outlineLvl w:val="0"/>
        <w:rPr>
          <w:rFonts w:hint="eastAsia" w:ascii="宋体"/>
          <w:b/>
          <w:color w:val="auto"/>
          <w:kern w:val="0"/>
          <w:sz w:val="30"/>
          <w:szCs w:val="30"/>
          <w:highlight w:val="none"/>
        </w:rPr>
      </w:pPr>
      <w:bookmarkStart w:id="424" w:name="_Toc101545315"/>
    </w:p>
    <w:p w14:paraId="378B59CA">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宋体" w:hAnsi="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w:t>
      </w:r>
      <w:r>
        <w:rPr>
          <w:rFonts w:hint="eastAsia" w:ascii="宋体" w:hAnsi="宋体" w:cs="宋体"/>
          <w:b/>
          <w:bCs/>
          <w:color w:val="auto"/>
          <w:sz w:val="21"/>
          <w:szCs w:val="21"/>
          <w:highlight w:val="none"/>
          <w:lang w:val="en-US" w:eastAsia="zh-CN"/>
        </w:rPr>
        <w:t>项目概况</w:t>
      </w:r>
    </w:p>
    <w:p w14:paraId="67B8583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default" w:ascii="宋体" w:hAnsi="宋体" w:eastAsia="宋体" w:cs="宋体"/>
          <w:b w:val="0"/>
          <w:strike w:val="0"/>
          <w:dstrike w:val="0"/>
          <w:color w:val="auto"/>
          <w:kern w:val="2"/>
          <w:sz w:val="21"/>
          <w:szCs w:val="21"/>
          <w:highlight w:val="none"/>
          <w:lang w:val="en-US" w:eastAsia="zh-CN"/>
        </w:rPr>
      </w:pPr>
      <w:r>
        <w:rPr>
          <w:rFonts w:hint="default" w:ascii="宋体" w:hAnsi="宋体" w:cs="宋体"/>
          <w:color w:val="auto"/>
          <w:szCs w:val="21"/>
          <w:highlight w:val="none"/>
        </w:rPr>
        <w:t>本次采购项目为中华人民共和国阳江海关和阳江海关综合技术服务中心共两个单位联合采购（中华人民共和国阳江海关年采购预算72万元，阳江海关综合技术服务中心年采购预算26万元，成交供应商需与两个单位分别签订合同，月结算时与两个单位分别结算），并由中华人民共和国阳江海关负责组织开展本次采购项目，成交供应商负责阳江海关职工食堂食材配送服务（两个单位食材配送地点一致），保证食堂伙食供应，做到供应海关食堂的食材源头可控、中间环节可查、终端有保障，切实保障职工饮食安全。</w:t>
      </w:r>
    </w:p>
    <w:p w14:paraId="1BD84742">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default" w:ascii="宋体" w:hAnsi="宋体" w:eastAsia="宋体" w:cs="宋体"/>
          <w:b w:val="0"/>
          <w:strike w:val="0"/>
          <w:dstrike w:val="0"/>
          <w:color w:val="auto"/>
          <w:kern w:val="2"/>
          <w:sz w:val="21"/>
          <w:szCs w:val="21"/>
          <w:highlight w:val="none"/>
          <w:lang w:val="en-US" w:eastAsia="zh-CN"/>
        </w:rPr>
      </w:pPr>
      <w:r>
        <w:rPr>
          <w:rFonts w:hint="eastAsia" w:ascii="宋体" w:hAnsi="宋体" w:eastAsia="宋体" w:cs="宋体"/>
          <w:b/>
          <w:bCs/>
          <w:color w:val="auto"/>
          <w:sz w:val="21"/>
          <w:szCs w:val="21"/>
          <w:highlight w:val="none"/>
          <w:lang w:val="en-US" w:eastAsia="zh-CN"/>
        </w:rPr>
        <w:t>二、项目总体要求</w:t>
      </w:r>
    </w:p>
    <w:p w14:paraId="3C98E83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1.</w:t>
      </w:r>
      <w:r>
        <w:rPr>
          <w:rFonts w:hint="eastAsia" w:ascii="宋体" w:hAnsi="宋体" w:eastAsia="宋体" w:cs="宋体"/>
          <w:b w:val="0"/>
          <w:strike w:val="0"/>
          <w:dstrike w:val="0"/>
          <w:color w:val="auto"/>
          <w:kern w:val="2"/>
          <w:sz w:val="21"/>
          <w:szCs w:val="21"/>
          <w:highlight w:val="none"/>
          <w:lang w:val="en-US" w:eastAsia="zh-CN"/>
        </w:rPr>
        <w:t>★所有食材要求为非转基因食品。</w:t>
      </w:r>
      <w:r>
        <w:rPr>
          <w:rFonts w:hint="eastAsia" w:ascii="宋体" w:hAnsi="宋体" w:cs="宋体"/>
          <w:b/>
          <w:bCs/>
          <w:strike w:val="0"/>
          <w:dstrike w:val="0"/>
          <w:color w:val="auto"/>
          <w:kern w:val="2"/>
          <w:sz w:val="21"/>
          <w:szCs w:val="21"/>
          <w:highlight w:val="none"/>
          <w:lang w:val="en-US" w:eastAsia="zh-CN"/>
        </w:rPr>
        <w:t>（</w:t>
      </w:r>
      <w:r>
        <w:rPr>
          <w:rFonts w:hint="eastAsia" w:ascii="宋体" w:hAnsi="宋体" w:eastAsia="宋体" w:cs="宋体"/>
          <w:b/>
          <w:bCs/>
          <w:strike w:val="0"/>
          <w:dstrike w:val="0"/>
          <w:color w:val="auto"/>
          <w:kern w:val="2"/>
          <w:sz w:val="21"/>
          <w:szCs w:val="21"/>
          <w:highlight w:val="none"/>
          <w:lang w:val="en-US" w:eastAsia="zh-CN"/>
        </w:rPr>
        <w:t>提供承诺函，格式自拟</w:t>
      </w:r>
      <w:r>
        <w:rPr>
          <w:rFonts w:hint="eastAsia" w:ascii="宋体" w:hAnsi="宋体" w:cs="宋体"/>
          <w:b/>
          <w:bCs/>
          <w:strike w:val="0"/>
          <w:dstrike w:val="0"/>
          <w:color w:val="auto"/>
          <w:kern w:val="2"/>
          <w:sz w:val="21"/>
          <w:szCs w:val="21"/>
          <w:highlight w:val="none"/>
          <w:lang w:val="en-US" w:eastAsia="zh-CN"/>
        </w:rPr>
        <w:t>）</w:t>
      </w:r>
    </w:p>
    <w:p w14:paraId="1F839FF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default"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2.</w:t>
      </w:r>
      <w:r>
        <w:rPr>
          <w:rFonts w:hint="eastAsia" w:ascii="宋体" w:hAnsi="宋体" w:eastAsia="宋体" w:cs="宋体"/>
          <w:b w:val="0"/>
          <w:strike w:val="0"/>
          <w:dstrike w:val="0"/>
          <w:color w:val="auto"/>
          <w:kern w:val="2"/>
          <w:sz w:val="21"/>
          <w:szCs w:val="21"/>
          <w:highlight w:val="none"/>
          <w:lang w:val="en-US" w:eastAsia="zh-CN"/>
        </w:rPr>
        <w:t>供应商所提供的食品食材中有使用有效期的，其剩余有效期不得少于标注有效期的80%。</w:t>
      </w:r>
    </w:p>
    <w:p w14:paraId="496B39F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3.</w:t>
      </w:r>
      <w:r>
        <w:rPr>
          <w:rFonts w:hint="eastAsia" w:ascii="宋体" w:hAnsi="宋体" w:eastAsia="宋体" w:cs="宋体"/>
          <w:b w:val="0"/>
          <w:strike w:val="0"/>
          <w:dstrike w:val="0"/>
          <w:color w:val="auto"/>
          <w:kern w:val="2"/>
          <w:sz w:val="21"/>
          <w:szCs w:val="21"/>
          <w:highlight w:val="none"/>
          <w:lang w:val="en-US" w:eastAsia="zh-CN"/>
        </w:rPr>
        <w:t>供应商所供的食品食材必须符合“中华人民共和国食品卫生法”要求。</w:t>
      </w:r>
    </w:p>
    <w:p w14:paraId="54CF42E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4.</w:t>
      </w:r>
      <w:r>
        <w:rPr>
          <w:rFonts w:hint="eastAsia" w:ascii="宋体" w:hAnsi="宋体" w:eastAsia="宋体" w:cs="宋体"/>
          <w:b w:val="0"/>
          <w:strike w:val="0"/>
          <w:dstrike w:val="0"/>
          <w:color w:val="auto"/>
          <w:kern w:val="2"/>
          <w:sz w:val="21"/>
          <w:szCs w:val="21"/>
          <w:highlight w:val="none"/>
          <w:lang w:val="en-US" w:eastAsia="zh-CN"/>
        </w:rPr>
        <w:t>供应商需承诺所</w:t>
      </w:r>
      <w:r>
        <w:rPr>
          <w:rFonts w:hint="eastAsia" w:ascii="宋体" w:hAnsi="宋体" w:cs="宋体"/>
          <w:b w:val="0"/>
          <w:strike w:val="0"/>
          <w:dstrike w:val="0"/>
          <w:color w:val="auto"/>
          <w:kern w:val="2"/>
          <w:sz w:val="21"/>
          <w:szCs w:val="21"/>
          <w:highlight w:val="none"/>
          <w:lang w:val="en-US" w:eastAsia="zh-CN"/>
        </w:rPr>
        <w:t>提</w:t>
      </w:r>
      <w:r>
        <w:rPr>
          <w:rFonts w:hint="eastAsia" w:ascii="宋体" w:hAnsi="宋体" w:eastAsia="宋体" w:cs="宋体"/>
          <w:b w:val="0"/>
          <w:strike w:val="0"/>
          <w:dstrike w:val="0"/>
          <w:color w:val="auto"/>
          <w:kern w:val="2"/>
          <w:sz w:val="21"/>
          <w:szCs w:val="21"/>
          <w:highlight w:val="none"/>
          <w:lang w:val="en-US" w:eastAsia="zh-CN"/>
        </w:rPr>
        <w:t>供的食品食材必须符合国家有关标准，保证无异味、无霉烂变质，如不符合质量标准，必须退货并承担违约责任。</w:t>
      </w:r>
    </w:p>
    <w:p w14:paraId="7D673BD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5.</w:t>
      </w:r>
      <w:r>
        <w:rPr>
          <w:rFonts w:hint="eastAsia" w:ascii="宋体" w:hAnsi="宋体" w:eastAsia="宋体" w:cs="宋体"/>
          <w:b w:val="0"/>
          <w:strike w:val="0"/>
          <w:dstrike w:val="0"/>
          <w:color w:val="auto"/>
          <w:kern w:val="2"/>
          <w:sz w:val="21"/>
          <w:szCs w:val="21"/>
          <w:highlight w:val="none"/>
          <w:lang w:val="en-US" w:eastAsia="zh-CN"/>
        </w:rPr>
        <w:t>供应商所供食品食材必须符合国家行业生产及经营标准，货真价实，均能提供相应批次的合格检验证明。</w:t>
      </w:r>
    </w:p>
    <w:p w14:paraId="172F935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6.</w:t>
      </w:r>
      <w:r>
        <w:rPr>
          <w:rFonts w:hint="eastAsia" w:ascii="宋体" w:hAnsi="宋体" w:eastAsia="宋体" w:cs="宋体"/>
          <w:b w:val="0"/>
          <w:strike w:val="0"/>
          <w:dstrike w:val="0"/>
          <w:color w:val="auto"/>
          <w:kern w:val="2"/>
          <w:sz w:val="21"/>
          <w:szCs w:val="21"/>
          <w:highlight w:val="none"/>
          <w:lang w:val="en-US" w:eastAsia="zh-CN"/>
        </w:rPr>
        <w:t>供应商所供应的食品食材必须各项技术指标完全符合国家有关质量检测、环保标准及产品出厂标准。</w:t>
      </w:r>
    </w:p>
    <w:p w14:paraId="72559050">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7.</w:t>
      </w:r>
      <w:r>
        <w:rPr>
          <w:rFonts w:hint="eastAsia" w:ascii="宋体" w:hAnsi="宋体" w:eastAsia="宋体" w:cs="宋体"/>
          <w:b w:val="0"/>
          <w:strike w:val="0"/>
          <w:dstrike w:val="0"/>
          <w:color w:val="auto"/>
          <w:kern w:val="2"/>
          <w:sz w:val="21"/>
          <w:szCs w:val="21"/>
          <w:highlight w:val="none"/>
          <w:lang w:val="en-US" w:eastAsia="zh-CN"/>
        </w:rPr>
        <w:t>供应商必须负责所供应食品食材的运输、质量检测等工作，所产生的费用由</w:t>
      </w:r>
      <w:r>
        <w:rPr>
          <w:rFonts w:hint="eastAsia" w:ascii="宋体" w:hAnsi="宋体" w:cs="宋体"/>
          <w:b w:val="0"/>
          <w:strike w:val="0"/>
          <w:dstrike w:val="0"/>
          <w:color w:val="auto"/>
          <w:kern w:val="2"/>
          <w:sz w:val="21"/>
          <w:szCs w:val="21"/>
          <w:highlight w:val="none"/>
          <w:lang w:val="en-US" w:eastAsia="zh-CN"/>
        </w:rPr>
        <w:t>成交</w:t>
      </w:r>
      <w:r>
        <w:rPr>
          <w:rFonts w:hint="eastAsia" w:ascii="宋体" w:hAnsi="宋体" w:eastAsia="宋体" w:cs="宋体"/>
          <w:b w:val="0"/>
          <w:strike w:val="0"/>
          <w:dstrike w:val="0"/>
          <w:color w:val="auto"/>
          <w:kern w:val="2"/>
          <w:sz w:val="21"/>
          <w:szCs w:val="21"/>
          <w:highlight w:val="none"/>
          <w:lang w:val="en-US" w:eastAsia="zh-CN"/>
        </w:rPr>
        <w:t>供应商负责。</w:t>
      </w:r>
    </w:p>
    <w:p w14:paraId="577CAA8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8.</w:t>
      </w:r>
      <w:r>
        <w:rPr>
          <w:rFonts w:hint="eastAsia" w:ascii="宋体" w:hAnsi="宋体" w:eastAsia="宋体" w:cs="宋体"/>
          <w:b w:val="0"/>
          <w:strike w:val="0"/>
          <w:dstrike w:val="0"/>
          <w:color w:val="auto"/>
          <w:kern w:val="2"/>
          <w:sz w:val="21"/>
          <w:szCs w:val="21"/>
          <w:highlight w:val="none"/>
          <w:lang w:val="en-US" w:eastAsia="zh-CN"/>
        </w:rPr>
        <w:t>食品食材具体需求量以实际供应前采购人的通知为准。</w:t>
      </w:r>
    </w:p>
    <w:p w14:paraId="3C2F28D8">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9.</w:t>
      </w:r>
      <w:r>
        <w:rPr>
          <w:rFonts w:hint="eastAsia" w:ascii="宋体" w:hAnsi="宋体" w:eastAsia="宋体" w:cs="宋体"/>
          <w:b w:val="0"/>
          <w:strike w:val="0"/>
          <w:dstrike w:val="0"/>
          <w:color w:val="auto"/>
          <w:kern w:val="2"/>
          <w:sz w:val="21"/>
          <w:szCs w:val="21"/>
          <w:highlight w:val="none"/>
          <w:lang w:val="en-US" w:eastAsia="zh-CN"/>
        </w:rPr>
        <w:t>由于采购人工作的特殊性，供应商应做好本单位工作人员的教育工作，遵守采购人各项规定。</w:t>
      </w:r>
    </w:p>
    <w:p w14:paraId="292075C3">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10.</w:t>
      </w:r>
      <w:r>
        <w:rPr>
          <w:rFonts w:hint="eastAsia" w:ascii="宋体" w:hAnsi="宋体" w:eastAsia="宋体" w:cs="宋体"/>
          <w:b w:val="0"/>
          <w:strike w:val="0"/>
          <w:dstrike w:val="0"/>
          <w:color w:val="auto"/>
          <w:kern w:val="2"/>
          <w:sz w:val="21"/>
          <w:szCs w:val="21"/>
          <w:highlight w:val="none"/>
          <w:lang w:val="en-US" w:eastAsia="zh-CN"/>
        </w:rPr>
        <w:t>供应商除不可抗力，不得因其他任何理由延迟送货。采购人如遇特殊情况需推迟送货，应提前通知供应商。因供应商原因延误交货日期的</w:t>
      </w:r>
      <w:r>
        <w:rPr>
          <w:rFonts w:hint="eastAsia" w:ascii="宋体" w:hAnsi="宋体" w:cs="宋体"/>
          <w:b w:val="0"/>
          <w:strike w:val="0"/>
          <w:dstrike w:val="0"/>
          <w:color w:val="auto"/>
          <w:kern w:val="2"/>
          <w:sz w:val="21"/>
          <w:szCs w:val="21"/>
          <w:highlight w:val="none"/>
          <w:lang w:val="en-US" w:eastAsia="zh-CN"/>
        </w:rPr>
        <w:t>（</w:t>
      </w:r>
      <w:r>
        <w:rPr>
          <w:rFonts w:hint="eastAsia" w:ascii="宋体" w:hAnsi="宋体" w:eastAsia="宋体" w:cs="宋体"/>
          <w:b w:val="0"/>
          <w:strike w:val="0"/>
          <w:dstrike w:val="0"/>
          <w:color w:val="auto"/>
          <w:kern w:val="2"/>
          <w:sz w:val="21"/>
          <w:szCs w:val="21"/>
          <w:highlight w:val="none"/>
          <w:lang w:val="en-US" w:eastAsia="zh-CN"/>
        </w:rPr>
        <w:t>采购人要求推迟的除外</w:t>
      </w:r>
      <w:r>
        <w:rPr>
          <w:rFonts w:hint="eastAsia" w:ascii="宋体" w:hAnsi="宋体" w:cs="宋体"/>
          <w:b w:val="0"/>
          <w:strike w:val="0"/>
          <w:dstrike w:val="0"/>
          <w:color w:val="auto"/>
          <w:kern w:val="2"/>
          <w:sz w:val="21"/>
          <w:szCs w:val="21"/>
          <w:highlight w:val="none"/>
          <w:lang w:val="en-US" w:eastAsia="zh-CN"/>
        </w:rPr>
        <w:t>），</w:t>
      </w:r>
      <w:r>
        <w:rPr>
          <w:rFonts w:hint="eastAsia" w:ascii="宋体" w:hAnsi="宋体" w:eastAsia="宋体" w:cs="宋体"/>
          <w:b w:val="0"/>
          <w:strike w:val="0"/>
          <w:dstrike w:val="0"/>
          <w:color w:val="auto"/>
          <w:kern w:val="2"/>
          <w:sz w:val="21"/>
          <w:szCs w:val="21"/>
          <w:highlight w:val="none"/>
          <w:lang w:val="en-US" w:eastAsia="zh-CN"/>
        </w:rPr>
        <w:t>采购人有权自行采购，并由供应商承担由此产生的一切损失和费用。</w:t>
      </w:r>
    </w:p>
    <w:p w14:paraId="13561D6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11.</w:t>
      </w:r>
      <w:r>
        <w:rPr>
          <w:rFonts w:hint="eastAsia" w:ascii="宋体" w:hAnsi="宋体" w:eastAsia="宋体" w:cs="宋体"/>
          <w:b w:val="0"/>
          <w:strike w:val="0"/>
          <w:dstrike w:val="0"/>
          <w:color w:val="auto"/>
          <w:kern w:val="2"/>
          <w:sz w:val="21"/>
          <w:szCs w:val="21"/>
          <w:highlight w:val="none"/>
          <w:lang w:val="en-US" w:eastAsia="zh-CN"/>
        </w:rPr>
        <w:t>供应商不得随意变更供应的食品食材，应严格按招标要求</w:t>
      </w:r>
      <w:r>
        <w:rPr>
          <w:rFonts w:hint="eastAsia" w:ascii="宋体" w:hAnsi="宋体" w:cs="宋体"/>
          <w:b w:val="0"/>
          <w:strike w:val="0"/>
          <w:dstrike w:val="0"/>
          <w:color w:val="auto"/>
          <w:kern w:val="2"/>
          <w:sz w:val="21"/>
          <w:szCs w:val="21"/>
          <w:highlight w:val="none"/>
          <w:lang w:val="en-US" w:eastAsia="zh-CN"/>
        </w:rPr>
        <w:t>（</w:t>
      </w:r>
      <w:r>
        <w:rPr>
          <w:rFonts w:hint="eastAsia" w:ascii="宋体" w:hAnsi="宋体" w:eastAsia="宋体" w:cs="宋体"/>
          <w:b w:val="0"/>
          <w:strike w:val="0"/>
          <w:dstrike w:val="0"/>
          <w:color w:val="auto"/>
          <w:kern w:val="2"/>
          <w:sz w:val="21"/>
          <w:szCs w:val="21"/>
          <w:highlight w:val="none"/>
          <w:lang w:val="en-US" w:eastAsia="zh-CN"/>
        </w:rPr>
        <w:t>含商标、名称、产地、规格和重量等</w:t>
      </w:r>
      <w:r>
        <w:rPr>
          <w:rFonts w:hint="eastAsia" w:ascii="宋体" w:hAnsi="宋体" w:cs="宋体"/>
          <w:b w:val="0"/>
          <w:strike w:val="0"/>
          <w:dstrike w:val="0"/>
          <w:color w:val="auto"/>
          <w:kern w:val="2"/>
          <w:sz w:val="21"/>
          <w:szCs w:val="21"/>
          <w:highlight w:val="none"/>
          <w:lang w:val="en-US" w:eastAsia="zh-CN"/>
        </w:rPr>
        <w:t>）</w:t>
      </w:r>
      <w:r>
        <w:rPr>
          <w:rFonts w:hint="eastAsia" w:ascii="宋体" w:hAnsi="宋体" w:eastAsia="宋体" w:cs="宋体"/>
          <w:b w:val="0"/>
          <w:strike w:val="0"/>
          <w:dstrike w:val="0"/>
          <w:color w:val="auto"/>
          <w:kern w:val="2"/>
          <w:sz w:val="21"/>
          <w:szCs w:val="21"/>
          <w:highlight w:val="none"/>
          <w:lang w:val="en-US" w:eastAsia="zh-CN"/>
        </w:rPr>
        <w:t>供应，否则，采购人有权拒收。如因市场流通问题确实需要变更的，应书面向采购人申请，按采购人书面回复的意见执行。</w:t>
      </w:r>
    </w:p>
    <w:p w14:paraId="270D820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12.</w:t>
      </w:r>
      <w:r>
        <w:rPr>
          <w:rFonts w:hint="eastAsia" w:ascii="宋体" w:hAnsi="宋体" w:eastAsia="宋体" w:cs="宋体"/>
          <w:b w:val="0"/>
          <w:strike w:val="0"/>
          <w:dstrike w:val="0"/>
          <w:color w:val="auto"/>
          <w:kern w:val="2"/>
          <w:sz w:val="21"/>
          <w:szCs w:val="21"/>
          <w:highlight w:val="none"/>
          <w:lang w:val="en-US" w:eastAsia="zh-CN"/>
        </w:rPr>
        <w:t>供应商供应假冒伪劣、以次充好的食品食材，除立即更换外，以不予支付本批货物货款作为处罚。采购人将事件记录在案，根据月度考核结果，今后将作为不合格供应商列入黑名单，不能参加采购人今后任何的招标采购活动。</w:t>
      </w:r>
    </w:p>
    <w:p w14:paraId="430DA3FE">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strike w:val="0"/>
          <w:dstrike w:val="0"/>
          <w:color w:val="auto"/>
          <w:kern w:val="2"/>
          <w:sz w:val="21"/>
          <w:szCs w:val="21"/>
          <w:highlight w:val="none"/>
          <w:lang w:val="en-US" w:eastAsia="zh-CN"/>
        </w:rPr>
      </w:pPr>
      <w:r>
        <w:rPr>
          <w:rFonts w:hint="default" w:ascii="宋体" w:hAnsi="宋体" w:eastAsia="宋体" w:cs="宋体"/>
          <w:b w:val="0"/>
          <w:strike w:val="0"/>
          <w:dstrike w:val="0"/>
          <w:color w:val="auto"/>
          <w:kern w:val="2"/>
          <w:sz w:val="21"/>
          <w:szCs w:val="21"/>
          <w:highlight w:val="none"/>
          <w:lang w:val="en-US" w:eastAsia="zh-CN"/>
        </w:rPr>
        <w:t>13.</w:t>
      </w:r>
      <w:r>
        <w:rPr>
          <w:rFonts w:hint="eastAsia" w:ascii="宋体" w:hAnsi="宋体" w:eastAsia="宋体" w:cs="宋体"/>
          <w:b w:val="0"/>
          <w:strike w:val="0"/>
          <w:dstrike w:val="0"/>
          <w:color w:val="auto"/>
          <w:kern w:val="2"/>
          <w:sz w:val="21"/>
          <w:szCs w:val="21"/>
          <w:highlight w:val="none"/>
          <w:lang w:val="en-US" w:eastAsia="zh-CN"/>
        </w:rPr>
        <w:t>供应商应购买食品安全责任险。</w:t>
      </w:r>
    </w:p>
    <w:p w14:paraId="731F794A">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1"/>
          <w:szCs w:val="21"/>
          <w:highlight w:val="none"/>
        </w:rPr>
      </w:pPr>
      <w:r>
        <w:rPr>
          <w:rFonts w:hint="default" w:ascii="宋体" w:hAnsi="宋体" w:eastAsia="宋体" w:cs="宋体"/>
          <w:b w:val="0"/>
          <w:strike w:val="0"/>
          <w:dstrike w:val="0"/>
          <w:color w:val="auto"/>
          <w:kern w:val="2"/>
          <w:sz w:val="21"/>
          <w:szCs w:val="21"/>
          <w:highlight w:val="none"/>
          <w:lang w:val="en-US" w:eastAsia="zh-CN"/>
        </w:rPr>
        <w:t>14.</w:t>
      </w:r>
      <w:r>
        <w:rPr>
          <w:rFonts w:hint="eastAsia" w:ascii="宋体" w:hAnsi="宋体" w:eastAsia="宋体" w:cs="宋体"/>
          <w:b w:val="0"/>
          <w:strike w:val="0"/>
          <w:dstrike w:val="0"/>
          <w:color w:val="auto"/>
          <w:kern w:val="2"/>
          <w:sz w:val="21"/>
          <w:szCs w:val="21"/>
          <w:highlight w:val="none"/>
          <w:lang w:val="en-US" w:eastAsia="zh-CN"/>
        </w:rPr>
        <w:t>如有国家政策要求采购其他食品物资的，以国家政策为准，</w:t>
      </w:r>
      <w:r>
        <w:rPr>
          <w:rFonts w:hint="eastAsia" w:ascii="宋体" w:hAnsi="宋体" w:cs="宋体"/>
          <w:b w:val="0"/>
          <w:strike w:val="0"/>
          <w:dstrike w:val="0"/>
          <w:color w:val="auto"/>
          <w:kern w:val="2"/>
          <w:sz w:val="21"/>
          <w:szCs w:val="21"/>
          <w:highlight w:val="none"/>
          <w:lang w:val="en-US" w:eastAsia="zh-CN"/>
        </w:rPr>
        <w:t>成交</w:t>
      </w:r>
      <w:r>
        <w:rPr>
          <w:rFonts w:hint="eastAsia" w:ascii="宋体" w:hAnsi="宋体" w:eastAsia="宋体" w:cs="宋体"/>
          <w:b w:val="0"/>
          <w:strike w:val="0"/>
          <w:dstrike w:val="0"/>
          <w:color w:val="auto"/>
          <w:kern w:val="2"/>
          <w:sz w:val="21"/>
          <w:szCs w:val="21"/>
          <w:highlight w:val="none"/>
          <w:lang w:val="en-US" w:eastAsia="zh-CN"/>
        </w:rPr>
        <w:t>供应商需无条件执行。</w:t>
      </w:r>
    </w:p>
    <w:p w14:paraId="08133B01">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r>
        <w:rPr>
          <w:rFonts w:hint="eastAsia" w:ascii="宋体" w:hAnsi="宋体" w:cs="宋体" w:eastAsiaTheme="minorEastAsia"/>
          <w:b/>
          <w:bCs/>
          <w:color w:val="auto"/>
          <w:sz w:val="21"/>
          <w:szCs w:val="21"/>
          <w:highlight w:val="none"/>
          <w:lang w:val="en-US" w:eastAsia="zh-CN" w:bidi="ar-SA"/>
        </w:rPr>
        <w:t>三</w:t>
      </w:r>
      <w:r>
        <w:rPr>
          <w:rFonts w:hint="eastAsia" w:ascii="宋体" w:hAnsi="宋体" w:eastAsia="宋体" w:cs="宋体"/>
          <w:b/>
          <w:bCs/>
          <w:color w:val="auto"/>
          <w:sz w:val="21"/>
          <w:szCs w:val="21"/>
          <w:highlight w:val="none"/>
          <w:lang w:val="en-US" w:eastAsia="zh-CN" w:bidi="ar-SA"/>
        </w:rPr>
        <w:t>、配送要求</w:t>
      </w:r>
    </w:p>
    <w:p w14:paraId="1450C1FA">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1.交货时间：要求每天早上6:</w:t>
      </w:r>
      <w:r>
        <w:rPr>
          <w:rFonts w:hint="eastAsia" w:ascii="宋体" w:hAnsi="宋体" w:cs="宋体"/>
          <w:color w:val="auto"/>
          <w:szCs w:val="21"/>
          <w:highlight w:val="none"/>
          <w:lang w:val="en-US" w:eastAsia="zh-CN" w:bidi="ar-SA"/>
        </w:rPr>
        <w:t>0</w:t>
      </w:r>
      <w:r>
        <w:rPr>
          <w:rFonts w:hint="eastAsia" w:ascii="宋体" w:hAnsi="宋体" w:eastAsia="宋体" w:cs="宋体"/>
          <w:color w:val="auto"/>
          <w:szCs w:val="21"/>
          <w:highlight w:val="none"/>
          <w:lang w:bidi="ar-SA"/>
        </w:rPr>
        <w:t>0前送到交货地点，临时性采购要按采购人的要求时间送达交货地点。</w:t>
      </w:r>
    </w:p>
    <w:p w14:paraId="7E5DC1E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bidi="ar-SA"/>
        </w:rPr>
      </w:pPr>
      <w:r>
        <w:rPr>
          <w:rFonts w:hint="eastAsia" w:ascii="宋体" w:hAnsi="宋体" w:cs="宋体" w:eastAsiaTheme="minorEastAsia"/>
          <w:color w:val="auto"/>
          <w:sz w:val="21"/>
          <w:szCs w:val="21"/>
          <w:highlight w:val="none"/>
          <w:lang w:val="en-US" w:eastAsia="zh-CN" w:bidi="ar-SA"/>
        </w:rPr>
        <w:t>2</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lang w:bidi="ar-SA"/>
        </w:rPr>
        <w:t>包装与标志要求：</w:t>
      </w:r>
    </w:p>
    <w:p w14:paraId="777F6E5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（1）包装：容器</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框、箱、袋</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要求清洁、干燥、牢固、透气，无污染、无异味、无霉变现象。</w:t>
      </w:r>
    </w:p>
    <w:p w14:paraId="62A13E8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sz w:val="21"/>
          <w:szCs w:val="21"/>
          <w:highlight w:val="none"/>
          <w:lang w:bidi="ar-SA"/>
        </w:rPr>
        <w:t>标志：每件食材包装必须按《农产品包装和标识管理办法》贴标签，并标明产地、品种、净含量、生产单位及地址和采收日期等。</w:t>
      </w:r>
    </w:p>
    <w:p w14:paraId="0479C0D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bidi="ar-SA"/>
        </w:rPr>
      </w:pPr>
      <w:r>
        <w:rPr>
          <w:rFonts w:hint="eastAsia" w:ascii="宋体" w:hAnsi="宋体" w:cs="宋体" w:eastAsiaTheme="minorEastAsia"/>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lang w:bidi="ar-SA"/>
        </w:rPr>
        <w:t>食材运输要求：</w:t>
      </w:r>
    </w:p>
    <w:p w14:paraId="7C06517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bidi="ar-SA"/>
        </w:rPr>
      </w:pPr>
      <w:r>
        <w:rPr>
          <w:rFonts w:hint="eastAsia" w:ascii="宋体" w:hAnsi="宋体" w:cs="宋体" w:eastAsiaTheme="minorEastAsia"/>
          <w:color w:val="auto"/>
          <w:sz w:val="21"/>
          <w:szCs w:val="21"/>
          <w:highlight w:val="none"/>
          <w:lang w:eastAsia="zh-CN" w:bidi="ar-SA"/>
        </w:rPr>
        <w:t>（</w:t>
      </w:r>
      <w:r>
        <w:rPr>
          <w:rFonts w:hint="eastAsia" w:ascii="宋体" w:hAnsi="宋体" w:cs="宋体" w:eastAsiaTheme="minorEastAsia"/>
          <w:color w:val="auto"/>
          <w:sz w:val="21"/>
          <w:szCs w:val="21"/>
          <w:highlight w:val="none"/>
          <w:lang w:val="en-US" w:eastAsia="zh-CN" w:bidi="ar-SA"/>
        </w:rPr>
        <w:t>1</w:t>
      </w:r>
      <w:r>
        <w:rPr>
          <w:rFonts w:hint="eastAsia" w:ascii="宋体" w:hAnsi="宋体" w:cs="宋体" w:eastAsiaTheme="minorEastAsia"/>
          <w:color w:val="auto"/>
          <w:sz w:val="21"/>
          <w:szCs w:val="21"/>
          <w:highlight w:val="none"/>
          <w:lang w:eastAsia="zh-CN" w:bidi="ar-SA"/>
        </w:rPr>
        <w:t>）</w:t>
      </w:r>
      <w:r>
        <w:rPr>
          <w:rFonts w:hint="eastAsia" w:ascii="宋体" w:hAnsi="宋体" w:eastAsia="宋体" w:cs="宋体"/>
          <w:color w:val="auto"/>
          <w:sz w:val="21"/>
          <w:szCs w:val="21"/>
          <w:highlight w:val="none"/>
          <w:lang w:bidi="ar-SA"/>
        </w:rPr>
        <w:t>运输工具应清洁卫生无污染，并且要保持清洁和定期消毒。</w:t>
      </w:r>
    </w:p>
    <w:p w14:paraId="3F20E4F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w:t>
      </w:r>
      <w:r>
        <w:rPr>
          <w:rFonts w:hint="eastAsia" w:ascii="宋体" w:hAnsi="宋体" w:cs="宋体" w:eastAsiaTheme="minorEastAsia"/>
          <w:color w:val="auto"/>
          <w:szCs w:val="21"/>
          <w:highlight w:val="none"/>
          <w:lang w:val="en-US" w:eastAsia="zh-CN" w:bidi="ar-SA"/>
        </w:rPr>
        <w:t>2</w:t>
      </w:r>
      <w:r>
        <w:rPr>
          <w:rFonts w:hint="eastAsia" w:ascii="宋体" w:hAnsi="宋体" w:eastAsia="宋体" w:cs="宋体"/>
          <w:color w:val="auto"/>
          <w:szCs w:val="21"/>
          <w:highlight w:val="none"/>
          <w:lang w:bidi="ar-SA"/>
        </w:rPr>
        <w:t>）所</w:t>
      </w:r>
      <w:r>
        <w:rPr>
          <w:rFonts w:hint="eastAsia" w:ascii="宋体" w:hAnsi="宋体" w:cs="宋体" w:eastAsiaTheme="minorEastAsia"/>
          <w:color w:val="auto"/>
          <w:szCs w:val="21"/>
          <w:highlight w:val="none"/>
          <w:lang w:val="en-US" w:eastAsia="zh-CN" w:bidi="ar-SA"/>
        </w:rPr>
        <w:t>有食材</w:t>
      </w:r>
      <w:r>
        <w:rPr>
          <w:rFonts w:hint="eastAsia" w:ascii="宋体" w:hAnsi="宋体" w:eastAsia="宋体" w:cs="宋体"/>
          <w:color w:val="auto"/>
          <w:szCs w:val="21"/>
          <w:highlight w:val="none"/>
          <w:lang w:bidi="ar-SA"/>
        </w:rPr>
        <w:t>运输应由</w:t>
      </w:r>
      <w:r>
        <w:rPr>
          <w:rFonts w:hint="eastAsia" w:ascii="宋体" w:hAnsi="宋体" w:cs="宋体"/>
          <w:color w:val="auto"/>
          <w:szCs w:val="21"/>
          <w:highlight w:val="none"/>
          <w:lang w:eastAsia="zh-CN" w:bidi="ar-SA"/>
        </w:rPr>
        <w:t>成交</w:t>
      </w:r>
      <w:r>
        <w:rPr>
          <w:rFonts w:hint="eastAsia" w:ascii="宋体" w:hAnsi="宋体" w:eastAsia="宋体" w:cs="宋体"/>
          <w:color w:val="auto"/>
          <w:szCs w:val="21"/>
          <w:highlight w:val="none"/>
          <w:lang w:bidi="ar-SA"/>
        </w:rPr>
        <w:t>供应商负责，不得外包</w:t>
      </w:r>
      <w:r>
        <w:rPr>
          <w:rFonts w:hint="eastAsia" w:ascii="宋体" w:hAnsi="宋体" w:cs="宋体" w:eastAsiaTheme="minorEastAsia"/>
          <w:color w:val="auto"/>
          <w:szCs w:val="21"/>
          <w:highlight w:val="none"/>
          <w:lang w:eastAsia="zh-CN" w:bidi="ar-SA"/>
        </w:rPr>
        <w:t>。</w:t>
      </w:r>
      <w:r>
        <w:rPr>
          <w:rFonts w:hint="eastAsia" w:ascii="宋体" w:hAnsi="宋体" w:eastAsia="宋体" w:cs="宋体"/>
          <w:color w:val="auto"/>
          <w:szCs w:val="21"/>
          <w:highlight w:val="none"/>
          <w:lang w:bidi="ar-SA"/>
        </w:rPr>
        <w:t>运输车厢的内仓，包括地面、墙面和天花板，应使用抗腐蚀、防潮，易清洁消毒的材料。车厢内无不良气味、异味。</w:t>
      </w:r>
    </w:p>
    <w:p w14:paraId="0AEEE33C">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（2）整个运输过程应科学合理，运输车辆应定期清洁，保持性能稳定，符合规定的温度要求，使运输食品处于恒定的环境中。</w:t>
      </w:r>
    </w:p>
    <w:p w14:paraId="676877A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（3）冷藏、冷冻食品必须用专用冷藏、冷冻载具运输，应当有必要的保温设备并在整个运输过程中保持安全的冷藏、冷冻温度。特别是对于长途运输的食品，保证食品在运输全过程处于合适的温度范围。</w:t>
      </w:r>
    </w:p>
    <w:p w14:paraId="55F67781">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（4）送货车辆实行1小时配送圈运作，目的地在1小时内的用保温车配送，1小时以外的用制冷车配送，保证冷冻肉中心温度控制在-2℃~7℃的范围之内，保证运输过程冷链不中断。</w:t>
      </w:r>
      <w:r>
        <w:rPr>
          <w:rFonts w:hint="eastAsia" w:ascii="宋体" w:hAnsi="宋体" w:eastAsia="宋体" w:cs="宋体"/>
          <w:color w:val="auto"/>
          <w:szCs w:val="21"/>
          <w:highlight w:val="none"/>
          <w:lang w:val="en-US" w:eastAsia="zh-CN" w:bidi="ar-SA"/>
        </w:rPr>
        <w:t>商品</w:t>
      </w:r>
      <w:r>
        <w:rPr>
          <w:rFonts w:hint="eastAsia" w:ascii="宋体" w:hAnsi="宋体" w:eastAsia="宋体" w:cs="宋体"/>
          <w:color w:val="auto"/>
          <w:szCs w:val="21"/>
          <w:highlight w:val="none"/>
          <w:lang w:bidi="ar-SA"/>
        </w:rPr>
        <w:t>到达目的地时外包装必须完整、干爽，无软化现象、无任何拆封、破损现象。</w:t>
      </w:r>
    </w:p>
    <w:p w14:paraId="3AF55579">
      <w:pPr>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5）卸货要求：送货车辆应保持清洁；食品堆放科学合理，避免造成食品的交叉污染。如对温度有要求的食品应确定食品的温度，记录送货车辆温度，并存档。在卸货过程中应保证冷藏食品脱离冷链时间不得超过20分钟，冷冻食品脱离冷链时间不得超过30分钟。</w:t>
      </w:r>
    </w:p>
    <w:p w14:paraId="3D67169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4</w:t>
      </w:r>
      <w:r>
        <w:rPr>
          <w:rFonts w:hint="eastAsia" w:ascii="宋体" w:hAnsi="宋体" w:eastAsia="宋体" w:cs="宋体"/>
          <w:b w:val="0"/>
          <w:color w:val="auto"/>
          <w:kern w:val="2"/>
          <w:sz w:val="21"/>
          <w:szCs w:val="21"/>
          <w:highlight w:val="none"/>
          <w:lang w:val="en-US" w:eastAsia="zh-CN" w:bidi="ar-SA"/>
        </w:rPr>
        <w:t>.食品安全的指标：应符合相应食品安全国家标准的规定，分等分级的质量指标不低于国家有关食品质量标准的中位数水平，如质量或规格等级划分为1、2、3、4、5或大</w:t>
      </w:r>
      <w:r>
        <w:rPr>
          <w:rFonts w:hint="eastAsia" w:ascii="宋体" w:hAnsi="宋体" w:cs="宋体" w:eastAsiaTheme="minorEastAsia"/>
          <w:b w:val="0"/>
          <w:color w:val="auto"/>
          <w:kern w:val="2"/>
          <w:sz w:val="21"/>
          <w:szCs w:val="21"/>
          <w:highlight w:val="none"/>
          <w:lang w:val="en-US" w:eastAsia="zh-CN" w:bidi="ar-SA"/>
        </w:rPr>
        <w:t>（</w:t>
      </w:r>
      <w:r>
        <w:rPr>
          <w:rFonts w:hint="eastAsia" w:ascii="宋体" w:hAnsi="宋体" w:eastAsia="宋体" w:cs="宋体"/>
          <w:b w:val="0"/>
          <w:color w:val="auto"/>
          <w:kern w:val="2"/>
          <w:sz w:val="21"/>
          <w:szCs w:val="21"/>
          <w:highlight w:val="none"/>
          <w:lang w:val="en-US" w:eastAsia="zh-CN" w:bidi="ar-SA"/>
        </w:rPr>
        <w:t>L</w:t>
      </w:r>
      <w:r>
        <w:rPr>
          <w:rFonts w:hint="eastAsia" w:ascii="宋体" w:hAnsi="宋体" w:cs="宋体" w:eastAsiaTheme="minorEastAsia"/>
          <w:b w:val="0"/>
          <w:color w:val="auto"/>
          <w:kern w:val="2"/>
          <w:sz w:val="21"/>
          <w:szCs w:val="21"/>
          <w:highlight w:val="none"/>
          <w:lang w:val="en-US" w:eastAsia="zh-CN" w:bidi="ar-SA"/>
        </w:rPr>
        <w:t>）</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中</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M</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小</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S</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的，应选择1、2、3或大</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L</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、中</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M</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等级。</w:t>
      </w:r>
    </w:p>
    <w:p w14:paraId="31A4FBD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.采购冷冻食品食材</w:t>
      </w:r>
      <w:r>
        <w:rPr>
          <w:rFonts w:hint="eastAsia" w:ascii="宋体" w:hAnsi="宋体" w:cs="宋体"/>
          <w:color w:val="auto"/>
          <w:kern w:val="2"/>
          <w:sz w:val="21"/>
          <w:szCs w:val="21"/>
          <w:highlight w:val="none"/>
          <w:lang w:val="en-US" w:eastAsia="zh-CN" w:bidi="ar-SA"/>
        </w:rPr>
        <w:t>金</w:t>
      </w:r>
      <w:r>
        <w:rPr>
          <w:rFonts w:hint="eastAsia" w:ascii="宋体" w:hAnsi="宋体" w:eastAsia="宋体" w:cs="宋体"/>
          <w:color w:val="auto"/>
          <w:kern w:val="2"/>
          <w:sz w:val="21"/>
          <w:szCs w:val="21"/>
          <w:highlight w:val="none"/>
          <w:lang w:val="en-US" w:eastAsia="zh-CN" w:bidi="ar-SA"/>
        </w:rPr>
        <w:t>额不得超过当餐采购总金额的30%。冻品类基本要求：产品质量必须符合国家行业标准要求，有明确的商品标签，有生产日期、保质期、质量等级，不得有掺假、变质、变味、过期等现象出现，保证运输过程冷链不中断，送达目的地时外包装箱干爽，无软化现象。</w:t>
      </w:r>
    </w:p>
    <w:p w14:paraId="5B11B3B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eastAsiaTheme="minorEastAsia"/>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.不得采购“预制菜”。</w:t>
      </w:r>
    </w:p>
    <w:p w14:paraId="20819AE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color w:val="auto"/>
          <w:sz w:val="21"/>
          <w:szCs w:val="21"/>
          <w:highlight w:val="none"/>
          <w:lang w:val="en-US" w:eastAsia="zh-CN" w:bidi="ar-SA"/>
        </w:rPr>
      </w:pPr>
      <w:r>
        <w:rPr>
          <w:rFonts w:hint="eastAsia" w:ascii="宋体" w:hAnsi="宋体" w:cs="宋体" w:eastAsiaTheme="minorEastAsia"/>
          <w:b/>
          <w:bCs/>
          <w:color w:val="auto"/>
          <w:sz w:val="21"/>
          <w:szCs w:val="21"/>
          <w:highlight w:val="none"/>
          <w:lang w:val="en-US" w:eastAsia="zh-CN" w:bidi="ar-SA"/>
        </w:rPr>
        <w:t>四</w:t>
      </w:r>
      <w:r>
        <w:rPr>
          <w:rFonts w:hint="eastAsia" w:ascii="宋体" w:hAnsi="宋体" w:eastAsia="宋体" w:cs="宋体"/>
          <w:b/>
          <w:bCs/>
          <w:color w:val="auto"/>
          <w:sz w:val="21"/>
          <w:szCs w:val="21"/>
          <w:highlight w:val="none"/>
          <w:lang w:val="en-US" w:eastAsia="zh-CN" w:bidi="ar-SA"/>
        </w:rPr>
        <w:t>、食品食材采购要求</w:t>
      </w:r>
    </w:p>
    <w:p w14:paraId="68500AB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本项目为食堂采购大米、食用油、面粉、鲜肉、蔬菜、水果、水产、调料等主副食品。成交供应商需按采购单位实际需求分期分批提供。</w:t>
      </w:r>
    </w:p>
    <w:p w14:paraId="224D04B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1.饭堂早、中、晚、夜餐用膳所需农副产品、粮油副食供应配送服务。</w:t>
      </w:r>
    </w:p>
    <w:p w14:paraId="36AA4A9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2.食材原材料包括农业生产所带来的副产品，包括农、林、牧、副、渔五业产品，分为粮食、经济作物、禽畜产品、干鲜果、干鲜菜及调味品、药材、土副产品、水产品等若干大类。</w:t>
      </w:r>
    </w:p>
    <w:p w14:paraId="7BCD34B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3.副食品是指一般是经过精加工的食品和粮油制品。</w:t>
      </w:r>
    </w:p>
    <w:p w14:paraId="4355A9B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4.粮谷分为谷类、麦类、杂粮类和豆类。包括：稻谷、小麦、玉米、高粱、谷子、大麦、荞麦、大豆、小豆、绿豆、蚕豆、芸豆、甘薯等。</w:t>
      </w:r>
    </w:p>
    <w:p w14:paraId="17FC2E5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5.成品粮包括：大米、小麦粉，小米、油菜籽、白芝麻、黑芝麻、棉籽、葵花籽、香瓜籽、油茶籽、棕榈籽等。</w:t>
      </w:r>
    </w:p>
    <w:p w14:paraId="04F2F1C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6.油脂包括：花生油、菜油、香油、葵花籽油、蓖麻籽油、大豆油、玉米胚油、棕榈油、橄榄油、色拉油、调和油，调味油、起酥油等。</w:t>
      </w:r>
    </w:p>
    <w:p w14:paraId="12D24CE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eastAsiaTheme="minorEastAsia"/>
          <w:color w:val="auto"/>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7.粮油制品包括：杂面茶、挂面、龙须面、荞麦挂面、通心面、凉面、面饼、米粉、饼干、烧饼、面筋、可可粉、色拉调料、芝麻酱、花生酱等。</w:t>
      </w:r>
    </w:p>
    <w:p w14:paraId="45F64B3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eastAsiaTheme="minorEastAsia"/>
          <w:color w:val="auto"/>
          <w:sz w:val="21"/>
          <w:szCs w:val="21"/>
          <w:highlight w:val="none"/>
          <w:lang w:val="en-US" w:eastAsia="zh-CN" w:bidi="ar-SA"/>
        </w:rPr>
        <w:t>8.所供应的蔬菜瓜果类食品必须有政府职能部门或政府职能部门授权的检测中心提供的农药检测证明，且量足价平，并提供完善的售后服务。</w:t>
      </w:r>
    </w:p>
    <w:p w14:paraId="513FA1C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2"/>
        <w:rPr>
          <w:rFonts w:hint="default" w:ascii="宋体" w:hAnsi="宋体" w:eastAsia="宋体" w:cs="宋体"/>
          <w:b/>
          <w:bCs/>
          <w:color w:val="auto"/>
          <w:sz w:val="21"/>
          <w:szCs w:val="21"/>
          <w:highlight w:val="none"/>
          <w:lang w:val="en-US" w:eastAsia="zh-CN" w:bidi="ar-SA"/>
        </w:rPr>
      </w:pPr>
      <w:r>
        <w:rPr>
          <w:rFonts w:hint="eastAsia" w:ascii="宋体" w:hAnsi="宋体" w:cs="宋体" w:eastAsiaTheme="minorEastAsia"/>
          <w:b/>
          <w:bCs/>
          <w:color w:val="auto"/>
          <w:sz w:val="21"/>
          <w:szCs w:val="21"/>
          <w:highlight w:val="none"/>
          <w:lang w:val="en-US" w:eastAsia="zh-CN" w:bidi="ar-SA"/>
        </w:rPr>
        <w:t>五</w:t>
      </w:r>
      <w:r>
        <w:rPr>
          <w:rFonts w:hint="eastAsia" w:ascii="宋体" w:hAnsi="宋体" w:eastAsia="宋体" w:cs="宋体"/>
          <w:b/>
          <w:bCs/>
          <w:color w:val="auto"/>
          <w:sz w:val="21"/>
          <w:szCs w:val="21"/>
          <w:highlight w:val="none"/>
          <w:lang w:val="en-US" w:eastAsia="zh-CN" w:bidi="ar-SA"/>
        </w:rPr>
        <w:t>、食品食材配送清单</w:t>
      </w:r>
      <w:r>
        <w:rPr>
          <w:rFonts w:hint="eastAsia" w:ascii="宋体" w:hAnsi="宋体" w:cs="宋体" w:eastAsiaTheme="minorEastAsia"/>
          <w:b/>
          <w:bCs/>
          <w:color w:val="auto"/>
          <w:sz w:val="21"/>
          <w:szCs w:val="21"/>
          <w:highlight w:val="none"/>
          <w:lang w:val="en-US" w:eastAsia="zh-CN" w:bidi="ar-SA"/>
        </w:rPr>
        <w:t>（</w:t>
      </w:r>
      <w:r>
        <w:rPr>
          <w:rFonts w:hint="eastAsia" w:ascii="宋体" w:hAnsi="宋体" w:eastAsia="宋体" w:cs="宋体"/>
          <w:b/>
          <w:bCs/>
          <w:color w:val="auto"/>
          <w:sz w:val="21"/>
          <w:szCs w:val="21"/>
          <w:highlight w:val="none"/>
          <w:lang w:val="en-US" w:eastAsia="zh-CN" w:bidi="ar-SA"/>
        </w:rPr>
        <w:t>包括但不限于以下类别，具体根据季节调整</w:t>
      </w:r>
      <w:r>
        <w:rPr>
          <w:rFonts w:hint="eastAsia" w:ascii="宋体" w:hAnsi="宋体" w:cs="宋体" w:eastAsiaTheme="minorEastAsia"/>
          <w:b/>
          <w:bCs/>
          <w:color w:val="auto"/>
          <w:sz w:val="21"/>
          <w:szCs w:val="21"/>
          <w:highlight w:val="none"/>
          <w:lang w:val="en-US" w:eastAsia="zh-CN" w:bidi="ar-SA"/>
        </w:rPr>
        <w:t>）</w:t>
      </w:r>
    </w:p>
    <w:tbl>
      <w:tblPr>
        <w:tblStyle w:val="62"/>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364"/>
        <w:gridCol w:w="6737"/>
      </w:tblGrid>
      <w:tr w14:paraId="56B2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639" w:type="dxa"/>
            <w:gridSpan w:val="2"/>
            <w:noWrap w:val="0"/>
            <w:vAlign w:val="center"/>
          </w:tcPr>
          <w:p w14:paraId="3F008F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类别</w:t>
            </w:r>
          </w:p>
        </w:tc>
        <w:tc>
          <w:tcPr>
            <w:tcW w:w="6737" w:type="dxa"/>
            <w:noWrap w:val="0"/>
            <w:vAlign w:val="center"/>
          </w:tcPr>
          <w:p w14:paraId="78B19A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种类名称</w:t>
            </w:r>
          </w:p>
        </w:tc>
      </w:tr>
      <w:tr w14:paraId="1A1E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restart"/>
            <w:noWrap w:val="0"/>
            <w:vAlign w:val="center"/>
          </w:tcPr>
          <w:p w14:paraId="36CF30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食材原材料</w:t>
            </w:r>
          </w:p>
        </w:tc>
        <w:tc>
          <w:tcPr>
            <w:tcW w:w="1364" w:type="dxa"/>
            <w:noWrap w:val="0"/>
            <w:vAlign w:val="center"/>
          </w:tcPr>
          <w:p w14:paraId="2DDE18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蔬菜类</w:t>
            </w:r>
          </w:p>
        </w:tc>
        <w:tc>
          <w:tcPr>
            <w:tcW w:w="6737" w:type="dxa"/>
            <w:noWrap w:val="0"/>
            <w:vAlign w:val="center"/>
          </w:tcPr>
          <w:p w14:paraId="0E2DE67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生菜、上海青、小白菜、苦麦菜、包心菜、通心菜、芥菜、奶白菜、韭菜、西洋菜、枸杞叶、绍菜、潺菜、番薯叶、香花菜、大白菜、春菜、菜心、油麦菜、苋菜、韭菜花、葱、姜、沙姜、蒜头、蒜苗、蒜心、菜花、圆椒、尖椒、兰豆、四季豆、豆角、西芹、香芹、韭黄、芫茜（香菜）、菠菜、紫苏叶、莴笋、皇帝菜、豆芽、洋葱、胶笋、芦笋、牛蒡、京葱、雪里红、菜花、西兰花等。</w:t>
            </w:r>
          </w:p>
        </w:tc>
      </w:tr>
      <w:tr w14:paraId="0AC9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18F9FA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500D7A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瓜果类（含蔬果、水果产品）</w:t>
            </w:r>
          </w:p>
        </w:tc>
        <w:tc>
          <w:tcPr>
            <w:tcW w:w="6737" w:type="dxa"/>
            <w:noWrap w:val="0"/>
            <w:vAlign w:val="center"/>
          </w:tcPr>
          <w:p w14:paraId="0B3A3CC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青瓜、白瓜、丝瓜、节瓜、冬瓜、南瓜、葫芦瓜、水瓜、佛手瓜、木瓜、苦瓜、茄瓜、黄瓜、云南小瓜、</w:t>
            </w:r>
            <w:r>
              <w:rPr>
                <w:rFonts w:hint="eastAsia" w:ascii="宋体" w:hAnsi="宋体" w:cs="宋体"/>
                <w:color w:val="auto"/>
                <w:sz w:val="21"/>
                <w:szCs w:val="21"/>
                <w:highlight w:val="none"/>
                <w:lang w:eastAsia="zh-CN" w:bidi="ar-SA"/>
              </w:rPr>
              <w:t>西红柿</w:t>
            </w:r>
            <w:r>
              <w:rPr>
                <w:rFonts w:hint="eastAsia" w:ascii="宋体" w:hAnsi="宋体" w:eastAsia="宋体" w:cs="宋体"/>
                <w:color w:val="auto"/>
                <w:sz w:val="21"/>
                <w:szCs w:val="21"/>
                <w:highlight w:val="none"/>
                <w:lang w:bidi="ar-SA"/>
              </w:rPr>
              <w:t>、土豆、黄豆、青豆、</w:t>
            </w:r>
            <w:r>
              <w:rPr>
                <w:rFonts w:hint="eastAsia" w:ascii="宋体" w:hAnsi="宋体" w:cs="宋体"/>
                <w:color w:val="auto"/>
                <w:sz w:val="21"/>
                <w:szCs w:val="21"/>
                <w:highlight w:val="none"/>
                <w:lang w:val="en-US" w:eastAsia="zh-CN" w:bidi="ar-SA"/>
              </w:rPr>
              <w:t>板栗</w:t>
            </w:r>
            <w:r>
              <w:rPr>
                <w:rFonts w:hint="eastAsia" w:ascii="宋体" w:hAnsi="宋体" w:eastAsia="宋体" w:cs="宋体"/>
                <w:color w:val="auto"/>
                <w:sz w:val="21"/>
                <w:szCs w:val="21"/>
                <w:highlight w:val="none"/>
                <w:lang w:bidi="ar-SA"/>
              </w:rPr>
              <w:t>、玉米、花生、毛豆、鲜百合、沙葛、马蹄、红薯、芋头、粉葛、莲藕、</w:t>
            </w:r>
            <w:r>
              <w:rPr>
                <w:rFonts w:hint="eastAsia" w:ascii="宋体" w:hAnsi="宋体" w:cs="宋体"/>
                <w:color w:val="auto"/>
                <w:sz w:val="21"/>
                <w:szCs w:val="21"/>
                <w:highlight w:val="none"/>
                <w:lang w:eastAsia="zh-CN" w:bidi="ar-SA"/>
              </w:rPr>
              <w:t>淮山</w:t>
            </w:r>
            <w:r>
              <w:rPr>
                <w:rFonts w:hint="eastAsia" w:ascii="宋体" w:hAnsi="宋体" w:eastAsia="宋体" w:cs="宋体"/>
                <w:color w:val="auto"/>
                <w:sz w:val="21"/>
                <w:szCs w:val="21"/>
                <w:highlight w:val="none"/>
                <w:lang w:bidi="ar-SA"/>
              </w:rPr>
              <w:t>、鲜莲子等。香蕉、粉蕉、香蕉、橙、苹果、雪梨、石榴、番石榴、龙眼、香瓜、柿子、红枣、青枣、香梨、圣女果、西瓜、</w:t>
            </w:r>
            <w:r>
              <w:rPr>
                <w:rFonts w:hint="eastAsia" w:ascii="宋体" w:hAnsi="宋体" w:cs="宋体"/>
                <w:color w:val="auto"/>
                <w:sz w:val="21"/>
                <w:szCs w:val="21"/>
                <w:highlight w:val="none"/>
                <w:lang w:eastAsia="zh-CN" w:bidi="ar-SA"/>
              </w:rPr>
              <w:t>哈密瓜</w:t>
            </w:r>
            <w:r>
              <w:rPr>
                <w:rFonts w:hint="eastAsia" w:ascii="宋体" w:hAnsi="宋体" w:eastAsia="宋体" w:cs="宋体"/>
                <w:color w:val="auto"/>
                <w:sz w:val="21"/>
                <w:szCs w:val="21"/>
                <w:highlight w:val="none"/>
                <w:lang w:bidi="ar-SA"/>
              </w:rPr>
              <w:t>、贡柑、沙糖桔、柚子、提子、荔枝、椰子等。</w:t>
            </w:r>
          </w:p>
        </w:tc>
      </w:tr>
      <w:tr w14:paraId="7B25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080CF1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3A957A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肉类（含蛋类）</w:t>
            </w:r>
          </w:p>
        </w:tc>
        <w:tc>
          <w:tcPr>
            <w:tcW w:w="6737" w:type="dxa"/>
            <w:noWrap w:val="0"/>
            <w:vAlign w:val="center"/>
          </w:tcPr>
          <w:p w14:paraId="10AB7B7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生猪（肉、骨）、生牛（肉、骨）、羊（肉、骨）、驴（肉、骨）、光禽鸡肉、光禽鹅肉、光禽鸭肉、光禽乳鸽、鸡蛋、鸭蛋、鹅蛋、皮蛋、咸蛋、鹌鹑蛋等</w:t>
            </w:r>
            <w:r>
              <w:rPr>
                <w:rFonts w:hint="eastAsia" w:ascii="宋体" w:hAnsi="宋体" w:cs="宋体" w:eastAsiaTheme="minorEastAsia"/>
                <w:color w:val="auto"/>
                <w:sz w:val="21"/>
                <w:szCs w:val="21"/>
                <w:highlight w:val="none"/>
                <w:lang w:eastAsia="zh-CN" w:bidi="ar-SA"/>
              </w:rPr>
              <w:t>。</w:t>
            </w:r>
          </w:p>
        </w:tc>
      </w:tr>
      <w:tr w14:paraId="620B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2155AB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77F274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干货类</w:t>
            </w:r>
          </w:p>
        </w:tc>
        <w:tc>
          <w:tcPr>
            <w:tcW w:w="6737" w:type="dxa"/>
            <w:noWrap w:val="0"/>
            <w:vAlign w:val="center"/>
          </w:tcPr>
          <w:p w14:paraId="135B427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菜干、干冬菇、干木耳、干茶树菇、陈皮、提子干、鸡骨草、五指毛桃、干腐皮、干金针菜、干沙姜、干葱头、昆布、干云耳、虾米、瑶柱、贝壳类干货、当归、无花果、干鱿鱼、虾皮、水草、菊花、海带、面筋、腐竹、榄角、粽叶、冬瓜干、丁香、虫草花、花旗参、淡菜、干生蚝肉、</w:t>
            </w:r>
            <w:r>
              <w:rPr>
                <w:rFonts w:hint="eastAsia" w:ascii="宋体" w:hAnsi="宋体" w:cs="宋体"/>
                <w:color w:val="auto"/>
                <w:sz w:val="21"/>
                <w:szCs w:val="21"/>
                <w:highlight w:val="none"/>
                <w:lang w:val="en-US" w:eastAsia="zh-CN" w:bidi="ar-SA"/>
              </w:rPr>
              <w:t>芡实</w:t>
            </w:r>
            <w:r>
              <w:rPr>
                <w:rFonts w:hint="eastAsia" w:ascii="宋体" w:hAnsi="宋体" w:eastAsia="宋体" w:cs="宋体"/>
                <w:color w:val="auto"/>
                <w:sz w:val="21"/>
                <w:szCs w:val="21"/>
                <w:highlight w:val="none"/>
                <w:lang w:bidi="ar-SA"/>
              </w:rPr>
              <w:t>、沙参、玉竹、杞子、党参、萝卜干、笋干、薏米、红枣、赤小豆、红豆、眉豆、黄豆、百合、莲子、花生、扁豆、绿豆、南北杏、红腰豆等。</w:t>
            </w:r>
          </w:p>
        </w:tc>
      </w:tr>
      <w:tr w14:paraId="26C7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66B7DD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1DC83C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水产类（含咸、淡水产品）</w:t>
            </w:r>
          </w:p>
        </w:tc>
        <w:tc>
          <w:tcPr>
            <w:tcW w:w="6737" w:type="dxa"/>
            <w:noWrap w:val="0"/>
            <w:vAlign w:val="center"/>
          </w:tcPr>
          <w:p w14:paraId="5E5793E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泥猛鱼、黄花鱼、白仓鱼、金仓鱼、笋壳鱼、跳跳鱼、红三鱼、海鲫鱼、乌头鱼、鱿鱼、墨鱼、多宝鱼、带鱼、沙丁鱼、海鲈、秋多鱼、扇贝、生蚝、蚌、螺、</w:t>
            </w:r>
            <w:r>
              <w:rPr>
                <w:rFonts w:hint="eastAsia" w:ascii="宋体" w:hAnsi="宋体" w:cs="宋体"/>
                <w:color w:val="auto"/>
                <w:sz w:val="21"/>
                <w:szCs w:val="21"/>
                <w:highlight w:val="none"/>
                <w:lang w:val="en-US" w:eastAsia="zh-CN" w:bidi="ar-SA"/>
              </w:rPr>
              <w:t>蚬</w:t>
            </w:r>
            <w:r>
              <w:rPr>
                <w:rFonts w:hint="eastAsia" w:ascii="宋体" w:hAnsi="宋体" w:eastAsia="宋体" w:cs="宋体"/>
                <w:color w:val="auto"/>
                <w:sz w:val="21"/>
                <w:szCs w:val="21"/>
                <w:highlight w:val="none"/>
                <w:lang w:bidi="ar-SA"/>
              </w:rPr>
              <w:t>、白贝、花甲、带子、</w:t>
            </w:r>
            <w:r>
              <w:rPr>
                <w:rFonts w:hint="eastAsia" w:ascii="宋体" w:hAnsi="宋体" w:cs="宋体"/>
                <w:color w:val="auto"/>
                <w:sz w:val="21"/>
                <w:szCs w:val="21"/>
                <w:highlight w:val="none"/>
                <w:lang w:val="en-US" w:eastAsia="zh-CN" w:bidi="ar-SA"/>
              </w:rPr>
              <w:t>蛏</w:t>
            </w:r>
            <w:r>
              <w:rPr>
                <w:rFonts w:hint="eastAsia" w:ascii="宋体" w:hAnsi="宋体" w:eastAsia="宋体" w:cs="宋体"/>
                <w:color w:val="auto"/>
                <w:sz w:val="21"/>
                <w:szCs w:val="21"/>
                <w:highlight w:val="none"/>
                <w:lang w:bidi="ar-SA"/>
              </w:rPr>
              <w:t>子、虾、蟹、鲩鱼、大头鱼、鲫鱼、鲮鱼、生鱼、边鱼、鲈鱼、盲曹鱼、禾顺鱼、桂花鱼、泥鳅鱼、福寿鱼、沙</w:t>
            </w:r>
            <w:r>
              <w:rPr>
                <w:rFonts w:hint="eastAsia" w:ascii="宋体" w:hAnsi="宋体" w:cs="宋体"/>
                <w:color w:val="auto"/>
                <w:sz w:val="21"/>
                <w:szCs w:val="21"/>
                <w:highlight w:val="none"/>
                <w:lang w:val="en-US" w:eastAsia="zh-CN" w:bidi="ar-SA"/>
              </w:rPr>
              <w:t>蚬</w:t>
            </w:r>
            <w:r>
              <w:rPr>
                <w:rFonts w:hint="eastAsia" w:ascii="宋体" w:hAnsi="宋体" w:eastAsia="宋体" w:cs="宋体"/>
                <w:color w:val="auto"/>
                <w:sz w:val="21"/>
                <w:szCs w:val="21"/>
                <w:highlight w:val="none"/>
                <w:lang w:bidi="ar-SA"/>
              </w:rPr>
              <w:t>等。</w:t>
            </w:r>
          </w:p>
        </w:tc>
      </w:tr>
      <w:tr w14:paraId="6D8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3E022C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389834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食用菌菇类</w:t>
            </w:r>
          </w:p>
        </w:tc>
        <w:tc>
          <w:tcPr>
            <w:tcW w:w="6737" w:type="dxa"/>
            <w:noWrap w:val="0"/>
            <w:vAlign w:val="center"/>
          </w:tcPr>
          <w:p w14:paraId="2A29DE2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金针菇、茶树菇、海鲜菇、鲜平菇、蘑菇、鲜草菇、袖珍菇、鲜冬菇、鲜木耳等</w:t>
            </w:r>
            <w:r>
              <w:rPr>
                <w:rFonts w:hint="eastAsia" w:ascii="宋体" w:hAnsi="宋体" w:cs="宋体"/>
                <w:color w:val="auto"/>
                <w:sz w:val="21"/>
                <w:szCs w:val="21"/>
                <w:highlight w:val="none"/>
                <w:lang w:eastAsia="zh-CN" w:bidi="ar-SA"/>
              </w:rPr>
              <w:t>。</w:t>
            </w:r>
          </w:p>
        </w:tc>
      </w:tr>
      <w:tr w14:paraId="3396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505D61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578D87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豆制品类</w:t>
            </w:r>
          </w:p>
        </w:tc>
        <w:tc>
          <w:tcPr>
            <w:tcW w:w="6737" w:type="dxa"/>
            <w:noWrap w:val="0"/>
            <w:vAlign w:val="center"/>
          </w:tcPr>
          <w:p w14:paraId="79A563B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豆腐、白豆干、凉皮、烟干、炸豆腐、香干丝、小豆卜、华晨豆卜、千张皮、香干、面筋等。</w:t>
            </w:r>
          </w:p>
        </w:tc>
      </w:tr>
      <w:tr w14:paraId="2DAE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2761E1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10ACE9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米面制品类</w:t>
            </w:r>
          </w:p>
        </w:tc>
        <w:tc>
          <w:tcPr>
            <w:tcW w:w="6737" w:type="dxa"/>
            <w:noWrap w:val="0"/>
            <w:vAlign w:val="center"/>
          </w:tcPr>
          <w:p w14:paraId="5423AE6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河粉、布拉肠、饺子皮、云吞皮、猪肠粉、陈村粉、濑粉、面条（非干面类）、粉条、糯米盏、饺子、云吞、汤圆</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生切面、包子、面包、汤圆等。</w:t>
            </w:r>
          </w:p>
        </w:tc>
      </w:tr>
      <w:tr w14:paraId="4D74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6E23A3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36D5E8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腊味类</w:t>
            </w:r>
          </w:p>
        </w:tc>
        <w:tc>
          <w:tcPr>
            <w:tcW w:w="6737" w:type="dxa"/>
            <w:noWrap w:val="0"/>
            <w:vAlign w:val="center"/>
          </w:tcPr>
          <w:p w14:paraId="1CB2168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腊肉、腊肠等。</w:t>
            </w:r>
          </w:p>
        </w:tc>
      </w:tr>
      <w:tr w14:paraId="3366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424418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4392E3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熟食类</w:t>
            </w:r>
          </w:p>
        </w:tc>
        <w:tc>
          <w:tcPr>
            <w:tcW w:w="6737" w:type="dxa"/>
            <w:noWrap w:val="0"/>
            <w:vAlign w:val="center"/>
          </w:tcPr>
          <w:p w14:paraId="1C9D697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烧肉、烧排骨、叉烧、烧鸭、烧鹅、白切鸡、卤水肉等。</w:t>
            </w:r>
          </w:p>
        </w:tc>
      </w:tr>
      <w:tr w14:paraId="3A22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restart"/>
            <w:noWrap w:val="0"/>
            <w:vAlign w:val="center"/>
          </w:tcPr>
          <w:p w14:paraId="0E642D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副食品</w:t>
            </w:r>
          </w:p>
        </w:tc>
        <w:tc>
          <w:tcPr>
            <w:tcW w:w="1364" w:type="dxa"/>
            <w:noWrap w:val="0"/>
            <w:vAlign w:val="center"/>
          </w:tcPr>
          <w:p w14:paraId="57AF3E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食品类</w:t>
            </w:r>
          </w:p>
        </w:tc>
        <w:tc>
          <w:tcPr>
            <w:tcW w:w="6737" w:type="dxa"/>
            <w:noWrap w:val="0"/>
            <w:vAlign w:val="center"/>
          </w:tcPr>
          <w:p w14:paraId="0F6DCE8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饼干、食品、果品、罐头等。</w:t>
            </w:r>
          </w:p>
        </w:tc>
      </w:tr>
      <w:tr w14:paraId="6B18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68F94E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37FEB5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原粮产品</w:t>
            </w:r>
          </w:p>
        </w:tc>
        <w:tc>
          <w:tcPr>
            <w:tcW w:w="6737" w:type="dxa"/>
            <w:noWrap w:val="0"/>
            <w:vAlign w:val="center"/>
          </w:tcPr>
          <w:p w14:paraId="1455039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谷类、麦类、杂粮类和豆类</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包括稻谷、小麦、燕麦、玉米粉、高粱、谷子、大麦、荞麦、大豆、小豆、蚕豆、芸豆、甘薯等。</w:t>
            </w:r>
          </w:p>
        </w:tc>
      </w:tr>
      <w:tr w14:paraId="4BCA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36F54D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1AFB54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成品粮</w:t>
            </w:r>
          </w:p>
        </w:tc>
        <w:tc>
          <w:tcPr>
            <w:tcW w:w="6737" w:type="dxa"/>
            <w:noWrap w:val="0"/>
            <w:vAlign w:val="center"/>
          </w:tcPr>
          <w:p w14:paraId="49C881F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大米、小麦粉</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小米、油菜籽、白芝麻、黑芝麻、棉籽、葵花籽、香瓜籽、油茶籽、棕榈籽等。</w:t>
            </w:r>
          </w:p>
        </w:tc>
      </w:tr>
      <w:tr w14:paraId="3FB7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75E45E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384D43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油脂</w:t>
            </w:r>
          </w:p>
        </w:tc>
        <w:tc>
          <w:tcPr>
            <w:tcW w:w="6737" w:type="dxa"/>
            <w:noWrap w:val="0"/>
            <w:vAlign w:val="center"/>
          </w:tcPr>
          <w:p w14:paraId="761C39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花生油、菜油、香油、葵花籽油、蓖麻籽油、大豆油、玉米胚油、棕榈油、橄榄油</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色拉油、调和油</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调味油</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起酥油等。</w:t>
            </w:r>
          </w:p>
        </w:tc>
      </w:tr>
      <w:tr w14:paraId="5966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42956D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1488C6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粮油制品</w:t>
            </w:r>
          </w:p>
        </w:tc>
        <w:tc>
          <w:tcPr>
            <w:tcW w:w="6737" w:type="dxa"/>
            <w:noWrap w:val="0"/>
            <w:vAlign w:val="center"/>
          </w:tcPr>
          <w:p w14:paraId="75E1F42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杂面茶、挂面、龙须面</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荞麦挂面</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通心面</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凉面</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面饼</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方便面</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米粉、粉丝、西米、花生米、烧饼、可可粉、色拉调料、芝麻酱、面粉、糯米粉、粘米粉、生粉、花生酱、奶粉等。</w:t>
            </w:r>
          </w:p>
        </w:tc>
      </w:tr>
      <w:tr w14:paraId="4FE6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75" w:type="dxa"/>
            <w:vMerge w:val="continue"/>
            <w:noWrap w:val="0"/>
            <w:vAlign w:val="center"/>
          </w:tcPr>
          <w:p w14:paraId="199F76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p>
        </w:tc>
        <w:tc>
          <w:tcPr>
            <w:tcW w:w="1364" w:type="dxa"/>
            <w:noWrap w:val="0"/>
            <w:vAlign w:val="center"/>
          </w:tcPr>
          <w:p w14:paraId="671E26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调味品</w:t>
            </w:r>
          </w:p>
        </w:tc>
        <w:tc>
          <w:tcPr>
            <w:tcW w:w="6737" w:type="dxa"/>
            <w:noWrap w:val="0"/>
            <w:vAlign w:val="center"/>
          </w:tcPr>
          <w:p w14:paraId="3EC639A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盐、酱、醋、味精、糖、辣椒酱、腐乳、</w:t>
            </w:r>
            <w:r>
              <w:rPr>
                <w:rFonts w:hint="eastAsia" w:ascii="宋体" w:hAnsi="宋体" w:cs="宋体"/>
                <w:color w:val="auto"/>
                <w:sz w:val="21"/>
                <w:szCs w:val="21"/>
                <w:highlight w:val="none"/>
                <w:lang w:eastAsia="zh-CN" w:bidi="ar-SA"/>
              </w:rPr>
              <w:t>豆豉</w:t>
            </w:r>
            <w:r>
              <w:rPr>
                <w:rFonts w:hint="eastAsia" w:ascii="宋体" w:hAnsi="宋体" w:eastAsia="宋体" w:cs="宋体"/>
                <w:color w:val="auto"/>
                <w:sz w:val="21"/>
                <w:szCs w:val="21"/>
                <w:highlight w:val="none"/>
                <w:lang w:bidi="ar-SA"/>
              </w:rPr>
              <w:t>、</w:t>
            </w:r>
            <w:r>
              <w:rPr>
                <w:rFonts w:hint="eastAsia" w:ascii="宋体" w:hAnsi="宋体" w:cs="宋体"/>
                <w:color w:val="auto"/>
                <w:sz w:val="21"/>
                <w:szCs w:val="21"/>
                <w:highlight w:val="none"/>
                <w:lang w:val="en-US" w:eastAsia="zh-CN" w:bidi="ar-SA"/>
              </w:rPr>
              <w:t>橄榄</w:t>
            </w:r>
            <w:r>
              <w:rPr>
                <w:rFonts w:hint="eastAsia" w:ascii="宋体" w:hAnsi="宋体" w:eastAsia="宋体" w:cs="宋体"/>
                <w:color w:val="auto"/>
                <w:sz w:val="21"/>
                <w:szCs w:val="21"/>
                <w:highlight w:val="none"/>
                <w:lang w:bidi="ar-SA"/>
              </w:rPr>
              <w:t>菜、鸡粉、番茄酱、炼奶、南乳、枧水、泰汁等。</w:t>
            </w:r>
          </w:p>
        </w:tc>
      </w:tr>
    </w:tbl>
    <w:p w14:paraId="3C696AD0">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9"/>
        <w:rPr>
          <w:rFonts w:hint="default" w:ascii="宋体" w:hAnsi="宋体" w:cs="宋体" w:eastAsiaTheme="minorEastAsia"/>
          <w:b/>
          <w:bCs/>
          <w:color w:val="auto"/>
          <w:sz w:val="21"/>
          <w:szCs w:val="21"/>
          <w:highlight w:val="none"/>
          <w:lang w:val="en-US" w:eastAsia="zh-CN" w:bidi="ar-SA"/>
        </w:rPr>
      </w:pPr>
      <w:r>
        <w:rPr>
          <w:rFonts w:hint="eastAsia" w:ascii="宋体" w:hAnsi="宋体" w:cs="宋体" w:eastAsiaTheme="minorEastAsia"/>
          <w:b/>
          <w:bCs/>
          <w:color w:val="auto"/>
          <w:sz w:val="21"/>
          <w:szCs w:val="21"/>
          <w:highlight w:val="none"/>
          <w:lang w:val="en-US" w:eastAsia="zh-CN" w:bidi="ar-SA"/>
        </w:rPr>
        <w:t>注：供应商所供应的肉类、水产类食材，必须是当日新鲜的。</w:t>
      </w:r>
    </w:p>
    <w:p w14:paraId="6CE01731">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2"/>
        <w:rPr>
          <w:rFonts w:hint="eastAsia" w:ascii="宋体" w:hAnsi="宋体" w:eastAsia="宋体" w:cs="宋体"/>
          <w:b/>
          <w:bCs/>
          <w:color w:val="auto"/>
          <w:sz w:val="21"/>
          <w:szCs w:val="21"/>
          <w:highlight w:val="none"/>
          <w:lang w:val="en-US" w:eastAsia="zh-CN" w:bidi="ar-SA"/>
        </w:rPr>
      </w:pPr>
      <w:r>
        <w:rPr>
          <w:rFonts w:hint="eastAsia" w:ascii="宋体" w:hAnsi="宋体" w:cs="宋体" w:eastAsiaTheme="minorEastAsia"/>
          <w:b/>
          <w:bCs/>
          <w:color w:val="auto"/>
          <w:sz w:val="21"/>
          <w:szCs w:val="21"/>
          <w:highlight w:val="none"/>
          <w:lang w:val="en-US" w:eastAsia="zh-CN" w:bidi="ar-SA"/>
        </w:rPr>
        <w:t>六</w:t>
      </w:r>
      <w:r>
        <w:rPr>
          <w:rFonts w:hint="eastAsia" w:ascii="宋体" w:hAnsi="宋体" w:eastAsia="宋体" w:cs="宋体"/>
          <w:b/>
          <w:bCs/>
          <w:color w:val="auto"/>
          <w:sz w:val="21"/>
          <w:szCs w:val="21"/>
          <w:highlight w:val="none"/>
          <w:lang w:val="en-US" w:eastAsia="zh-CN" w:bidi="ar-SA"/>
        </w:rPr>
        <w:t>、食品食材质量及标准要求</w:t>
      </w:r>
    </w:p>
    <w:p w14:paraId="062ABC06">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 w:val="21"/>
          <w:szCs w:val="21"/>
          <w:highlight w:val="none"/>
          <w:lang w:bidi="ar-SA"/>
        </w:rPr>
        <w:t>质量要求</w:t>
      </w:r>
    </w:p>
    <w:p w14:paraId="2075B7A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2" w:leftChars="0" w:firstLine="422" w:firstLineChars="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肉类（含生鲜肉、冻肉）</w:t>
      </w:r>
    </w:p>
    <w:p w14:paraId="2749C7A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bidi="ar-SA"/>
        </w:rPr>
        <w:t>对肉类（鲜肉、冷冻肉）的品质要求，必须符合国家、食品部门的有关标准和规格要求</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冷鲜畜禽肉的食品安全指标</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应符合《食品安全国家标准 鲜（冻）畜、禽产品》、《畜禽肉水分限量》</w:t>
      </w:r>
      <w:r>
        <w:rPr>
          <w:rFonts w:hint="eastAsia" w:ascii="宋体" w:hAnsi="宋体" w:cs="宋体"/>
          <w:color w:val="auto"/>
          <w:sz w:val="21"/>
          <w:szCs w:val="21"/>
          <w:highlight w:val="none"/>
          <w:lang w:eastAsia="zh-CN" w:bidi="ar-SA"/>
        </w:rPr>
        <w:t>最新标准</w:t>
      </w:r>
      <w:r>
        <w:rPr>
          <w:rFonts w:hint="eastAsia" w:ascii="宋体" w:hAnsi="宋体" w:eastAsia="宋体" w:cs="宋体"/>
          <w:color w:val="auto"/>
          <w:sz w:val="21"/>
          <w:szCs w:val="21"/>
          <w:highlight w:val="none"/>
          <w:lang w:bidi="ar-SA"/>
        </w:rPr>
        <w:t>的规定</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其中：鲜片猪肉的质量指标应符合《鲜、冻猪肉及猪副产品 第1部分：片猪肉》</w:t>
      </w:r>
      <w:r>
        <w:rPr>
          <w:rFonts w:hint="eastAsia" w:ascii="宋体" w:hAnsi="宋体" w:cs="宋体"/>
          <w:color w:val="auto"/>
          <w:sz w:val="21"/>
          <w:szCs w:val="21"/>
          <w:highlight w:val="none"/>
          <w:lang w:eastAsia="zh-CN" w:bidi="ar-SA"/>
        </w:rPr>
        <w:t>最新标准</w:t>
      </w:r>
      <w:r>
        <w:rPr>
          <w:rFonts w:hint="eastAsia" w:ascii="宋体" w:hAnsi="宋体" w:eastAsia="宋体" w:cs="宋体"/>
          <w:color w:val="auto"/>
          <w:sz w:val="21"/>
          <w:szCs w:val="21"/>
          <w:highlight w:val="none"/>
          <w:lang w:bidi="ar-SA"/>
        </w:rPr>
        <w:t>的规定，鲜肉、冷冻肉供货时需提供当批次有效的《动物产品检疫合格证》，供货时原件一并提交备查。</w:t>
      </w:r>
    </w:p>
    <w:p w14:paraId="0E72DB4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sz w:val="21"/>
          <w:szCs w:val="21"/>
          <w:highlight w:val="none"/>
          <w:lang w:bidi="ar-SA"/>
        </w:rPr>
        <w:t>每批鲜肉、骨应保持较好的外观和质量等级，符合国家食品部门的有关标准，保证无异味、无腐烂变质，必须是阳江市及周边城市政府指定的肉联厂发出的当批有效的动物检疫合格证复印件</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原件备查</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，鲜肉确保每日新鲜、无异味，并注明保鲜期。</w:t>
      </w:r>
    </w:p>
    <w:p w14:paraId="24BAE57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lang w:bidi="ar-SA"/>
        </w:rPr>
        <w:t>冷冻肉要求肉体冻实而且坚硬，无化冻现象，肉质紧密面有弹性，色泽均匀，不粘手，交货时干净、新鲜、无异味。冷冻禽类食品解冻后净重量不少于90%以上，冷冻肉类食品解冻后净重量不少于92%。所有冷冻食品均清晰列出产品品牌、规格、类型、包装方式、包装净重，含冰量等相关参数，且包装箱上必须贴有SC标志。</w:t>
      </w:r>
    </w:p>
    <w:p w14:paraId="34760EA2">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2" w:leftChars="0" w:firstLine="422" w:firstLineChars="0"/>
        <w:jc w:val="left"/>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水产品类（含鲜活水产品、冰冻水产品）</w:t>
      </w:r>
    </w:p>
    <w:p w14:paraId="7B29C28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bidi="ar-SA"/>
        </w:rPr>
        <w:t>海鲜、河鲜类必须鲜活，身体饱满结实，无腐烂异味，肉质紧密有弹性，来源可靠放心，无毒，无害，无污染（利用率不低于95%）。</w:t>
      </w:r>
    </w:p>
    <w:p w14:paraId="11D56E3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sz w:val="21"/>
          <w:szCs w:val="21"/>
          <w:highlight w:val="none"/>
          <w:lang w:bidi="ar-SA"/>
        </w:rPr>
        <w:t>虾的头胸甲与躯干连接紧密，无断头现象。虾身清洁无污染无异味，虾眼突起，虾身较挺，肉质坚实；虾壳发亮、发硬，呈青绿色或青白色。</w:t>
      </w:r>
    </w:p>
    <w:p w14:paraId="67A5D34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lang w:bidi="ar-SA"/>
        </w:rPr>
        <w:t>贝壳类要求肉质新鲜，无臭味，两贝壳相碰发出实响，且响声均匀，在静水中会伸出触角；表面清洁完整，无寄生物，外观完美，有光泽。</w:t>
      </w:r>
    </w:p>
    <w:p w14:paraId="382ABB2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w:t>
      </w:r>
      <w:r>
        <w:rPr>
          <w:rFonts w:hint="eastAsia" w:ascii="宋体" w:hAnsi="宋体" w:cs="宋体" w:eastAsiaTheme="minorEastAsia"/>
          <w:color w:val="auto"/>
          <w:sz w:val="21"/>
          <w:szCs w:val="21"/>
          <w:highlight w:val="none"/>
          <w:lang w:val="en-US" w:eastAsia="zh-CN" w:bidi="ar-SA"/>
        </w:rPr>
        <w:t>4</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lang w:bidi="ar-SA"/>
        </w:rPr>
        <w:t>新鲜水产品的具体要求：要体态完整，体色正常，捞离水后，挣扎力强。</w:t>
      </w:r>
    </w:p>
    <w:p w14:paraId="59A7280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w:t>
      </w:r>
      <w:r>
        <w:rPr>
          <w:rFonts w:hint="eastAsia" w:ascii="宋体" w:hAnsi="宋体" w:cs="宋体" w:eastAsiaTheme="minorEastAsia"/>
          <w:color w:val="auto"/>
          <w:sz w:val="21"/>
          <w:szCs w:val="21"/>
          <w:highlight w:val="none"/>
          <w:lang w:val="en-US" w:eastAsia="zh-CN" w:bidi="ar-SA"/>
        </w:rPr>
        <w:t>5</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lang w:bidi="ar-SA"/>
        </w:rPr>
        <w:t>冷冻鱼类要求鱼眼睛清亮，角膜透明，鳞片上覆盖有冻结的透明粘液层，皮肤天然色泽明显。鱼体完整无伤残，带鳞鱼应体表鳞片完整无损。去鳞鱼不应有残鳞片。另外鱼体富有弹性，手指轻按鱼体后，手指凹陷处可马上恢复。鱼应无异味有较温和的鱼腥味。</w:t>
      </w:r>
    </w:p>
    <w:p w14:paraId="6DE7CAB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w:t>
      </w:r>
      <w:r>
        <w:rPr>
          <w:rFonts w:hint="eastAsia" w:ascii="宋体" w:hAnsi="宋体" w:cs="宋体" w:eastAsiaTheme="minorEastAsia"/>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lang w:bidi="ar-SA"/>
        </w:rPr>
        <w:t>冷冻水产类解冻后净重量不少于82%，解冻时间为4小时以内（室温20℃）。所有冷冻要</w:t>
      </w:r>
      <w:r>
        <w:rPr>
          <w:rFonts w:hint="eastAsia" w:ascii="宋体" w:hAnsi="宋体" w:cs="宋体"/>
          <w:color w:val="auto"/>
          <w:sz w:val="21"/>
          <w:szCs w:val="21"/>
          <w:highlight w:val="none"/>
          <w:lang w:val="en-US" w:eastAsia="zh-CN" w:bidi="ar-SA"/>
        </w:rPr>
        <w:tab/>
      </w:r>
      <w:r>
        <w:rPr>
          <w:rFonts w:hint="eastAsia" w:ascii="宋体" w:hAnsi="宋体" w:eastAsia="宋体" w:cs="宋体"/>
          <w:color w:val="auto"/>
          <w:sz w:val="21"/>
          <w:szCs w:val="21"/>
          <w:highlight w:val="none"/>
          <w:lang w:bidi="ar-SA"/>
        </w:rPr>
        <w:t>求清晰列出产品品牌、规格、类型、包装方式、包装净重、含冰量等相关参数。</w:t>
      </w:r>
    </w:p>
    <w:p w14:paraId="16D0991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w:t>
      </w:r>
      <w:r>
        <w:rPr>
          <w:rFonts w:hint="eastAsia" w:ascii="宋体" w:hAnsi="宋体" w:cs="宋体" w:eastAsiaTheme="minorEastAsia"/>
          <w:color w:val="auto"/>
          <w:sz w:val="21"/>
          <w:szCs w:val="21"/>
          <w:highlight w:val="none"/>
          <w:lang w:val="en-US" w:eastAsia="zh-CN" w:bidi="ar-SA"/>
        </w:rPr>
        <w:t>7</w:t>
      </w:r>
      <w:r>
        <w:rPr>
          <w:rFonts w:hint="eastAsia" w:ascii="宋体" w:hAnsi="宋体" w:eastAsia="宋体" w:cs="宋体"/>
          <w:color w:val="auto"/>
          <w:sz w:val="21"/>
          <w:szCs w:val="21"/>
          <w:highlight w:val="none"/>
          <w:lang w:val="en-US" w:eastAsia="zh-CN" w:bidi="ar-SA"/>
        </w:rPr>
        <w:t>）海鲜制品类：包括但不限于鱼丸、墨鱼丸、鱼蛋、鱼腐等。</w:t>
      </w:r>
    </w:p>
    <w:p w14:paraId="7C9C356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2" w:leftChars="0" w:firstLine="422" w:firstLineChars="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果蔬菜</w:t>
      </w:r>
    </w:p>
    <w:p w14:paraId="3EC7D63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bidi="ar-SA"/>
        </w:rPr>
        <w:t>蔬菜、瓜果必须是优质货品，不得含有残留农药或污染物，</w:t>
      </w:r>
      <w:r>
        <w:rPr>
          <w:rFonts w:hint="eastAsia" w:ascii="宋体" w:hAnsi="宋体" w:cs="宋体"/>
          <w:color w:val="auto"/>
          <w:sz w:val="21"/>
          <w:szCs w:val="21"/>
          <w:highlight w:val="none"/>
          <w:lang w:eastAsia="zh-CN" w:bidi="ar-SA"/>
        </w:rPr>
        <w:t>成交</w:t>
      </w:r>
      <w:r>
        <w:rPr>
          <w:rFonts w:hint="eastAsia" w:ascii="宋体" w:hAnsi="宋体" w:eastAsia="宋体" w:cs="宋体"/>
          <w:color w:val="auto"/>
          <w:sz w:val="21"/>
          <w:szCs w:val="21"/>
          <w:highlight w:val="none"/>
          <w:lang w:bidi="ar-SA"/>
        </w:rPr>
        <w:t>供应商必须保证所供应的蔬菜符合卫生标准，卫生指标应符合我国无公害蔬菜上的卫生指标规定，同时承担因所供蔬菜问题引起的一切事故后果。各种蔬菜都应具有本品种固有的气味、形态、颜色、光泽及蔬菜的成熟度和鲜嫩程度，没有腐烂变质及其他异常味道，不能提供萎蔫、枯塌</w:t>
      </w:r>
      <w:r>
        <w:rPr>
          <w:rFonts w:hint="eastAsia" w:ascii="宋体" w:hAnsi="宋体" w:eastAsia="宋体" w:cs="宋体"/>
          <w:color w:val="auto"/>
          <w:sz w:val="21"/>
          <w:szCs w:val="21"/>
          <w:highlight w:val="none"/>
          <w:lang w:val="en-US" w:eastAsia="zh-CN" w:bidi="ar-SA"/>
        </w:rPr>
        <w:t>、损伤、病变、虫害等异常蔬菜。</w:t>
      </w:r>
    </w:p>
    <w:p w14:paraId="670E40A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sz w:val="21"/>
          <w:szCs w:val="21"/>
          <w:highlight w:val="none"/>
          <w:lang w:bidi="ar-SA"/>
        </w:rPr>
        <w:t>叶菜类</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应肉质鲜嫩、形态好、色泽正常、茎基部削平，无黄叶、病叶、泥土、明显机械伤和病虫害，无烧心焦边、腐烂等现象，无抽苔（菜心除外），无畸形、异味，结球叶菜芭结球适度，花椰菜类应新鲜洁白，不带叶麸、无畸形花。</w:t>
      </w:r>
    </w:p>
    <w:p w14:paraId="4FFED58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lang w:bidi="ar-SA"/>
        </w:rPr>
        <w:t>茄果类：果实整洁，成熟度适中，番茄花蒂不明显，无裂果及空洞现象，茄果不能有裂蒂及果皮变硬现象，无腐烂、畸形、异味，无明显机械伤。</w:t>
      </w:r>
    </w:p>
    <w:p w14:paraId="6304753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lang w:bidi="ar-SA"/>
        </w:rPr>
        <w:t>瓜果类</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形状、色泽一致，瓜条均匀，无疤点，无断裂，无腐烂、畸形、异味、明显机械伤，不带泥土。</w:t>
      </w:r>
    </w:p>
    <w:p w14:paraId="72192E6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（5）</w:t>
      </w:r>
      <w:r>
        <w:rPr>
          <w:rFonts w:hint="eastAsia" w:ascii="宋体" w:hAnsi="宋体" w:eastAsia="宋体" w:cs="宋体"/>
          <w:color w:val="auto"/>
          <w:sz w:val="21"/>
          <w:szCs w:val="21"/>
          <w:highlight w:val="none"/>
          <w:lang w:bidi="ar-SA"/>
        </w:rPr>
        <w:t>根菜类</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品种皮细光滑，大小均匀，肉质脆嫩、新鲜，无断裂，无腐烂、裂痕、糠心、异味、不带泥土、茎叶和须根。</w:t>
      </w:r>
    </w:p>
    <w:p w14:paraId="7B1AB25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bidi="ar-SA"/>
        </w:rPr>
        <w:t>薯芋类</w:t>
      </w:r>
      <w:r>
        <w:rPr>
          <w:rFonts w:hint="eastAsia" w:ascii="宋体" w:hAnsi="宋体" w:eastAsia="宋体" w:cs="宋体"/>
          <w:color w:val="auto"/>
          <w:sz w:val="21"/>
          <w:szCs w:val="21"/>
          <w:highlight w:val="none"/>
          <w:lang w:eastAsia="zh-CN" w:bidi="ar-SA"/>
        </w:rPr>
        <w:t>：</w:t>
      </w:r>
    </w:p>
    <w:p w14:paraId="0F009E9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应色泽一致、不带泥土、茎叶和须根，不干瘪、无腐烂、畸形、异味、明显机械伤，病虫害斑、马铃薯无发芽，皮不变绿。</w:t>
      </w:r>
    </w:p>
    <w:p w14:paraId="01E82C7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（7）</w:t>
      </w:r>
      <w:r>
        <w:rPr>
          <w:rFonts w:hint="eastAsia" w:ascii="宋体" w:hAnsi="宋体" w:eastAsia="宋体" w:cs="宋体"/>
          <w:color w:val="auto"/>
          <w:sz w:val="21"/>
          <w:szCs w:val="21"/>
          <w:highlight w:val="none"/>
          <w:lang w:bidi="ar-SA"/>
        </w:rPr>
        <w:t>葱蒜类</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应不带老叶、枯叶，不带泥土，无腐烂、异味。允许葱、青蒜类保留干净须根</w:t>
      </w:r>
      <w:r>
        <w:rPr>
          <w:rFonts w:hint="eastAsia" w:ascii="宋体" w:hAnsi="宋体" w:eastAsia="宋体" w:cs="宋体"/>
          <w:color w:val="auto"/>
          <w:sz w:val="21"/>
          <w:szCs w:val="21"/>
          <w:highlight w:val="none"/>
          <w:lang w:eastAsia="zh-CN" w:bidi="ar-SA"/>
        </w:rPr>
        <w:t>。</w:t>
      </w:r>
    </w:p>
    <w:p w14:paraId="5B888F9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bidi="ar-SA"/>
        </w:rPr>
        <w:t>豆类</w:t>
      </w:r>
      <w:r>
        <w:rPr>
          <w:rFonts w:hint="eastAsia" w:ascii="宋体" w:hAnsi="宋体" w:eastAsia="宋体" w:cs="宋体"/>
          <w:color w:val="auto"/>
          <w:sz w:val="21"/>
          <w:szCs w:val="21"/>
          <w:highlight w:val="none"/>
          <w:lang w:val="en-US" w:eastAsia="zh-CN" w:bidi="ar-SA"/>
        </w:rPr>
        <w:t>等：</w:t>
      </w:r>
      <w:r>
        <w:rPr>
          <w:rFonts w:hint="eastAsia" w:ascii="宋体" w:hAnsi="宋体" w:eastAsia="宋体" w:cs="宋体"/>
          <w:color w:val="auto"/>
          <w:sz w:val="21"/>
          <w:szCs w:val="21"/>
          <w:highlight w:val="none"/>
          <w:lang w:bidi="ar-SA"/>
        </w:rPr>
        <w:t>应形态完整，成熟度适中，无腐烂、畸形、异味，豆荚类新鲜、</w:t>
      </w:r>
      <w:r>
        <w:rPr>
          <w:rFonts w:hint="eastAsia" w:ascii="宋体" w:hAnsi="宋体" w:eastAsia="宋体" w:cs="宋体"/>
          <w:color w:val="auto"/>
          <w:sz w:val="21"/>
          <w:szCs w:val="21"/>
          <w:highlight w:val="none"/>
          <w:lang w:val="en-US" w:eastAsia="zh-CN" w:bidi="ar-SA"/>
        </w:rPr>
        <w:t>幼</w:t>
      </w:r>
      <w:r>
        <w:rPr>
          <w:rFonts w:hint="eastAsia" w:ascii="宋体" w:hAnsi="宋体" w:eastAsia="宋体" w:cs="宋体"/>
          <w:color w:val="auto"/>
          <w:sz w:val="21"/>
          <w:szCs w:val="21"/>
          <w:highlight w:val="none"/>
          <w:lang w:bidi="ar-SA"/>
        </w:rPr>
        <w:t>嫩、均匀，豆粒饱满，</w:t>
      </w:r>
      <w:r>
        <w:rPr>
          <w:rFonts w:hint="eastAsia" w:ascii="宋体" w:hAnsi="宋体" w:eastAsia="宋体" w:cs="宋体"/>
          <w:color w:val="auto"/>
          <w:sz w:val="21"/>
          <w:szCs w:val="21"/>
          <w:highlight w:val="none"/>
          <w:lang w:val="en-US" w:eastAsia="zh-CN" w:bidi="ar-SA"/>
        </w:rPr>
        <w:t>较均匀、</w:t>
      </w:r>
      <w:r>
        <w:rPr>
          <w:rFonts w:hint="eastAsia" w:ascii="宋体" w:hAnsi="宋体" w:eastAsia="宋体" w:cs="宋体"/>
          <w:color w:val="auto"/>
          <w:sz w:val="21"/>
          <w:szCs w:val="21"/>
          <w:highlight w:val="none"/>
          <w:lang w:bidi="ar-SA"/>
        </w:rPr>
        <w:t>无发芽，不带泥土</w:t>
      </w:r>
      <w:r>
        <w:rPr>
          <w:rFonts w:hint="eastAsia" w:ascii="宋体" w:hAnsi="宋体" w:eastAsia="宋体" w:cs="宋体"/>
          <w:color w:val="auto"/>
          <w:sz w:val="21"/>
          <w:szCs w:val="21"/>
          <w:highlight w:val="none"/>
          <w:lang w:val="en-US" w:eastAsia="zh-CN" w:bidi="ar-SA"/>
        </w:rPr>
        <w:t>杂质</w:t>
      </w:r>
      <w:r>
        <w:rPr>
          <w:rFonts w:hint="eastAsia" w:ascii="宋体" w:hAnsi="宋体" w:eastAsia="宋体" w:cs="宋体"/>
          <w:color w:val="auto"/>
          <w:sz w:val="21"/>
          <w:szCs w:val="21"/>
          <w:highlight w:val="none"/>
          <w:lang w:bidi="ar-SA"/>
        </w:rPr>
        <w:t>。</w:t>
      </w:r>
    </w:p>
    <w:p w14:paraId="0F6BB1BB">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水生菜类：</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肉质嫩，成熟度适中，无腐烂、畸形、异味，无明显机械伤，不带泥土和杂质，不干瘪，茭白不黑心。</w:t>
      </w:r>
    </w:p>
    <w:p w14:paraId="54C2D03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（10）</w:t>
      </w:r>
      <w:r>
        <w:rPr>
          <w:rFonts w:hint="eastAsia" w:ascii="宋体" w:hAnsi="宋体" w:eastAsia="宋体" w:cs="宋体"/>
          <w:color w:val="auto"/>
          <w:sz w:val="21"/>
          <w:szCs w:val="21"/>
          <w:highlight w:val="none"/>
          <w:lang w:bidi="ar-SA"/>
        </w:rPr>
        <w:t>食用菌</w:t>
      </w:r>
      <w:r>
        <w:rPr>
          <w:rFonts w:hint="eastAsia" w:ascii="宋体" w:hAnsi="宋体" w:eastAsia="宋体" w:cs="宋体"/>
          <w:color w:val="auto"/>
          <w:sz w:val="21"/>
          <w:szCs w:val="21"/>
          <w:highlight w:val="none"/>
          <w:lang w:val="en-US" w:eastAsia="zh-CN" w:bidi="ar-SA"/>
        </w:rPr>
        <w:t>类</w:t>
      </w:r>
      <w:r>
        <w:rPr>
          <w:rFonts w:hint="eastAsia" w:ascii="宋体" w:hAnsi="宋体" w:eastAsia="宋体" w:cs="宋体"/>
          <w:color w:val="auto"/>
          <w:sz w:val="21"/>
          <w:szCs w:val="21"/>
          <w:highlight w:val="none"/>
          <w:lang w:eastAsia="zh-CN" w:bidi="ar-SA"/>
        </w:rPr>
        <w:t>：</w:t>
      </w:r>
    </w:p>
    <w:p w14:paraId="3F146989">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蘑菇、草菇菌盖圆整略展开，柄粗壮，菌膜紧，菇柄切削平整，不浸泡水（蘑菇允许浸盐水保鲜），应新鲜、无杂质、无腐烂、畸形、异味。</w:t>
      </w:r>
    </w:p>
    <w:p w14:paraId="6DB9FC26">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芽苗类：</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芽苗幼嫩，不带豆壳杂质，新鲜，不浸水，无腐烂、异味。</w:t>
      </w:r>
    </w:p>
    <w:p w14:paraId="349C0FB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12</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水果类：苹果、香蕉、雪梨、柚子等适时果品。</w:t>
      </w:r>
    </w:p>
    <w:p w14:paraId="05F82725">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每天的供应按采购人提出的品种要求和数量进行供应。</w:t>
      </w:r>
    </w:p>
    <w:p w14:paraId="5DEF809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属季节问题，若出现品种不能满足采购人需求的情况，可与采购人协商调换相应类别的品种（按叶菜、瓜菜等进行分类）。</w:t>
      </w:r>
    </w:p>
    <w:p w14:paraId="763B8E15">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2" w:leftChars="0" w:firstLine="422" w:firstLineChars="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豆制品类</w:t>
      </w:r>
    </w:p>
    <w:p w14:paraId="63FCC45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1）豆腐、豆腐泡、腐皮等要求新鲜，无变质，符合国家标准。</w:t>
      </w:r>
    </w:p>
    <w:p w14:paraId="6D00547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2）豆腐：要求呈均匀的乳白色或淡黄色，稍有光泽，块形完整，软硬适度，富有一定的弹性，质地细嫩、结构均匀、无杂质，具有豆腐特有的香味，取样品品尝时口感细腻鲜嫩，味道纯正清香。</w:t>
      </w:r>
    </w:p>
    <w:p w14:paraId="45BCDB1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3）豆腐泡：要求为金黄色或棕黄色，色彩鲜艳而有光泽，块形整齐，有弹性，皮脆</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内质呈蜂窝状，不粘不散，无杂质，具有豆腐泡特有的清香风味，无任何不良气味，取样品细细咀嚼，外皮酥脆适口，泡内软嫩，咸香适度，具有豆腐泡固有的滋味。</w:t>
      </w:r>
    </w:p>
    <w:p w14:paraId="065DE8B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（4）大豆：豆皮色呈各种大豆固有的颜色，光彩油亮，洁净而有光泽，颗粒饱满，整齐均匀，无虫蛀粒，无杂质，无霉变。</w:t>
      </w:r>
    </w:p>
    <w:p w14:paraId="39EE989D">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粮油面类</w:t>
      </w:r>
    </w:p>
    <w:p w14:paraId="3FE1F23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bidi="ar-SA"/>
        </w:rPr>
        <w:t>米、油、面类货物须符合卫生，不得有腐烂、变质、油脂酸败、霉变、生虫、污秽不洁、混有异物或者其他感官性状异常，并可能对人体健康有害的物质。散装粉、面需提供生产厂家营业执照、卫生许可证、国家机关发出的产品检验合格证书。</w:t>
      </w:r>
    </w:p>
    <w:p w14:paraId="45A8B038">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米：要提供SC认证、国家机关发出的产品检验合格证书。包装箱完整，同时包装箱要印有注册商标、生产厂家名称、厂址、出厂日期、产品合格证、保质期限、产品成分、厂家电话号码。散装豆类提供生产厂家营业执照、卫生许可证、国家机关发出的产品检验合格证书。</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所提供产品质量</w:t>
      </w:r>
      <w:r>
        <w:rPr>
          <w:rFonts w:hint="eastAsia" w:ascii="宋体" w:hAnsi="宋体" w:eastAsia="宋体" w:cs="宋体"/>
          <w:color w:val="auto"/>
          <w:sz w:val="21"/>
          <w:szCs w:val="21"/>
          <w:highlight w:val="none"/>
          <w:lang w:eastAsia="zh-CN"/>
        </w:rPr>
        <w:t>需要</w:t>
      </w:r>
      <w:r>
        <w:rPr>
          <w:rFonts w:hint="eastAsia" w:ascii="宋体" w:hAnsi="宋体" w:eastAsia="宋体" w:cs="宋体"/>
          <w:color w:val="auto"/>
          <w:sz w:val="21"/>
          <w:szCs w:val="21"/>
          <w:highlight w:val="none"/>
        </w:rPr>
        <w:t>符合行业标准要求，不得有掺假、变质、变味、过期等现象出现，严禁伪劣、假冒、无证不合格物品进入仓库。</w:t>
      </w:r>
    </w:p>
    <w:p w14:paraId="5F2B6E1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w:t>
      </w:r>
      <w:r>
        <w:rPr>
          <w:rFonts w:hint="eastAsia" w:ascii="宋体" w:hAnsi="宋体" w:cs="宋体" w:eastAsiaTheme="minorEastAsia"/>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lang w:bidi="ar-SA"/>
        </w:rPr>
        <w:t>面粉：符合国家相关质量标准及卫生安全标准。感观指标应粉状，无霉变和结块，气味正常。</w:t>
      </w:r>
    </w:p>
    <w:p w14:paraId="0D43B9F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干货类</w:t>
      </w:r>
    </w:p>
    <w:p w14:paraId="731A36D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干货制品的质量基本标准要求为符合国家相关行业标准的产品，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超过国家标准要求，采购人可根据实际情况对需要的干货制品进行品质抽检，对质量未达到国家标准的干货制品采购人有权拒绝接收。</w:t>
      </w:r>
    </w:p>
    <w:p w14:paraId="5828D9A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腊肉：符合国家食品部门有关标准，色泽鲜明，肌肉暗红色，脂肪透明呈乳白色，肉干燥结实，带有固有的腊式香味。</w:t>
      </w:r>
    </w:p>
    <w:p w14:paraId="2B9F056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腊肠：肠衣干燥，不发霉，无粘液，肠衣与肉馅紧密</w:t>
      </w:r>
      <w:r>
        <w:rPr>
          <w:rFonts w:hint="eastAsia" w:ascii="宋体" w:hAnsi="宋体" w:cs="宋体"/>
          <w:color w:val="auto"/>
          <w:sz w:val="21"/>
          <w:szCs w:val="21"/>
          <w:highlight w:val="none"/>
          <w:lang w:eastAsia="zh-CN" w:bidi="ar-SA"/>
        </w:rPr>
        <w:t>连在一起</w:t>
      </w:r>
      <w:r>
        <w:rPr>
          <w:rFonts w:hint="eastAsia" w:ascii="宋体" w:hAnsi="宋体" w:eastAsia="宋体" w:cs="宋体"/>
          <w:color w:val="auto"/>
          <w:sz w:val="21"/>
          <w:szCs w:val="21"/>
          <w:highlight w:val="none"/>
          <w:lang w:bidi="ar-SA"/>
        </w:rPr>
        <w:t>，表面紧而有弹性，色泽均匀，肥肉色白，瘦肉色红，无灰色斑点，气味芳香。</w:t>
      </w:r>
    </w:p>
    <w:p w14:paraId="49A7A91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干贝：上等干贝粒大完整、黄亮干燥、肉质饱满，肉丝清晰、粗且有特殊香气。粒小、</w:t>
      </w:r>
      <w:r>
        <w:rPr>
          <w:rFonts w:hint="eastAsia" w:ascii="宋体" w:hAnsi="宋体" w:cs="宋体"/>
          <w:color w:val="auto"/>
          <w:sz w:val="21"/>
          <w:szCs w:val="21"/>
          <w:highlight w:val="none"/>
          <w:lang w:eastAsia="zh-CN" w:bidi="ar-SA"/>
        </w:rPr>
        <w:t>破碎</w:t>
      </w:r>
      <w:r>
        <w:rPr>
          <w:rFonts w:hint="eastAsia" w:ascii="宋体" w:hAnsi="宋体" w:eastAsia="宋体" w:cs="宋体"/>
          <w:color w:val="auto"/>
          <w:sz w:val="21"/>
          <w:szCs w:val="21"/>
          <w:highlight w:val="none"/>
          <w:lang w:bidi="ar-SA"/>
        </w:rPr>
        <w:t>、色淡无光泽者较次。破碎、发黑发霉的为变质品。</w:t>
      </w:r>
    </w:p>
    <w:p w14:paraId="3DDC25D3">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5</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鱿鱼：市场上常见的鱿鱼有椭圆形和长方形，选购时应注意：体干、体形完整、光亮洁净、淡粉红色、片大头小、肉厚者为优。体形部分卷曲，尾部和背部红中透暗，两侧有微红点、体小而宽、肉薄者为次品。</w:t>
      </w:r>
    </w:p>
    <w:p w14:paraId="09F1C72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紫菜：属海产红藻类植物，因鲜紫菜叶较宽大，经干制成长方块形，散片状卷筒，其中以卷筒形柔嫩微脆、叶薄、色紫清香鲜美的为品质优。</w:t>
      </w:r>
    </w:p>
    <w:p w14:paraId="48E689CB">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腐竹：要求为枝条或片叶状，质脆易折，条状折断有空心，无霉斑、杂质、虫蛀。呈淡黄色，有光泽。具有腐竹固有的香味，无任何异味，取样品品尝时具有腐竹固有的鲜香滋味。</w:t>
      </w:r>
    </w:p>
    <w:p w14:paraId="5247C14B">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）肉皮：作为干肉皮，无论什么部位，体表洁净无毛，白亮无残余肥膘，无虫蛀，干爽，敲击时响声清脆，质量均匀为好，反之则为次之，如已发霉，并有哈喇味，即已变质。</w:t>
      </w:r>
    </w:p>
    <w:p w14:paraId="7FCDABE1">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）黄花菜：又名金针菜，干燥、有清香味，菜色黄亮、身条长而粗壮、条杆粗细均匀者为佳。</w:t>
      </w:r>
    </w:p>
    <w:p w14:paraId="431A0D75">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）黑木耳：黑木耳的质量一般以条形大而完整，耳瓣舒展少卷曲，内厚黑，富于光泽，体干不霉，无杂质和碎者为优，反之则差。</w:t>
      </w:r>
    </w:p>
    <w:p w14:paraId="6C76EA84">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银耳：银耳又称白木耳，以朵大、色洁白、有光泽、无杂质，根小、干度足，完整者为佳品，朵小、色黄、根大、无光泽，散碎者次之；黄黑色者质量最次，依上述标准可将银耳分为上中下三等。质量好的银耳，根部不松软腐烂，食之柔软，质量次则根部大而发硬。</w:t>
      </w:r>
    </w:p>
    <w:p w14:paraId="15D30BEF">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）香菇：根据采收季节和形状不同，香菇又分为花菇、厚菇、薄菇和菇丁四类，其中以花菇质量最好，厚菇次之，薄菇更差，菇丁质量最差。</w:t>
      </w:r>
    </w:p>
    <w:p w14:paraId="7D8FD36A">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①花菇：朵小柄短，呈半球状，菇伞顶面有似菊花似的白色裂纹，肉厚、菌盖色泽淡黑，菇底褶，通过加工呈淡黄色，身干、质嫩、有芳香气味者为质</w:t>
      </w:r>
      <w:r>
        <w:rPr>
          <w:rFonts w:hint="eastAsia" w:ascii="宋体" w:hAnsi="宋体" w:eastAsia="宋体" w:cs="宋体"/>
          <w:color w:val="auto"/>
          <w:sz w:val="21"/>
          <w:szCs w:val="21"/>
          <w:highlight w:val="none"/>
          <w:lang w:val="en-US" w:eastAsia="zh-CN"/>
        </w:rPr>
        <w:t>量</w:t>
      </w:r>
      <w:r>
        <w:rPr>
          <w:rFonts w:hint="eastAsia" w:ascii="宋体" w:hAnsi="宋体" w:eastAsia="宋体" w:cs="宋体"/>
          <w:color w:val="auto"/>
          <w:sz w:val="21"/>
          <w:szCs w:val="21"/>
          <w:highlight w:val="none"/>
        </w:rPr>
        <w:t>好香菇。</w:t>
      </w:r>
    </w:p>
    <w:p w14:paraId="00CA1C20">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②厚菇：形状如伞，顶面无花纹，呈黑色并略有光泽，质嫩、肉厚、朵稍大，质量稍次。</w:t>
      </w:r>
    </w:p>
    <w:p w14:paraId="6F948DD0">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③薄菇：形状扁平、开伞、朵大、肉薄、菌盖表面浅褐色，菌褐白色，菌柄稍高，浅咖啡色，基部稍带红色或红褐色，质量比花菇厚，菇差，味淡。</w:t>
      </w:r>
    </w:p>
    <w:p w14:paraId="7B301A99">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④菇丁：是指未充分发育的香菇，个小，直径在2cm以下，味淡质差。</w:t>
      </w:r>
    </w:p>
    <w:p w14:paraId="75847F6A">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）粉丝：质量好的粉丝，粉条细长、白净、晶莹透明、丝条均匀、整齐、干燥，不易折断，无斑点、黑迹，无霉变，有粉丝特有的光泽。</w:t>
      </w:r>
    </w:p>
    <w:p w14:paraId="2FF2C15D">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）蹄筋：猪蹄筋的质量首先从蹄筋抽取的部位区别，后蹄筋体长而圆、粗状、光滑的品质好。前蹄筋体短而扁细、品质较差、保管完好的蹄筋应呈白色、无杂质，干、硬度高。</w:t>
      </w:r>
    </w:p>
    <w:p w14:paraId="00FFF434">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）发菜：发菜是陆生褐色藻类，以藻体细长、绿黑色、柔软爽滑、干燥、无杂质的质量为优，反之则劣。</w:t>
      </w:r>
    </w:p>
    <w:p w14:paraId="685494E9">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调味料（含厨房辅材用品）类</w:t>
      </w:r>
    </w:p>
    <w:p w14:paraId="52687A2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酱油：酱油颜色比较红、亮、有光泽、透明，酱油倒在瓶子里摇一下，酱油产生的泡沫非常细腻，保持持久，挂碗现象非常好，有发黏的感觉。</w:t>
      </w:r>
    </w:p>
    <w:p w14:paraId="7EF3AEA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味精：无色至白色结晶或粉末，应具有特殊的鲜味，无异味，无肉眼可见杂质。</w:t>
      </w:r>
    </w:p>
    <w:p w14:paraId="51FB3F3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酱类食品：应具有正常酿造酱的色泽、气味和滋味、不涩、无其他不良气味、不得有酸、苦、焦糊</w:t>
      </w:r>
      <w:r>
        <w:rPr>
          <w:rFonts w:hint="eastAsia" w:ascii="宋体" w:hAnsi="宋体" w:cs="宋体"/>
          <w:color w:val="auto"/>
          <w:sz w:val="21"/>
          <w:szCs w:val="21"/>
          <w:highlight w:val="none"/>
          <w:lang w:eastAsia="zh-CN" w:bidi="ar-SA"/>
        </w:rPr>
        <w:t>及其他</w:t>
      </w:r>
      <w:r>
        <w:rPr>
          <w:rFonts w:hint="eastAsia" w:ascii="宋体" w:hAnsi="宋体" w:eastAsia="宋体" w:cs="宋体"/>
          <w:color w:val="auto"/>
          <w:sz w:val="21"/>
          <w:szCs w:val="21"/>
          <w:highlight w:val="none"/>
          <w:lang w:bidi="ar-SA"/>
        </w:rPr>
        <w:t>异味、异物。</w:t>
      </w:r>
    </w:p>
    <w:p w14:paraId="52455D6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淀粉制品：应具有各自品种固有的形态和色泽、不酸、不粘、不发霉、无变质、无异味、无杂质、口尝无砂质。</w:t>
      </w:r>
    </w:p>
    <w:p w14:paraId="104D17C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5</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食盐：结晶整齐一致、坚硬光滑，呈透明或半透明、不结块、无反卤吸潮现象、无杂质，沾取少许尝试具有纯正的咸味。</w:t>
      </w:r>
    </w:p>
    <w:p w14:paraId="0DE8AC1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白糖：要求色泽洁白明亮，有光泽，具有白糖的正常气味，无酸味、酒味或其他外来气味。凡是白糖都应干燥，晶粒松散，不粘手，不结块，无肉眼可见的杂质，白糖的水溶液应清晰透明无杂质。</w:t>
      </w:r>
    </w:p>
    <w:p w14:paraId="76560A8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7</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绵白糖：颗粒细小而均匀，质地绵软、潮润。</w:t>
      </w:r>
    </w:p>
    <w:p w14:paraId="45C20CE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红糖：呈晶粒状或粉末状，干燥而松散，不结块，不成团，杂质，其水溶液清晰，无沉淀，无悬浮物，具有甘蔗汁的清香味，</w:t>
      </w:r>
      <w:r>
        <w:rPr>
          <w:rFonts w:hint="eastAsia" w:ascii="宋体" w:hAnsi="宋体" w:cs="宋体"/>
          <w:color w:val="auto"/>
          <w:sz w:val="21"/>
          <w:szCs w:val="21"/>
          <w:highlight w:val="none"/>
          <w:lang w:val="en-US" w:eastAsia="zh-CN" w:bidi="ar-SA"/>
        </w:rPr>
        <w:t>没</w:t>
      </w:r>
      <w:r>
        <w:rPr>
          <w:rFonts w:hint="eastAsia" w:ascii="宋体" w:hAnsi="宋体" w:eastAsia="宋体" w:cs="宋体"/>
          <w:color w:val="auto"/>
          <w:sz w:val="21"/>
          <w:szCs w:val="21"/>
          <w:highlight w:val="none"/>
          <w:lang w:bidi="ar-SA"/>
        </w:rPr>
        <w:t>有酒味、酸味或其他外来不良气味，口味浓甜带鲜，微有糖蜜味，无焦苦味或其他外来异味。</w:t>
      </w:r>
    </w:p>
    <w:p w14:paraId="6EB829F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9</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冰糖：块形完整，个粒均匀，结晶组织严密，透明或半透明，无破碎。</w:t>
      </w:r>
    </w:p>
    <w:p w14:paraId="60DD331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Cs/>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10</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方糖：呈正六面体状，表面平整，无裂纹，铁边，断角，无突出砂粒，无霉斑。</w:t>
      </w:r>
    </w:p>
    <w:p w14:paraId="41A41C0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11</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辛辣料</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要求采用植物果实和种子粉碎而配制成的天然植物香料，如五香粉、胡椒粉、花椒粉、咖喱粉、芥末粉等，辛辣料的主要原料有八角、花椒、胡椒、桂皮、小茴香、大茴香、辣椒、孜然等。辛辣料应呈干燥状，具有该种香料植物所特有的色、香、味，没有不纯正的气味和味道，无发霉味或其他异味。</w:t>
      </w:r>
    </w:p>
    <w:p w14:paraId="5C371CF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val="en-US" w:eastAsia="zh-CN" w:bidi="ar-SA"/>
        </w:rPr>
        <w:t>12</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腐乳：红腐乳要求表面呈红色或枣红色，内部呈杏黄色，色泽鲜艳，有光泽；白腐乳要求外表呈乳黄色。块形整齐均匀，质地细腻，无霉斑、霉变及杂质。具有各品种的腐乳特有的香味或特征气味，无任何其他异味，滋味鲜美，咸淡适口，无任何其他异味。</w:t>
      </w:r>
    </w:p>
    <w:p w14:paraId="759CC71C">
      <w:pPr>
        <w:pStyle w:val="1459"/>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调味</w:t>
      </w:r>
      <w:r>
        <w:rPr>
          <w:rFonts w:hint="eastAsia" w:ascii="宋体" w:hAnsi="宋体" w:eastAsia="宋体" w:cs="宋体"/>
          <w:color w:val="auto"/>
          <w:sz w:val="21"/>
          <w:szCs w:val="21"/>
          <w:highlight w:val="none"/>
          <w:lang w:val="en-US" w:eastAsia="zh-CN"/>
        </w:rPr>
        <w:t>品</w:t>
      </w:r>
      <w:r>
        <w:rPr>
          <w:rFonts w:hint="eastAsia" w:ascii="宋体" w:hAnsi="宋体" w:eastAsia="宋体" w:cs="宋体"/>
          <w:color w:val="auto"/>
          <w:sz w:val="21"/>
          <w:szCs w:val="21"/>
          <w:highlight w:val="none"/>
        </w:rPr>
        <w:t>：不得含有人工合成着色剂，酱油、食醋应为酿造酱油和酿造食醋，不得供应配制酱油或食醋，其中酱油氨基酸态氨含量不得低于0.7g/100mL。</w:t>
      </w:r>
    </w:p>
    <w:p w14:paraId="5679459E">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蛋类</w:t>
      </w:r>
    </w:p>
    <w:p w14:paraId="2325F8D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鲜蛋：蛋壳清洁完整，色泽鲜明，无破损、裂纹，无霉斑，灯光透视时，整个蛋呈桔黄色至橙红色，蛋黄不见或略见阴影，没有霉味、酸味，臭味等不良气味，打开后蛋黄凸起、完整、有韧性，蛋白澄清、透明、稀稠分明，无异味。</w:t>
      </w:r>
    </w:p>
    <w:p w14:paraId="47C9318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2）咸蛋：外壳裹泥完整，无裂纹或霉斑，摇动时有轻度水荡漾感觉，灯光透视蛋黄凝结、呈橙黄色且靠近蛋壳，蛋清呈白色水样透明，打开可见蛋清稀薄透明，蛋黄呈红色或淡红色，浓缩粘度增强，但不硬固，煮熟后打开，可见蛋清白嫩，蛋黄口味有细沙感，富于油脂，品尝则有咸蛋固有的香味。</w:t>
      </w:r>
    </w:p>
    <w:p w14:paraId="5523C2C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（3）皮蛋：外表泥状包料完整、无霉斑，包料除掉后蛋壳亦完整无损，灯光透照蛋内容物凝固不动，打开观察，整个蛋凝固、不粘壳、清洁而有弹性、呈半透明的棕黄色，闻起来有芳香，无辛辣气。</w:t>
      </w:r>
    </w:p>
    <w:p w14:paraId="03313685">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2.执行标准</w:t>
      </w:r>
    </w:p>
    <w:p w14:paraId="5E7B0010">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肉类</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bCs/>
          <w:color w:val="auto"/>
          <w:sz w:val="21"/>
          <w:szCs w:val="21"/>
          <w:highlight w:val="none"/>
          <w:lang w:bidi="ar-SA"/>
        </w:rPr>
        <w:t>含生鲜肉、冻肉）、水产海鲜类：</w:t>
      </w:r>
    </w:p>
    <w:p w14:paraId="3149005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Cs w:val="21"/>
          <w:highlight w:val="none"/>
          <w:lang w:bidi="ar-SA"/>
        </w:rPr>
      </w:pPr>
      <w:r>
        <w:rPr>
          <w:rFonts w:hint="eastAsia" w:ascii="宋体" w:hAnsi="宋体" w:eastAsia="宋体" w:cs="宋体"/>
          <w:color w:val="auto"/>
          <w:highlight w:val="none"/>
          <w:lang w:bidi="ar-SA"/>
        </w:rPr>
        <w:t>冷鲜畜禽肉应符合国家、食品部门的有关标准。国家有定点屠宰、检验检疫要求的品种，应来自定点屠宰厂出品、有国家规定的动物产品检疫合格证明及验讫印章、肉品品质检验合格证明及验讫印章等</w:t>
      </w:r>
      <w:r>
        <w:rPr>
          <w:rFonts w:hint="eastAsia" w:ascii="宋体" w:hAnsi="宋体" w:eastAsia="宋体" w:cs="宋体"/>
          <w:color w:val="auto"/>
          <w:szCs w:val="21"/>
          <w:highlight w:val="none"/>
          <w:lang w:bidi="ar-SA"/>
        </w:rPr>
        <w:t>‌。</w:t>
      </w:r>
    </w:p>
    <w:p w14:paraId="0706A4D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水产海鲜类的配送标准涵盖软体类、‌贝壳类、‌虾类、‌蟹类和蛙类等，‌要求色泽鲜艳、‌体型完整、‌肉质新鲜、‌无臭味等。使用专业车运送鲜活海鲜，‌以确保食材的新鲜度和质量</w:t>
      </w:r>
      <w:r>
        <w:rPr>
          <w:rFonts w:hint="eastAsia" w:ascii="宋体" w:hAnsi="宋体" w:eastAsia="宋体" w:cs="宋体"/>
          <w:color w:val="auto"/>
          <w:szCs w:val="21"/>
          <w:highlight w:val="none"/>
          <w:lang w:eastAsia="zh-CN" w:bidi="ar-SA"/>
        </w:rPr>
        <w:t>。</w:t>
      </w:r>
    </w:p>
    <w:p w14:paraId="2BCC9D5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宋体" w:hAnsi="宋体" w:eastAsia="宋体" w:cs="宋体"/>
          <w:color w:val="auto"/>
          <w:szCs w:val="21"/>
          <w:highlight w:val="none"/>
          <w:lang w:bidi="ar-SA"/>
        </w:rPr>
      </w:pPr>
      <w:r>
        <w:rPr>
          <w:rFonts w:hint="eastAsia" w:ascii="宋体" w:hAnsi="宋体" w:eastAsia="宋体" w:cs="宋体"/>
          <w:b/>
          <w:bCs/>
          <w:color w:val="auto"/>
          <w:szCs w:val="21"/>
          <w:highlight w:val="none"/>
          <w:lang w:bidi="ar-SA"/>
        </w:rPr>
        <w:t>货物票证要求</w:t>
      </w:r>
    </w:p>
    <w:tbl>
      <w:tblPr>
        <w:tblStyle w:val="62"/>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3"/>
        <w:gridCol w:w="2365"/>
        <w:gridCol w:w="4990"/>
      </w:tblGrid>
      <w:tr w14:paraId="0A59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noWrap w:val="0"/>
            <w:vAlign w:val="center"/>
          </w:tcPr>
          <w:p w14:paraId="06FF9A21">
            <w:pPr>
              <w:pageBreakBefore w:val="0"/>
              <w:kinsoku/>
              <w:wordWrap/>
              <w:overflowPunct/>
              <w:topLinePunct w:val="0"/>
              <w:bidi w:val="0"/>
              <w:spacing w:line="24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货物类别</w:t>
            </w:r>
          </w:p>
        </w:tc>
        <w:tc>
          <w:tcPr>
            <w:tcW w:w="2365" w:type="dxa"/>
            <w:noWrap w:val="0"/>
            <w:vAlign w:val="center"/>
          </w:tcPr>
          <w:p w14:paraId="50D932CA">
            <w:pPr>
              <w:pageBreakBefore w:val="0"/>
              <w:kinsoku/>
              <w:wordWrap/>
              <w:overflowPunct/>
              <w:topLinePunct w:val="0"/>
              <w:bidi w:val="0"/>
              <w:spacing w:line="24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产品票证名称</w:t>
            </w:r>
          </w:p>
        </w:tc>
        <w:tc>
          <w:tcPr>
            <w:tcW w:w="4990" w:type="dxa"/>
            <w:noWrap w:val="0"/>
            <w:vAlign w:val="center"/>
          </w:tcPr>
          <w:p w14:paraId="473BCE85">
            <w:pPr>
              <w:pageBreakBefore w:val="0"/>
              <w:kinsoku/>
              <w:wordWrap/>
              <w:overflowPunct/>
              <w:topLinePunct w:val="0"/>
              <w:bidi w:val="0"/>
              <w:spacing w:line="240" w:lineRule="auto"/>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验收索证要求</w:t>
            </w:r>
          </w:p>
        </w:tc>
      </w:tr>
      <w:tr w14:paraId="3827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restart"/>
            <w:noWrap w:val="0"/>
            <w:vAlign w:val="center"/>
          </w:tcPr>
          <w:p w14:paraId="63564AE8">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猪、牛肉类家禽类</w:t>
            </w:r>
          </w:p>
        </w:tc>
        <w:tc>
          <w:tcPr>
            <w:tcW w:w="2365" w:type="dxa"/>
            <w:noWrap w:val="0"/>
            <w:vAlign w:val="center"/>
          </w:tcPr>
          <w:p w14:paraId="6257A233">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《食品生产许可证》</w:t>
            </w:r>
          </w:p>
        </w:tc>
        <w:tc>
          <w:tcPr>
            <w:tcW w:w="4990" w:type="dxa"/>
            <w:noWrap w:val="0"/>
            <w:vAlign w:val="center"/>
          </w:tcPr>
          <w:p w14:paraId="57BC45B3">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交货时提交所供应畜禽冻肉类和肉制品生产厂家的肉制品《食品生产许可证》。</w:t>
            </w:r>
          </w:p>
        </w:tc>
      </w:tr>
      <w:tr w14:paraId="5C3A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continue"/>
            <w:noWrap w:val="0"/>
            <w:vAlign w:val="center"/>
          </w:tcPr>
          <w:p w14:paraId="17A78E45">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p>
        </w:tc>
        <w:tc>
          <w:tcPr>
            <w:tcW w:w="2365" w:type="dxa"/>
            <w:noWrap w:val="0"/>
            <w:vAlign w:val="center"/>
          </w:tcPr>
          <w:p w14:paraId="182E4971">
            <w:pPr>
              <w:pageBreakBefore w:val="0"/>
              <w:kinsoku/>
              <w:wordWrap/>
              <w:overflowPunct/>
              <w:topLinePunct w:val="0"/>
              <w:bidi w:val="0"/>
              <w:spacing w:line="240" w:lineRule="auto"/>
              <w:jc w:val="left"/>
              <w:textAlignment w:val="auto"/>
              <w:outlineLvl w:val="9"/>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《动物产品检疫合格证》</w:t>
            </w:r>
          </w:p>
        </w:tc>
        <w:tc>
          <w:tcPr>
            <w:tcW w:w="4990" w:type="dxa"/>
            <w:noWrap w:val="0"/>
            <w:vAlign w:val="center"/>
          </w:tcPr>
          <w:p w14:paraId="26BF2FDD">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要求有生产名称、地址、产品名称、产地和目的地，官方兽医签字、盖检验检疫专用章。</w:t>
            </w:r>
          </w:p>
        </w:tc>
      </w:tr>
      <w:tr w14:paraId="57F0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continue"/>
            <w:noWrap w:val="0"/>
            <w:vAlign w:val="center"/>
          </w:tcPr>
          <w:p w14:paraId="7DD87158">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p>
        </w:tc>
        <w:tc>
          <w:tcPr>
            <w:tcW w:w="2365" w:type="dxa"/>
            <w:noWrap w:val="0"/>
            <w:vAlign w:val="center"/>
          </w:tcPr>
          <w:p w14:paraId="6D1248F2">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《‌出县境动物产品检疫合格证》</w:t>
            </w:r>
          </w:p>
        </w:tc>
        <w:tc>
          <w:tcPr>
            <w:tcW w:w="4990" w:type="dxa"/>
            <w:noWrap w:val="0"/>
            <w:vAlign w:val="center"/>
          </w:tcPr>
          <w:p w14:paraId="34DCFCCF">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由政府动植物检疫部门出具，用于跨区销售检查。</w:t>
            </w:r>
          </w:p>
        </w:tc>
      </w:tr>
      <w:tr w14:paraId="51C1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continue"/>
            <w:noWrap w:val="0"/>
            <w:vAlign w:val="center"/>
          </w:tcPr>
          <w:p w14:paraId="3CA902C3">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p>
        </w:tc>
        <w:tc>
          <w:tcPr>
            <w:tcW w:w="2365" w:type="dxa"/>
            <w:noWrap w:val="0"/>
            <w:vAlign w:val="center"/>
          </w:tcPr>
          <w:p w14:paraId="7E08EDA1">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《产品合格证》</w:t>
            </w:r>
          </w:p>
        </w:tc>
        <w:tc>
          <w:tcPr>
            <w:tcW w:w="4990" w:type="dxa"/>
            <w:noWrap w:val="0"/>
            <w:vAlign w:val="center"/>
          </w:tcPr>
          <w:p w14:paraId="74ACB589">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交货时提供本批次产品的出厂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检验合格证明，随车同行。</w:t>
            </w:r>
          </w:p>
        </w:tc>
      </w:tr>
      <w:tr w14:paraId="2FCC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continue"/>
            <w:noWrap w:val="0"/>
            <w:vAlign w:val="center"/>
          </w:tcPr>
          <w:p w14:paraId="6D3BC88A">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p>
        </w:tc>
        <w:tc>
          <w:tcPr>
            <w:tcW w:w="2365" w:type="dxa"/>
            <w:noWrap w:val="0"/>
            <w:vAlign w:val="center"/>
          </w:tcPr>
          <w:p w14:paraId="2E393FBC">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《动物产品防疫合格证》</w:t>
            </w:r>
          </w:p>
        </w:tc>
        <w:tc>
          <w:tcPr>
            <w:tcW w:w="4990" w:type="dxa"/>
            <w:noWrap w:val="0"/>
            <w:vAlign w:val="center"/>
          </w:tcPr>
          <w:p w14:paraId="38815705">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当批次有效，原件备查。</w:t>
            </w:r>
          </w:p>
        </w:tc>
      </w:tr>
      <w:tr w14:paraId="5536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restart"/>
            <w:noWrap w:val="0"/>
            <w:vAlign w:val="center"/>
          </w:tcPr>
          <w:p w14:paraId="3736B816">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肉制品</w:t>
            </w:r>
          </w:p>
        </w:tc>
        <w:tc>
          <w:tcPr>
            <w:tcW w:w="2365" w:type="dxa"/>
            <w:noWrap w:val="0"/>
            <w:vAlign w:val="center"/>
          </w:tcPr>
          <w:p w14:paraId="6D4A5C43">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《卫生检疫报告》</w:t>
            </w:r>
          </w:p>
        </w:tc>
        <w:tc>
          <w:tcPr>
            <w:tcW w:w="4990" w:type="dxa"/>
            <w:noWrap w:val="0"/>
            <w:vAlign w:val="center"/>
          </w:tcPr>
          <w:p w14:paraId="4935F59A">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由政府疾控部门或卫生检验部门出具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半年内有效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14:paraId="2645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vMerge w:val="continue"/>
            <w:noWrap w:val="0"/>
            <w:vAlign w:val="center"/>
          </w:tcPr>
          <w:p w14:paraId="139BBB94">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p>
        </w:tc>
        <w:tc>
          <w:tcPr>
            <w:tcW w:w="2365" w:type="dxa"/>
            <w:noWrap w:val="0"/>
            <w:vAlign w:val="center"/>
          </w:tcPr>
          <w:p w14:paraId="725D9246">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《产品合格证》</w:t>
            </w:r>
          </w:p>
        </w:tc>
        <w:tc>
          <w:tcPr>
            <w:tcW w:w="4990" w:type="dxa"/>
            <w:noWrap w:val="0"/>
            <w:vAlign w:val="center"/>
          </w:tcPr>
          <w:p w14:paraId="7DE34A7B">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交货时提供本批次产品的出厂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检验合格证明，随车同行。</w:t>
            </w:r>
          </w:p>
        </w:tc>
      </w:tr>
      <w:tr w14:paraId="66B9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3" w:type="dxa"/>
            <w:noWrap w:val="0"/>
            <w:vAlign w:val="center"/>
          </w:tcPr>
          <w:p w14:paraId="01625003">
            <w:pPr>
              <w:pageBreakBefore w:val="0"/>
              <w:kinsoku/>
              <w:wordWrap/>
              <w:overflowPunct/>
              <w:topLinePunct w:val="0"/>
              <w:bidi w:val="0"/>
              <w:spacing w:line="240" w:lineRule="auto"/>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水产品</w:t>
            </w:r>
          </w:p>
        </w:tc>
        <w:tc>
          <w:tcPr>
            <w:tcW w:w="2365" w:type="dxa"/>
            <w:noWrap w:val="0"/>
            <w:vAlign w:val="center"/>
          </w:tcPr>
          <w:p w14:paraId="6F93A7E6">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贮存地的出入库检疫证明，水产品成型标准为个体单独冷冻成型。</w:t>
            </w:r>
          </w:p>
        </w:tc>
        <w:tc>
          <w:tcPr>
            <w:tcW w:w="4990" w:type="dxa"/>
            <w:noWrap w:val="0"/>
            <w:vAlign w:val="center"/>
          </w:tcPr>
          <w:p w14:paraId="0A86BBE7">
            <w:pPr>
              <w:pageBreakBefore w:val="0"/>
              <w:kinsoku/>
              <w:wordWrap/>
              <w:overflowPunct/>
              <w:topLinePunct w:val="0"/>
              <w:bidi w:val="0"/>
              <w:spacing w:line="24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交货时提供本批次产品的出厂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检验合格证明。</w:t>
            </w:r>
          </w:p>
        </w:tc>
      </w:tr>
      <w:tr w14:paraId="653E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8" w:type="dxa"/>
            <w:gridSpan w:val="3"/>
            <w:noWrap w:val="0"/>
            <w:vAlign w:val="center"/>
          </w:tcPr>
          <w:p w14:paraId="28987D80">
            <w:pPr>
              <w:pageBreakBefore w:val="0"/>
              <w:kinsoku/>
              <w:wordWrap/>
              <w:overflowPunct/>
              <w:topLinePunct w:val="0"/>
              <w:bidi w:val="0"/>
              <w:spacing w:line="240" w:lineRule="auto"/>
              <w:jc w:val="left"/>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在服务实施期间</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以上标准要求如有变更，则按最新的现行执行标准要求执行。</w:t>
            </w:r>
          </w:p>
        </w:tc>
      </w:tr>
    </w:tbl>
    <w:p w14:paraId="3BADEEEB">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果蔬类（卫生质量指标应符合我国无公害蔬菜上的卫生指标规定。）</w:t>
      </w:r>
    </w:p>
    <w:p w14:paraId="6065E67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基本要求：必须是优质货品，符合卫生质量要求和国家相关行业标准，不得含有残留农药或污染物</w:t>
      </w:r>
      <w:r>
        <w:rPr>
          <w:rFonts w:hint="eastAsia" w:ascii="宋体" w:hAnsi="宋体" w:cs="宋体"/>
          <w:color w:val="auto"/>
          <w:sz w:val="21"/>
          <w:szCs w:val="21"/>
          <w:highlight w:val="none"/>
          <w:lang w:val="en-US" w:eastAsia="zh-CN" w:bidi="ar-SA"/>
        </w:rPr>
        <w:t>，</w:t>
      </w:r>
      <w:r>
        <w:rPr>
          <w:rFonts w:hint="eastAsia" w:ascii="宋体" w:hAnsi="宋体" w:eastAsia="宋体" w:cs="宋体"/>
          <w:color w:val="auto"/>
          <w:sz w:val="21"/>
          <w:szCs w:val="21"/>
          <w:highlight w:val="none"/>
          <w:lang w:val="en-US" w:eastAsia="zh-CN" w:bidi="ar-SA"/>
        </w:rPr>
        <w:t>同时须承担因所供问题果蔬引起的一切事故后果。</w:t>
      </w:r>
    </w:p>
    <w:tbl>
      <w:tblPr>
        <w:tblStyle w:val="62"/>
        <w:tblW w:w="8519" w:type="dxa"/>
        <w:jc w:val="center"/>
        <w:tblLayout w:type="autofit"/>
        <w:tblCellMar>
          <w:top w:w="15" w:type="dxa"/>
          <w:left w:w="15" w:type="dxa"/>
          <w:bottom w:w="15" w:type="dxa"/>
          <w:right w:w="15" w:type="dxa"/>
        </w:tblCellMar>
      </w:tblPr>
      <w:tblGrid>
        <w:gridCol w:w="4508"/>
        <w:gridCol w:w="4011"/>
      </w:tblGrid>
      <w:tr w14:paraId="22064A23">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center"/>
          </w:tcPr>
          <w:p w14:paraId="50FD3A7B">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项目</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center"/>
          </w:tcPr>
          <w:p w14:paraId="70F72763">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指标（mg/kg）</w:t>
            </w:r>
          </w:p>
        </w:tc>
      </w:tr>
      <w:tr w14:paraId="767D9022">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753C6A83">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甲胺磷</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4DFE85B">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不得检出</w:t>
            </w:r>
          </w:p>
        </w:tc>
      </w:tr>
      <w:tr w14:paraId="2F942703">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850AC68">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甲拌磷</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69BC87E">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不得检出</w:t>
            </w:r>
          </w:p>
        </w:tc>
      </w:tr>
      <w:tr w14:paraId="28409BE0">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EE53D37">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氧化乐果</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1228C9A9">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不得检出</w:t>
            </w:r>
          </w:p>
        </w:tc>
      </w:tr>
      <w:tr w14:paraId="395E4611">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E7D82FF">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甲基对硫磷</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FC7C4D7">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不得检出</w:t>
            </w:r>
          </w:p>
        </w:tc>
      </w:tr>
      <w:tr w14:paraId="4C465F74">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37983B0">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呋喃丹</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57854D3">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不得检出</w:t>
            </w:r>
          </w:p>
        </w:tc>
      </w:tr>
      <w:tr w14:paraId="5D346A71">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57159450">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百菌清</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25CA2323">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≤1.0</w:t>
            </w:r>
          </w:p>
        </w:tc>
      </w:tr>
      <w:tr w14:paraId="41DF5A8B">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1C5539D2">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多菌灵</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1D851BDA">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≤0.5</w:t>
            </w:r>
          </w:p>
        </w:tc>
      </w:tr>
      <w:tr w14:paraId="0D9BE82A">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957CB43">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eastAsia="zh-CN" w:bidi="ar-SA"/>
              </w:rPr>
            </w:pPr>
            <w:r>
              <w:rPr>
                <w:rFonts w:hint="eastAsia" w:ascii="宋体" w:hAnsi="宋体" w:eastAsia="宋体" w:cs="宋体"/>
                <w:color w:val="auto"/>
                <w:highlight w:val="none"/>
                <w:lang w:bidi="ar-SA"/>
              </w:rPr>
              <w:t>汞</w:t>
            </w:r>
            <w:r>
              <w:rPr>
                <w:rFonts w:hint="eastAsia" w:ascii="宋体" w:hAnsi="宋体" w:cs="宋体" w:eastAsiaTheme="minorEastAsia"/>
                <w:color w:val="auto"/>
                <w:highlight w:val="none"/>
                <w:lang w:eastAsia="zh-CN" w:bidi="ar-SA"/>
              </w:rPr>
              <w:t>（</w:t>
            </w:r>
            <w:r>
              <w:rPr>
                <w:rFonts w:hint="eastAsia" w:ascii="宋体" w:hAnsi="宋体" w:eastAsia="宋体" w:cs="宋体"/>
                <w:color w:val="auto"/>
                <w:highlight w:val="none"/>
                <w:lang w:bidi="ar-SA"/>
              </w:rPr>
              <w:t>以Hg计</w:t>
            </w:r>
            <w:r>
              <w:rPr>
                <w:rFonts w:hint="eastAsia" w:ascii="宋体" w:hAnsi="宋体" w:cs="宋体" w:eastAsiaTheme="minorEastAsia"/>
                <w:color w:val="auto"/>
                <w:highlight w:val="none"/>
                <w:lang w:eastAsia="zh-CN" w:bidi="ar-SA"/>
              </w:rPr>
              <w:t>）</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78AF1E33">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≤0.01</w:t>
            </w:r>
          </w:p>
        </w:tc>
      </w:tr>
      <w:tr w14:paraId="13FDE74E">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C93444A">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eastAsia="zh-CN" w:bidi="ar-SA"/>
              </w:rPr>
            </w:pPr>
            <w:r>
              <w:rPr>
                <w:rFonts w:hint="eastAsia" w:ascii="宋体" w:hAnsi="宋体" w:eastAsia="宋体" w:cs="宋体"/>
                <w:color w:val="auto"/>
                <w:highlight w:val="none"/>
                <w:lang w:bidi="ar-SA"/>
              </w:rPr>
              <w:t>铅</w:t>
            </w:r>
            <w:r>
              <w:rPr>
                <w:rFonts w:hint="eastAsia" w:ascii="宋体" w:hAnsi="宋体" w:cs="宋体" w:eastAsiaTheme="minorEastAsia"/>
                <w:color w:val="auto"/>
                <w:highlight w:val="none"/>
                <w:lang w:eastAsia="zh-CN" w:bidi="ar-SA"/>
              </w:rPr>
              <w:t>（</w:t>
            </w:r>
            <w:r>
              <w:rPr>
                <w:rFonts w:hint="eastAsia" w:ascii="宋体" w:hAnsi="宋体" w:eastAsia="宋体" w:cs="宋体"/>
                <w:color w:val="auto"/>
                <w:highlight w:val="none"/>
                <w:lang w:bidi="ar-SA"/>
              </w:rPr>
              <w:t>以Pb计</w:t>
            </w:r>
            <w:r>
              <w:rPr>
                <w:rFonts w:hint="eastAsia" w:ascii="宋体" w:hAnsi="宋体" w:cs="宋体" w:eastAsiaTheme="minorEastAsia"/>
                <w:color w:val="auto"/>
                <w:highlight w:val="none"/>
                <w:lang w:eastAsia="zh-CN" w:bidi="ar-SA"/>
              </w:rPr>
              <w:t>）</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2259F0E0">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≤0.2</w:t>
            </w:r>
          </w:p>
        </w:tc>
      </w:tr>
      <w:tr w14:paraId="7783A1E3">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93D7CE6">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eastAsia="zh-CN" w:bidi="ar-SA"/>
              </w:rPr>
            </w:pPr>
            <w:r>
              <w:rPr>
                <w:rFonts w:hint="eastAsia" w:ascii="宋体" w:hAnsi="宋体" w:eastAsia="宋体" w:cs="宋体"/>
                <w:color w:val="auto"/>
                <w:highlight w:val="none"/>
                <w:lang w:bidi="ar-SA"/>
              </w:rPr>
              <w:t>砷</w:t>
            </w:r>
            <w:r>
              <w:rPr>
                <w:rFonts w:hint="eastAsia" w:ascii="宋体" w:hAnsi="宋体" w:cs="宋体" w:eastAsiaTheme="minorEastAsia"/>
                <w:color w:val="auto"/>
                <w:highlight w:val="none"/>
                <w:lang w:eastAsia="zh-CN" w:bidi="ar-SA"/>
              </w:rPr>
              <w:t>（</w:t>
            </w:r>
            <w:r>
              <w:rPr>
                <w:rFonts w:hint="eastAsia" w:ascii="宋体" w:hAnsi="宋体" w:eastAsia="宋体" w:cs="宋体"/>
                <w:color w:val="auto"/>
                <w:highlight w:val="none"/>
                <w:lang w:bidi="ar-SA"/>
              </w:rPr>
              <w:t>以As计</w:t>
            </w:r>
            <w:r>
              <w:rPr>
                <w:rFonts w:hint="eastAsia" w:ascii="宋体" w:hAnsi="宋体" w:cs="宋体" w:eastAsiaTheme="minorEastAsia"/>
                <w:color w:val="auto"/>
                <w:highlight w:val="none"/>
                <w:lang w:eastAsia="zh-CN" w:bidi="ar-SA"/>
              </w:rPr>
              <w:t>）</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76D1146E">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≤0.5</w:t>
            </w:r>
          </w:p>
        </w:tc>
      </w:tr>
      <w:tr w14:paraId="40B9D3AC">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C88122B">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eastAsia="zh-CN" w:bidi="ar-SA"/>
              </w:rPr>
            </w:pPr>
            <w:r>
              <w:rPr>
                <w:rFonts w:hint="eastAsia" w:ascii="宋体" w:hAnsi="宋体" w:eastAsia="宋体" w:cs="宋体"/>
                <w:color w:val="auto"/>
                <w:highlight w:val="none"/>
                <w:lang w:bidi="ar-SA"/>
              </w:rPr>
              <w:t>氟</w:t>
            </w:r>
            <w:r>
              <w:rPr>
                <w:rFonts w:hint="eastAsia" w:ascii="宋体" w:hAnsi="宋体" w:cs="宋体" w:eastAsiaTheme="minorEastAsia"/>
                <w:color w:val="auto"/>
                <w:highlight w:val="none"/>
                <w:lang w:eastAsia="zh-CN" w:bidi="ar-SA"/>
              </w:rPr>
              <w:t>（</w:t>
            </w:r>
            <w:r>
              <w:rPr>
                <w:rFonts w:hint="eastAsia" w:ascii="宋体" w:hAnsi="宋体" w:eastAsia="宋体" w:cs="宋体"/>
                <w:color w:val="auto"/>
                <w:highlight w:val="none"/>
                <w:lang w:bidi="ar-SA"/>
              </w:rPr>
              <w:t>以F计</w:t>
            </w:r>
            <w:r>
              <w:rPr>
                <w:rFonts w:hint="eastAsia" w:ascii="宋体" w:hAnsi="宋体" w:cs="宋体" w:eastAsiaTheme="minorEastAsia"/>
                <w:color w:val="auto"/>
                <w:highlight w:val="none"/>
                <w:lang w:eastAsia="zh-CN" w:bidi="ar-SA"/>
              </w:rPr>
              <w:t>）</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724A3AB2">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≤0.5</w:t>
            </w:r>
          </w:p>
        </w:tc>
      </w:tr>
      <w:tr w14:paraId="328B0DD5">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6D3DC60">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eastAsia="zh-CN" w:bidi="ar-SA"/>
              </w:rPr>
            </w:pPr>
            <w:r>
              <w:rPr>
                <w:rFonts w:hint="eastAsia" w:ascii="宋体" w:hAnsi="宋体" w:eastAsia="宋体" w:cs="宋体"/>
                <w:color w:val="auto"/>
                <w:highlight w:val="none"/>
                <w:lang w:bidi="ar-SA"/>
              </w:rPr>
              <w:t>硝酸盐</w:t>
            </w:r>
            <w:r>
              <w:rPr>
                <w:rFonts w:hint="eastAsia" w:ascii="宋体" w:hAnsi="宋体" w:cs="宋体" w:eastAsiaTheme="minorEastAsia"/>
                <w:color w:val="auto"/>
                <w:highlight w:val="none"/>
                <w:lang w:eastAsia="zh-CN" w:bidi="ar-SA"/>
              </w:rPr>
              <w:t>（</w:t>
            </w:r>
            <w:r>
              <w:rPr>
                <w:rFonts w:hint="eastAsia" w:ascii="宋体" w:hAnsi="宋体" w:eastAsia="宋体" w:cs="宋体"/>
                <w:color w:val="auto"/>
                <w:highlight w:val="none"/>
                <w:lang w:bidi="ar-SA"/>
              </w:rPr>
              <w:t>以NaNO3计</w:t>
            </w:r>
            <w:r>
              <w:rPr>
                <w:rFonts w:hint="eastAsia" w:ascii="宋体" w:hAnsi="宋体" w:cs="宋体" w:eastAsiaTheme="minorEastAsia"/>
                <w:color w:val="auto"/>
                <w:highlight w:val="none"/>
                <w:lang w:eastAsia="zh-CN" w:bidi="ar-SA"/>
              </w:rPr>
              <w:t>）</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7AE52D8">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瓜果类≤600；叶菜根茎类≤1200</w:t>
            </w:r>
          </w:p>
        </w:tc>
      </w:tr>
      <w:tr w14:paraId="5A0F82B4">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3C6A51D2">
            <w:pPr>
              <w:pStyle w:val="1459"/>
              <w:keepNext w:val="0"/>
              <w:keepLines w:val="0"/>
              <w:pageBreakBefore w:val="0"/>
              <w:widowControl/>
              <w:kinsoku/>
              <w:wordWrap/>
              <w:overflowPunct/>
              <w:topLinePunct w:val="0"/>
              <w:autoSpaceDE/>
              <w:autoSpaceDN/>
              <w:bidi w:val="0"/>
              <w:adjustRightInd w:val="0"/>
              <w:snapToGrid/>
              <w:spacing w:line="240" w:lineRule="auto"/>
              <w:ind w:firstLine="38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亚硝酸盐（以NaNO2计）</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F30D3CD">
            <w:pPr>
              <w:pStyle w:val="1459"/>
              <w:keepNext w:val="0"/>
              <w:keepLines w:val="0"/>
              <w:pageBreakBefore w:val="0"/>
              <w:widowControl/>
              <w:kinsoku/>
              <w:wordWrap/>
              <w:overflowPunct/>
              <w:topLinePunct w:val="0"/>
              <w:autoSpaceDE/>
              <w:autoSpaceDN/>
              <w:bidi w:val="0"/>
              <w:adjustRightInd w:val="0"/>
              <w:snapToGrid/>
              <w:spacing w:line="240" w:lineRule="auto"/>
              <w:ind w:firstLine="38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≤4</w:t>
            </w:r>
          </w:p>
        </w:tc>
      </w:tr>
      <w:tr w14:paraId="3A5AB145">
        <w:tblPrEx>
          <w:tblCellMar>
            <w:top w:w="15" w:type="dxa"/>
            <w:left w:w="15" w:type="dxa"/>
            <w:bottom w:w="15" w:type="dxa"/>
            <w:right w:w="15" w:type="dxa"/>
          </w:tblCellMar>
        </w:tblPrEx>
        <w:trPr>
          <w:trHeight w:val="259" w:hRule="atLeast"/>
          <w:jc w:val="center"/>
        </w:trPr>
        <w:tc>
          <w:tcPr>
            <w:tcW w:w="4508"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F76257D">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甲胺磷</w:t>
            </w:r>
          </w:p>
        </w:tc>
        <w:tc>
          <w:tcPr>
            <w:tcW w:w="4011" w:type="dxa"/>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42EC4DC4">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outlineLvl w:val="9"/>
              <w:rPr>
                <w:rFonts w:hint="eastAsia" w:ascii="宋体" w:hAnsi="宋体" w:eastAsia="宋体" w:cs="宋体"/>
                <w:color w:val="auto"/>
                <w:kern w:val="0"/>
                <w:szCs w:val="21"/>
                <w:highlight w:val="none"/>
                <w:lang w:bidi="ar-SA"/>
              </w:rPr>
            </w:pPr>
            <w:r>
              <w:rPr>
                <w:rFonts w:hint="eastAsia" w:ascii="宋体" w:hAnsi="宋体" w:eastAsia="宋体" w:cs="宋体"/>
                <w:color w:val="auto"/>
                <w:highlight w:val="none"/>
                <w:lang w:bidi="ar-SA"/>
              </w:rPr>
              <w:t>不得检出</w:t>
            </w:r>
          </w:p>
        </w:tc>
      </w:tr>
      <w:tr w14:paraId="2ED76330">
        <w:tblPrEx>
          <w:tblCellMar>
            <w:top w:w="15" w:type="dxa"/>
            <w:left w:w="15" w:type="dxa"/>
            <w:bottom w:w="15" w:type="dxa"/>
            <w:right w:w="15" w:type="dxa"/>
          </w:tblCellMar>
        </w:tblPrEx>
        <w:trPr>
          <w:trHeight w:val="472" w:hRule="atLeast"/>
          <w:jc w:val="center"/>
        </w:trPr>
        <w:tc>
          <w:tcPr>
            <w:tcW w:w="8519" w:type="dxa"/>
            <w:gridSpan w:val="2"/>
            <w:tcBorders>
              <w:top w:val="single" w:color="000000" w:sz="4" w:space="0"/>
              <w:left w:val="single" w:color="000000" w:sz="4" w:space="0"/>
              <w:bottom w:val="single" w:color="000000" w:sz="4" w:space="0"/>
              <w:right w:val="single" w:color="000000" w:sz="4" w:space="0"/>
            </w:tcBorders>
            <w:noWrap w:val="0"/>
            <w:tcMar>
              <w:top w:w="43" w:type="dxa"/>
              <w:left w:w="43" w:type="dxa"/>
              <w:bottom w:w="32" w:type="dxa"/>
              <w:right w:w="43" w:type="dxa"/>
            </w:tcMar>
            <w:vAlign w:val="top"/>
          </w:tcPr>
          <w:p w14:paraId="0FF51A38">
            <w:pPr>
              <w:keepNext w:val="0"/>
              <w:keepLines w:val="0"/>
              <w:pageBreakBefore w:val="0"/>
              <w:widowControl/>
              <w:kinsoku/>
              <w:wordWrap/>
              <w:overflowPunct/>
              <w:topLinePunct w:val="0"/>
              <w:autoSpaceDE w:val="0"/>
              <w:autoSpaceDN w:val="0"/>
              <w:bidi w:val="0"/>
              <w:adjustRightInd w:val="0"/>
              <w:snapToGrid/>
              <w:spacing w:line="240" w:lineRule="auto"/>
              <w:jc w:val="left"/>
              <w:textAlignment w:val="auto"/>
              <w:outlineLvl w:val="9"/>
              <w:rPr>
                <w:rFonts w:hint="eastAsia" w:ascii="宋体" w:hAnsi="宋体" w:eastAsia="宋体" w:cs="宋体"/>
                <w:color w:val="auto"/>
                <w:highlight w:val="none"/>
                <w:lang w:eastAsia="zh-CN" w:bidi="ar-SA"/>
              </w:rPr>
            </w:pPr>
            <w:r>
              <w:rPr>
                <w:rFonts w:hint="eastAsia" w:ascii="宋体" w:hAnsi="宋体" w:eastAsia="宋体" w:cs="宋体"/>
                <w:b/>
                <w:bCs/>
                <w:color w:val="auto"/>
                <w:highlight w:val="none"/>
                <w:lang w:bidi="ar-SA"/>
              </w:rPr>
              <w:t>国家规定其他必检项目必须符合国家标准</w:t>
            </w:r>
            <w:r>
              <w:rPr>
                <w:rFonts w:hint="eastAsia" w:ascii="宋体" w:hAnsi="宋体" w:eastAsia="宋体" w:cs="宋体"/>
                <w:b/>
                <w:bCs/>
                <w:color w:val="auto"/>
                <w:highlight w:val="none"/>
                <w:lang w:eastAsia="zh-CN" w:bidi="ar-SA"/>
              </w:rPr>
              <w:t>。在服务实施期间</w:t>
            </w:r>
            <w:r>
              <w:rPr>
                <w:rFonts w:hint="eastAsia" w:ascii="宋体" w:hAnsi="宋体" w:cs="宋体"/>
                <w:b/>
                <w:bCs/>
                <w:color w:val="auto"/>
                <w:highlight w:val="none"/>
                <w:lang w:eastAsia="zh-CN" w:bidi="ar-SA"/>
              </w:rPr>
              <w:t>，</w:t>
            </w:r>
            <w:r>
              <w:rPr>
                <w:rFonts w:hint="eastAsia" w:ascii="宋体" w:hAnsi="宋体" w:eastAsia="宋体" w:cs="宋体"/>
                <w:b/>
                <w:bCs/>
                <w:color w:val="auto"/>
                <w:highlight w:val="none"/>
                <w:lang w:eastAsia="zh-CN" w:bidi="ar-SA"/>
              </w:rPr>
              <w:t>以上标准要求如有变更，则按最新的现行执行标准要求执行。</w:t>
            </w:r>
          </w:p>
        </w:tc>
      </w:tr>
    </w:tbl>
    <w:p w14:paraId="08B327E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粮油面类</w:t>
      </w:r>
    </w:p>
    <w:p w14:paraId="1F0FE11A">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（1）米类执行标准</w:t>
      </w:r>
      <w:r>
        <w:rPr>
          <w:rFonts w:hint="eastAsia" w:ascii="宋体" w:hAnsi="宋体" w:cs="宋体"/>
          <w:color w:val="auto"/>
          <w:sz w:val="21"/>
          <w:szCs w:val="21"/>
          <w:highlight w:val="none"/>
          <w:lang w:eastAsia="zh-CN" w:bidi="ar-SA"/>
        </w:rPr>
        <w:t>：</w:t>
      </w:r>
    </w:p>
    <w:p w14:paraId="5C7131A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质量指标不低于GB/T 1354-2018一级定等指标的技术要求，具有SC认证；</w:t>
      </w:r>
    </w:p>
    <w:p w14:paraId="696057A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（2）大米的质量标准</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除符合标准一等米外，要求：</w:t>
      </w:r>
    </w:p>
    <w:p w14:paraId="2E4A6A1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碎米总量≤5%</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国家标准</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≤10%</w:t>
      </w:r>
      <w:r>
        <w:rPr>
          <w:rFonts w:hint="eastAsia" w:ascii="宋体" w:hAnsi="宋体" w:eastAsia="宋体" w:cs="宋体"/>
          <w:color w:val="auto"/>
          <w:sz w:val="21"/>
          <w:szCs w:val="21"/>
          <w:highlight w:val="none"/>
          <w:lang w:eastAsia="zh-CN" w:bidi="ar-SA"/>
        </w:rPr>
        <w:t>）</w:t>
      </w:r>
    </w:p>
    <w:p w14:paraId="19BC605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小碎米总量≤0.1%</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国家标准</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≤0.</w:t>
      </w:r>
      <w:r>
        <w:rPr>
          <w:rFonts w:hint="eastAsia" w:ascii="宋体" w:hAnsi="宋体" w:cs="宋体" w:eastAsiaTheme="minorEastAsia"/>
          <w:color w:val="auto"/>
          <w:sz w:val="21"/>
          <w:szCs w:val="21"/>
          <w:highlight w:val="none"/>
          <w:lang w:val="en-US" w:eastAsia="zh-CN" w:bidi="ar-SA"/>
        </w:rPr>
        <w:t>2</w:t>
      </w:r>
      <w:r>
        <w:rPr>
          <w:rFonts w:hint="eastAsia" w:ascii="宋体" w:hAnsi="宋体" w:eastAsia="宋体" w:cs="宋体"/>
          <w:color w:val="auto"/>
          <w:sz w:val="21"/>
          <w:szCs w:val="21"/>
          <w:highlight w:val="none"/>
          <w:lang w:bidi="ar-SA"/>
        </w:rPr>
        <w:t>%</w:t>
      </w:r>
      <w:r>
        <w:rPr>
          <w:rFonts w:hint="eastAsia" w:ascii="宋体" w:hAnsi="宋体" w:eastAsia="宋体" w:cs="宋体"/>
          <w:color w:val="auto"/>
          <w:sz w:val="21"/>
          <w:szCs w:val="21"/>
          <w:highlight w:val="none"/>
          <w:lang w:eastAsia="zh-CN" w:bidi="ar-SA"/>
        </w:rPr>
        <w:t>）</w:t>
      </w:r>
    </w:p>
    <w:p w14:paraId="6A97031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不完善粒含量≤2.5%</w:t>
      </w:r>
      <w:r>
        <w:rPr>
          <w:rFonts w:hint="eastAsia" w:ascii="宋体" w:hAnsi="宋体" w:eastAsia="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国家标准</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≤3.0%</w:t>
      </w:r>
      <w:r>
        <w:rPr>
          <w:rFonts w:hint="eastAsia" w:ascii="宋体" w:hAnsi="宋体" w:eastAsia="宋体" w:cs="宋体"/>
          <w:color w:val="auto"/>
          <w:sz w:val="21"/>
          <w:szCs w:val="21"/>
          <w:highlight w:val="none"/>
          <w:lang w:eastAsia="zh-CN" w:bidi="ar-SA"/>
        </w:rPr>
        <w:t>）</w:t>
      </w:r>
    </w:p>
    <w:p w14:paraId="7B911D8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黄米粒按国家标准执行（国家标准</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≤0.5%）</w:t>
      </w:r>
    </w:p>
    <w:p w14:paraId="0889BDD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（3）油类执行标准</w:t>
      </w:r>
      <w:r>
        <w:rPr>
          <w:rFonts w:hint="eastAsia" w:ascii="宋体" w:hAnsi="宋体" w:cs="宋体"/>
          <w:color w:val="auto"/>
          <w:sz w:val="21"/>
          <w:szCs w:val="21"/>
          <w:highlight w:val="none"/>
          <w:lang w:eastAsia="zh-CN" w:bidi="ar-SA"/>
        </w:rPr>
        <w:t>：</w:t>
      </w:r>
    </w:p>
    <w:p w14:paraId="6F2F10A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花生油</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GB/T 1534-2017</w:t>
      </w:r>
    </w:p>
    <w:p w14:paraId="00B78DB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大豆油</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GB/T 1535-2017</w:t>
      </w:r>
    </w:p>
    <w:p w14:paraId="707A5D3D">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葵花籽油</w:t>
      </w:r>
      <w:r>
        <w:rPr>
          <w:rFonts w:hint="eastAsia" w:ascii="宋体" w:hAnsi="宋体" w:cs="宋体"/>
          <w:color w:val="auto"/>
          <w:sz w:val="21"/>
          <w:szCs w:val="21"/>
          <w:highlight w:val="none"/>
          <w:lang w:eastAsia="zh-CN" w:bidi="ar-SA"/>
        </w:rPr>
        <w:t>：</w:t>
      </w:r>
      <w:r>
        <w:rPr>
          <w:rFonts w:hint="eastAsia" w:ascii="宋体" w:hAnsi="宋体" w:eastAsia="宋体" w:cs="宋体"/>
          <w:color w:val="auto"/>
          <w:sz w:val="21"/>
          <w:szCs w:val="21"/>
          <w:highlight w:val="none"/>
          <w:lang w:bidi="ar-SA"/>
        </w:rPr>
        <w:t>GB/T 10464-2017</w:t>
      </w:r>
    </w:p>
    <w:p w14:paraId="3101105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具有SC认证。</w:t>
      </w:r>
    </w:p>
    <w:p w14:paraId="3BE2ACB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（4）油类质量标准</w:t>
      </w:r>
      <w:r>
        <w:rPr>
          <w:rFonts w:hint="eastAsia" w:ascii="宋体" w:hAnsi="宋体" w:cs="宋体"/>
          <w:color w:val="auto"/>
          <w:sz w:val="21"/>
          <w:szCs w:val="21"/>
          <w:highlight w:val="none"/>
          <w:lang w:eastAsia="zh-CN" w:bidi="ar-SA"/>
        </w:rPr>
        <w:t>：</w:t>
      </w:r>
    </w:p>
    <w:p w14:paraId="3A449482">
      <w:pPr>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HAnsi" w:hAnsiTheme="minorHAnsi" w:eastAsiaTheme="minorEastAsia" w:cstheme="minorBidi"/>
          <w:color w:val="auto"/>
          <w:sz w:val="21"/>
          <w:szCs w:val="21"/>
          <w:highlight w:val="none"/>
          <w:lang w:bidi="ar-SA"/>
        </w:rPr>
      </w:pPr>
      <w:r>
        <w:rPr>
          <w:rFonts w:hint="eastAsia" w:ascii="宋体" w:hAnsi="宋体" w:eastAsia="宋体" w:cs="宋体"/>
          <w:color w:val="auto"/>
          <w:sz w:val="21"/>
          <w:szCs w:val="21"/>
          <w:highlight w:val="none"/>
          <w:lang w:bidi="ar-SA"/>
        </w:rPr>
        <w:t>每个食用油品种必须色泽好，透明度高，无浑浊，无沉淀和悬浮物，粘度小，无分层现象，气味正常，无酸臭异味。严格执行国家相关质量标准及卫生安全标准，色泽、气味、霉变、真菌毒素、重金属污染物、农药等严格控制在国家标准范围内。</w:t>
      </w:r>
    </w:p>
    <w:p w14:paraId="5BB8D9B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（5）面粉执行标准：</w:t>
      </w:r>
    </w:p>
    <w:p w14:paraId="6ED2B3E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小麦粉：质量指标不低于GB/T 1355-2021的精制粉指标的技术要求</w:t>
      </w:r>
    </w:p>
    <w:p w14:paraId="0D8B3D6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高筋小麦粉：GB/T8607-2024</w:t>
      </w:r>
    </w:p>
    <w:p w14:paraId="2DE38AB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低筋小麦粉：GB/T8607-2024</w:t>
      </w:r>
    </w:p>
    <w:p w14:paraId="54D6335C">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具有SC 认证。</w:t>
      </w:r>
    </w:p>
    <w:p w14:paraId="2CD6E401">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注：以上标准均按国家颁布的最新标准执行。</w:t>
      </w:r>
    </w:p>
    <w:p w14:paraId="2659CEB7">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鲜蛋</w:t>
      </w:r>
    </w:p>
    <w:p w14:paraId="3576CC50">
      <w:pPr>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应符合GB 2749-2015</w:t>
      </w:r>
      <w:r>
        <w:rPr>
          <w:rFonts w:hint="eastAsia" w:ascii="宋体" w:hAnsi="宋体" w:cs="宋体" w:eastAsiaTheme="minorEastAsia"/>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食品安全国家标准 蛋与蛋制品</w:t>
      </w:r>
      <w:r>
        <w:rPr>
          <w:rFonts w:hint="eastAsia" w:ascii="宋体" w:hAnsi="宋体" w:cs="宋体" w:eastAsiaTheme="minorEastAsia"/>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感官指标不低于国家有关食品质量标准的二级指标要求，应保证新鲜。</w:t>
      </w:r>
    </w:p>
    <w:p w14:paraId="0B5260C4">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干货类、调味料、厨房辅材用品类</w:t>
      </w:r>
    </w:p>
    <w:p w14:paraId="6C5B9E3B">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干货类、调味料、厨房辅材用品类按国家</w:t>
      </w:r>
      <w:r>
        <w:rPr>
          <w:rFonts w:hint="eastAsia" w:ascii="宋体" w:hAnsi="宋体" w:eastAsia="宋体" w:cs="宋体"/>
          <w:color w:val="auto"/>
          <w:sz w:val="21"/>
          <w:szCs w:val="21"/>
          <w:highlight w:val="none"/>
          <w:lang w:val="en-US" w:eastAsia="zh-CN" w:bidi="ar-SA"/>
        </w:rPr>
        <w:t>最新</w:t>
      </w:r>
      <w:r>
        <w:rPr>
          <w:rFonts w:hint="eastAsia" w:ascii="宋体" w:hAnsi="宋体" w:eastAsia="宋体" w:cs="宋体"/>
          <w:color w:val="auto"/>
          <w:sz w:val="21"/>
          <w:szCs w:val="21"/>
          <w:highlight w:val="none"/>
          <w:lang w:bidi="ar-SA"/>
        </w:rPr>
        <w:t>标准执行。</w:t>
      </w:r>
    </w:p>
    <w:p w14:paraId="5598287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22" w:firstLineChars="200"/>
        <w:jc w:val="left"/>
        <w:textAlignment w:val="auto"/>
        <w:outlineLvl w:val="9"/>
        <w:rPr>
          <w:rFonts w:hint="eastAsia" w:ascii="宋体" w:hAnsi="宋体" w:eastAsia="宋体" w:cs="宋体"/>
          <w:b/>
          <w:bCs/>
          <w:color w:val="auto"/>
          <w:sz w:val="21"/>
          <w:szCs w:val="21"/>
          <w:highlight w:val="none"/>
          <w:lang w:val="zh-CN" w:bidi="ar-SA"/>
        </w:rPr>
      </w:pPr>
      <w:r>
        <w:rPr>
          <w:rFonts w:hint="eastAsia" w:ascii="宋体" w:hAnsi="宋体" w:eastAsia="宋体" w:cs="宋体"/>
          <w:b/>
          <w:bCs/>
          <w:color w:val="auto"/>
          <w:sz w:val="21"/>
          <w:szCs w:val="21"/>
          <w:highlight w:val="none"/>
          <w:lang w:val="zh-CN" w:bidi="ar-SA"/>
        </w:rPr>
        <w:t>食用农产品</w:t>
      </w:r>
      <w:r>
        <w:rPr>
          <w:rFonts w:hint="eastAsia" w:ascii="宋体" w:hAnsi="宋体" w:cs="宋体" w:eastAsiaTheme="minorEastAsia"/>
          <w:b/>
          <w:bCs/>
          <w:color w:val="auto"/>
          <w:sz w:val="21"/>
          <w:szCs w:val="21"/>
          <w:highlight w:val="none"/>
          <w:lang w:val="en-US" w:eastAsia="zh-CN" w:bidi="ar-SA"/>
        </w:rPr>
        <w:t>类</w:t>
      </w:r>
    </w:p>
    <w:p w14:paraId="1D1D5F90">
      <w:pPr>
        <w:keepNext w:val="0"/>
        <w:keepLines w:val="0"/>
        <w:pageBreakBefore w:val="0"/>
        <w:widowControl w:val="0"/>
        <w:kinsoku/>
        <w:wordWrap/>
        <w:overflowPunct/>
        <w:topLinePunct w:val="0"/>
        <w:autoSpaceDE/>
        <w:autoSpaceDN/>
        <w:bidi w:val="0"/>
        <w:adjustRightInd/>
        <w:snapToGrid/>
        <w:spacing w:line="336" w:lineRule="auto"/>
        <w:ind w:firstLine="420" w:firstLineChars="200"/>
        <w:jc w:val="left"/>
        <w:textAlignment w:val="auto"/>
        <w:rPr>
          <w:rFonts w:hint="eastAsia" w:ascii="宋体" w:hAnsi="宋体" w:eastAsia="宋体" w:cs="宋体"/>
          <w:color w:val="auto"/>
          <w:sz w:val="21"/>
          <w:szCs w:val="21"/>
          <w:highlight w:val="none"/>
          <w:lang w:bidi="ar-SA"/>
        </w:rPr>
        <w:sectPr>
          <w:headerReference r:id="rId6" w:type="default"/>
          <w:footerReference r:id="rId7" w:type="default"/>
          <w:pgSz w:w="11906" w:h="16838"/>
          <w:pgMar w:top="1440" w:right="141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auto"/>
          <w:sz w:val="21"/>
          <w:szCs w:val="21"/>
          <w:highlight w:val="none"/>
          <w:lang w:bidi="ar-SA"/>
        </w:rPr>
        <w:t>应提供食品检验合格证明，供应商对每批次食用农产品开展快检。</w:t>
      </w:r>
    </w:p>
    <w:p w14:paraId="4170479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附件1：《供应商配送服务质量考核评价表》</w:t>
      </w:r>
    </w:p>
    <w:p w14:paraId="780BAE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《供应商配送服务质量考核评价表》</w:t>
      </w:r>
    </w:p>
    <w:tbl>
      <w:tblPr>
        <w:tblStyle w:val="62"/>
        <w:tblW w:w="91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1387"/>
        <w:gridCol w:w="2623"/>
        <w:gridCol w:w="3118"/>
        <w:gridCol w:w="1109"/>
        <w:gridCol w:w="3"/>
      </w:tblGrid>
      <w:tr w14:paraId="65E73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2B3AF00">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kern w:val="0"/>
                <w:sz w:val="21"/>
                <w:szCs w:val="21"/>
                <w:highlight w:val="none"/>
                <w:lang w:bidi="ar-SA"/>
              </w:rPr>
              <w:t>序号</w:t>
            </w:r>
          </w:p>
        </w:tc>
        <w:tc>
          <w:tcPr>
            <w:tcW w:w="1387" w:type="dxa"/>
            <w:tcBorders>
              <w:top w:val="single" w:color="000000" w:sz="4" w:space="0"/>
              <w:left w:val="single" w:color="000000" w:sz="4" w:space="0"/>
              <w:bottom w:val="single" w:color="000000" w:sz="4" w:space="0"/>
              <w:right w:val="single" w:color="000000" w:sz="4" w:space="0"/>
            </w:tcBorders>
            <w:vAlign w:val="center"/>
          </w:tcPr>
          <w:p w14:paraId="34C3EC87">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kern w:val="0"/>
                <w:sz w:val="21"/>
                <w:szCs w:val="21"/>
                <w:highlight w:val="none"/>
                <w:lang w:bidi="ar-SA"/>
              </w:rPr>
              <w:t>项目</w:t>
            </w: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62848C94">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kern w:val="0"/>
                <w:sz w:val="21"/>
                <w:szCs w:val="21"/>
                <w:highlight w:val="none"/>
                <w:lang w:bidi="ar-SA"/>
              </w:rPr>
              <w:t>扣分事项</w:t>
            </w:r>
          </w:p>
        </w:tc>
        <w:tc>
          <w:tcPr>
            <w:tcW w:w="1112" w:type="dxa"/>
            <w:gridSpan w:val="2"/>
            <w:tcBorders>
              <w:top w:val="single" w:color="000000" w:sz="4" w:space="0"/>
              <w:left w:val="single" w:color="000000" w:sz="4" w:space="0"/>
              <w:bottom w:val="single" w:color="000000" w:sz="4" w:space="0"/>
              <w:right w:val="single" w:color="000000" w:sz="4" w:space="0"/>
            </w:tcBorders>
          </w:tcPr>
          <w:p w14:paraId="7640BA2C">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kern w:val="0"/>
                <w:sz w:val="21"/>
                <w:szCs w:val="21"/>
                <w:highlight w:val="none"/>
                <w:lang w:bidi="ar-SA"/>
              </w:rPr>
            </w:pPr>
            <w:r>
              <w:rPr>
                <w:rFonts w:hint="eastAsia" w:ascii="宋体" w:hAnsi="宋体" w:eastAsia="宋体" w:cs="宋体"/>
                <w:b/>
                <w:bCs/>
                <w:color w:val="auto"/>
                <w:spacing w:val="-2"/>
                <w:kern w:val="0"/>
                <w:sz w:val="21"/>
                <w:szCs w:val="21"/>
                <w:highlight w:val="none"/>
                <w:lang w:bidi="ar-SA"/>
              </w:rPr>
              <w:t>扣除分数</w:t>
            </w:r>
          </w:p>
        </w:tc>
      </w:tr>
      <w:tr w14:paraId="2C3A8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2BDDB9C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1</w:t>
            </w:r>
          </w:p>
        </w:tc>
        <w:tc>
          <w:tcPr>
            <w:tcW w:w="1387" w:type="dxa"/>
            <w:vMerge w:val="restart"/>
            <w:tcBorders>
              <w:top w:val="single" w:color="000000" w:sz="4" w:space="0"/>
              <w:left w:val="single" w:color="000000" w:sz="4" w:space="0"/>
              <w:bottom w:val="single" w:color="000000" w:sz="4" w:space="0"/>
              <w:right w:val="single" w:color="000000" w:sz="4" w:space="0"/>
            </w:tcBorders>
            <w:vAlign w:val="center"/>
          </w:tcPr>
          <w:p w14:paraId="750A7FBA">
            <w:pPr>
              <w:keepNext w:val="0"/>
              <w:keepLines w:val="0"/>
              <w:pageBreakBefore w:val="0"/>
              <w:widowControl w:val="0"/>
              <w:kinsoku/>
              <w:wordWrap/>
              <w:overflowPunct/>
              <w:topLinePunct w:val="0"/>
              <w:autoSpaceDE w:val="0"/>
              <w:autoSpaceDN w:val="0"/>
              <w:bidi w:val="0"/>
              <w:adjustRightInd/>
              <w:snapToGrid/>
              <w:spacing w:line="360" w:lineRule="auto"/>
              <w:ind w:right="89"/>
              <w:jc w:val="center"/>
              <w:textAlignment w:val="auto"/>
              <w:outlineLvl w:val="9"/>
              <w:rPr>
                <w:rFonts w:hint="eastAsia" w:ascii="宋体" w:hAnsi="宋体" w:eastAsia="宋体" w:cs="宋体"/>
                <w:color w:val="auto"/>
                <w:kern w:val="0"/>
                <w:sz w:val="21"/>
                <w:szCs w:val="21"/>
                <w:highlight w:val="none"/>
                <w:lang w:bidi="ar-SA"/>
              </w:rPr>
            </w:pPr>
            <w:r>
              <w:rPr>
                <w:rFonts w:hint="eastAsia" w:ascii="宋体" w:hAnsi="宋体" w:eastAsia="宋体" w:cs="宋体"/>
                <w:color w:val="auto"/>
                <w:spacing w:val="-1"/>
                <w:kern w:val="0"/>
                <w:sz w:val="21"/>
                <w:szCs w:val="21"/>
                <w:highlight w:val="none"/>
                <w:lang w:bidi="ar-SA"/>
              </w:rPr>
              <w:t>配送要求</w:t>
            </w:r>
          </w:p>
        </w:tc>
        <w:tc>
          <w:tcPr>
            <w:tcW w:w="5741" w:type="dxa"/>
            <w:gridSpan w:val="2"/>
            <w:tcBorders>
              <w:top w:val="single" w:color="000000" w:sz="4" w:space="0"/>
              <w:left w:val="single" w:color="000000" w:sz="4" w:space="0"/>
              <w:bottom w:val="single" w:color="000000" w:sz="4" w:space="0"/>
              <w:right w:val="single" w:color="000000" w:sz="4" w:space="0"/>
            </w:tcBorders>
          </w:tcPr>
          <w:p w14:paraId="2F5200FF">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配送车辆、实际运输不符合采购文件及合同约定的、或车厢内存在卫生问题的，每次扣5分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42A948F0">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eastAsia="宋体" w:cs="宋体"/>
                <w:color w:val="auto"/>
                <w:kern w:val="0"/>
                <w:sz w:val="21"/>
                <w:szCs w:val="21"/>
                <w:highlight w:val="none"/>
                <w:lang w:val="en-US" w:eastAsia="zh-CN" w:bidi="ar-SA"/>
              </w:rPr>
            </w:pPr>
          </w:p>
        </w:tc>
      </w:tr>
      <w:tr w14:paraId="3F46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48A9B913">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14D8D3B9">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2D45BDC9">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未在规定时间内完成配送、供货，每次扣5分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763BC479">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458D0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4ED23A20">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4DF80B1D">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60B3F794">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实际配送食品少于订购数量且不能及时补充的，每次扣5分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0680548D">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20022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19280247">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702AC162">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54AC95EB">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送货单没有详细注明商品的品牌、品种、单价、数量，送货单出现涂改，标记不清的情况的，每次扣3分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6E27EB5F">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0A551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463F10CF">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65BDA8D1">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7123C984">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实际配送的食品与订购货物种类、质量不符，未能按要求及时更换的，每次扣5分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1AC839BC">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7B867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14617348">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7B27D379">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26A7C38C">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人员没有出示健康证，没有穿着工衣，每次扣3分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02E2E429">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0729F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68C71BB8">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3CD15EAC">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238B35C1">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没有由指定的供货人员送货的每次扣3分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70CC458B">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0D3A8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17669B56">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5111EC6B">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7A2005FB">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没有按照采购人要求将食品送到指定地点，每次扣3分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589D7C3F">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28A2B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7634694F">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2</w:t>
            </w:r>
          </w:p>
        </w:tc>
        <w:tc>
          <w:tcPr>
            <w:tcW w:w="1387" w:type="dxa"/>
            <w:vMerge w:val="restart"/>
            <w:tcBorders>
              <w:top w:val="single" w:color="000000" w:sz="4" w:space="0"/>
              <w:left w:val="single" w:color="000000" w:sz="4" w:space="0"/>
              <w:bottom w:val="single" w:color="000000" w:sz="4" w:space="0"/>
              <w:right w:val="single" w:color="000000" w:sz="4" w:space="0"/>
            </w:tcBorders>
            <w:vAlign w:val="center"/>
          </w:tcPr>
          <w:p w14:paraId="2E2F181B">
            <w:pPr>
              <w:keepNext w:val="0"/>
              <w:keepLines w:val="0"/>
              <w:pageBreakBefore w:val="0"/>
              <w:kinsoku/>
              <w:wordWrap/>
              <w:overflowPunct/>
              <w:topLinePunct w:val="0"/>
              <w:autoSpaceDE w:val="0"/>
              <w:autoSpaceDN w:val="0"/>
              <w:bidi w:val="0"/>
              <w:adjustRightInd/>
              <w:snapToGrid/>
              <w:spacing w:line="360" w:lineRule="auto"/>
              <w:ind w:right="89"/>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spacing w:val="-1"/>
                <w:kern w:val="0"/>
                <w:sz w:val="21"/>
                <w:szCs w:val="21"/>
                <w:highlight w:val="none"/>
                <w:lang w:bidi="ar-SA"/>
              </w:rPr>
              <w:t>质量要求</w:t>
            </w:r>
          </w:p>
        </w:tc>
        <w:tc>
          <w:tcPr>
            <w:tcW w:w="5741" w:type="dxa"/>
            <w:gridSpan w:val="2"/>
            <w:tcBorders>
              <w:top w:val="single" w:color="000000" w:sz="4" w:space="0"/>
              <w:left w:val="single" w:color="000000" w:sz="4" w:space="0"/>
              <w:bottom w:val="single" w:color="000000" w:sz="4" w:space="0"/>
              <w:right w:val="single" w:color="000000" w:sz="4" w:space="0"/>
            </w:tcBorders>
          </w:tcPr>
          <w:p w14:paraId="4DF61FC9">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相应批次的食品未能提供对应合格检验证明或合格证明的，每次扣3分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22CF3C41">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0E97F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2E7BB7E3">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6D0963D5">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7D79F97E">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不及时了解市场信息，提供社会负面反响大的食品，每次扣3分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34F7C4E4">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52D20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741EF08C">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306522CD">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2FE990E8">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无法向采购人提供上游企业票证，无法保证每批次进货能溯源，每次扣3分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1544521C">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7F73C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23207F6D">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30ABB46C">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43792134">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未按照标准严格采购，出现次、差、来历不明货物，每次扣3分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67FD2C93">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31E89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7500DA6A">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3B845A49">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6CC4617B">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供应商没有建立食品安全卫生制度或有设备但没有使用，每次扣3分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084587A6">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4ADD2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29EEFB04">
            <w:pPr>
              <w:keepNext w:val="0"/>
              <w:keepLines w:val="0"/>
              <w:pageBreakBefore w:val="0"/>
              <w:kinsoku/>
              <w:wordWrap/>
              <w:overflowPunct/>
              <w:topLinePunct w:val="0"/>
              <w:autoSpaceDE w:val="0"/>
              <w:autoSpaceDN w:val="0"/>
              <w:bidi w:val="0"/>
              <w:adjustRightInd/>
              <w:snapToGrid/>
              <w:spacing w:line="360" w:lineRule="auto"/>
              <w:ind w:left="6"/>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3</w:t>
            </w:r>
          </w:p>
        </w:tc>
        <w:tc>
          <w:tcPr>
            <w:tcW w:w="1387" w:type="dxa"/>
            <w:vMerge w:val="restart"/>
            <w:tcBorders>
              <w:top w:val="single" w:color="000000" w:sz="4" w:space="0"/>
              <w:left w:val="single" w:color="000000" w:sz="4" w:space="0"/>
              <w:bottom w:val="single" w:color="000000" w:sz="4" w:space="0"/>
              <w:right w:val="single" w:color="000000" w:sz="4" w:space="0"/>
            </w:tcBorders>
            <w:vAlign w:val="center"/>
          </w:tcPr>
          <w:p w14:paraId="13EBB0CB">
            <w:pPr>
              <w:keepNext w:val="0"/>
              <w:keepLines w:val="0"/>
              <w:pageBreakBefore w:val="0"/>
              <w:kinsoku/>
              <w:wordWrap/>
              <w:overflowPunct/>
              <w:topLinePunct w:val="0"/>
              <w:autoSpaceDE w:val="0"/>
              <w:autoSpaceDN w:val="0"/>
              <w:bidi w:val="0"/>
              <w:adjustRightInd/>
              <w:snapToGrid/>
              <w:spacing w:line="360" w:lineRule="auto"/>
              <w:ind w:left="99" w:right="89"/>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spacing w:val="-1"/>
                <w:kern w:val="0"/>
                <w:sz w:val="21"/>
                <w:szCs w:val="21"/>
                <w:highlight w:val="none"/>
                <w:lang w:bidi="ar-SA"/>
              </w:rPr>
              <w:t>安全生产</w:t>
            </w:r>
            <w:r>
              <w:rPr>
                <w:rFonts w:hint="eastAsia" w:ascii="宋体" w:hAnsi="宋体" w:eastAsia="宋体" w:cs="宋体"/>
                <w:color w:val="auto"/>
                <w:spacing w:val="-8"/>
                <w:kern w:val="0"/>
                <w:sz w:val="21"/>
                <w:szCs w:val="21"/>
                <w:highlight w:val="none"/>
                <w:lang w:bidi="ar-SA"/>
              </w:rPr>
              <w:t>管理</w:t>
            </w:r>
            <w:r>
              <w:rPr>
                <w:rFonts w:hint="eastAsia" w:ascii="宋体" w:hAnsi="宋体" w:eastAsia="宋体" w:cs="宋体"/>
                <w:color w:val="auto"/>
                <w:kern w:val="0"/>
                <w:sz w:val="21"/>
                <w:szCs w:val="21"/>
                <w:highlight w:val="none"/>
                <w:lang w:bidi="ar-SA"/>
              </w:rPr>
              <w:t>要求</w:t>
            </w:r>
          </w:p>
        </w:tc>
        <w:tc>
          <w:tcPr>
            <w:tcW w:w="5741" w:type="dxa"/>
            <w:gridSpan w:val="2"/>
            <w:tcBorders>
              <w:top w:val="single" w:color="000000" w:sz="4" w:space="0"/>
              <w:left w:val="single" w:color="000000" w:sz="4" w:space="0"/>
              <w:bottom w:val="single" w:color="000000" w:sz="4" w:space="0"/>
              <w:right w:val="single" w:color="000000" w:sz="4" w:space="0"/>
            </w:tcBorders>
          </w:tcPr>
          <w:p w14:paraId="602947E7">
            <w:pPr>
              <w:keepNext w:val="0"/>
              <w:keepLines w:val="0"/>
              <w:pageBreakBefore w:val="0"/>
              <w:widowControl w:val="0"/>
              <w:kinsoku/>
              <w:wordWrap/>
              <w:overflowPunct/>
              <w:topLinePunct w:val="0"/>
              <w:autoSpaceDE w:val="0"/>
              <w:autoSpaceDN w:val="0"/>
              <w:bidi w:val="0"/>
              <w:adjustRightInd/>
              <w:snapToGrid/>
              <w:spacing w:line="360" w:lineRule="auto"/>
              <w:ind w:left="42" w:leftChars="20"/>
              <w:jc w:val="left"/>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没有建立、健全本单位安全生产责任制、安全生产规章制度和操作规程，或没有按相关职能部门规定操作，每次扣5分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4A148929">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07592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075D2DC1">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30E4D9A3">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tcPr>
          <w:p w14:paraId="77584ECE">
            <w:pPr>
              <w:keepNext w:val="0"/>
              <w:keepLines w:val="0"/>
              <w:pageBreakBefore w:val="0"/>
              <w:widowControl w:val="0"/>
              <w:kinsoku/>
              <w:wordWrap/>
              <w:overflowPunct/>
              <w:topLinePunct w:val="0"/>
              <w:autoSpaceDE w:val="0"/>
              <w:autoSpaceDN w:val="0"/>
              <w:bidi w:val="0"/>
              <w:adjustRightInd/>
              <w:snapToGrid/>
              <w:spacing w:line="360" w:lineRule="auto"/>
              <w:ind w:left="42" w:leftChars="20"/>
              <w:jc w:val="left"/>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没有相关应急预案的，每次扣5分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4989A097">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SA"/>
              </w:rPr>
            </w:pPr>
          </w:p>
        </w:tc>
      </w:tr>
      <w:tr w14:paraId="0D008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A1D5FA6">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4</w:t>
            </w:r>
          </w:p>
        </w:tc>
        <w:tc>
          <w:tcPr>
            <w:tcW w:w="1387" w:type="dxa"/>
            <w:tcBorders>
              <w:top w:val="single" w:color="000000" w:sz="4" w:space="0"/>
              <w:left w:val="single" w:color="000000" w:sz="4" w:space="0"/>
              <w:bottom w:val="single" w:color="000000" w:sz="4" w:space="0"/>
              <w:right w:val="single" w:color="000000" w:sz="4" w:space="0"/>
            </w:tcBorders>
            <w:vAlign w:val="center"/>
          </w:tcPr>
          <w:p w14:paraId="382885D2">
            <w:pPr>
              <w:keepNext w:val="0"/>
              <w:keepLines w:val="0"/>
              <w:pageBreakBefore w:val="0"/>
              <w:kinsoku/>
              <w:wordWrap/>
              <w:overflowPunct/>
              <w:topLinePunct w:val="0"/>
              <w:autoSpaceDE w:val="0"/>
              <w:autoSpaceDN w:val="0"/>
              <w:bidi w:val="0"/>
              <w:adjustRightInd/>
              <w:snapToGrid/>
              <w:spacing w:line="360" w:lineRule="auto"/>
              <w:ind w:left="99"/>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纪律要求</w:t>
            </w: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3C52BD1E">
            <w:pPr>
              <w:keepNext w:val="0"/>
              <w:keepLines w:val="0"/>
              <w:pageBreakBefore w:val="0"/>
              <w:widowControl w:val="0"/>
              <w:kinsoku/>
              <w:wordWrap/>
              <w:overflowPunct/>
              <w:topLinePunct w:val="0"/>
              <w:autoSpaceDE w:val="0"/>
              <w:autoSpaceDN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提供资料弄虚作假的，每次扣</w:t>
            </w: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bidi="ar-SA"/>
              </w:rPr>
              <w:t>分</w:t>
            </w:r>
          </w:p>
        </w:tc>
        <w:tc>
          <w:tcPr>
            <w:tcW w:w="1112" w:type="dxa"/>
            <w:gridSpan w:val="2"/>
            <w:tcBorders>
              <w:top w:val="single" w:color="000000" w:sz="4" w:space="0"/>
              <w:left w:val="single" w:color="000000" w:sz="4" w:space="0"/>
              <w:bottom w:val="single" w:color="000000" w:sz="4" w:space="0"/>
              <w:right w:val="single" w:color="000000" w:sz="4" w:space="0"/>
            </w:tcBorders>
          </w:tcPr>
          <w:p w14:paraId="4387C31F">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sz w:val="21"/>
                <w:szCs w:val="21"/>
                <w:highlight w:val="none"/>
                <w:lang w:bidi="ar-SA"/>
              </w:rPr>
            </w:pPr>
          </w:p>
        </w:tc>
      </w:tr>
      <w:tr w14:paraId="4F814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53D74B04">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5</w:t>
            </w:r>
          </w:p>
        </w:tc>
        <w:tc>
          <w:tcPr>
            <w:tcW w:w="1387" w:type="dxa"/>
            <w:vMerge w:val="restart"/>
            <w:tcBorders>
              <w:top w:val="single" w:color="000000" w:sz="4" w:space="0"/>
              <w:left w:val="single" w:color="000000" w:sz="4" w:space="0"/>
              <w:bottom w:val="single" w:color="000000" w:sz="4" w:space="0"/>
              <w:right w:val="single" w:color="000000" w:sz="4" w:space="0"/>
            </w:tcBorders>
            <w:vAlign w:val="center"/>
          </w:tcPr>
          <w:p w14:paraId="090CA639">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诚信服务</w:t>
            </w: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799E4C6C">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被投诉并经查证属实，每次扣3分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2300B23E">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2B18B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7081ADCD">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3DBA82AE">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4AADBE2C">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拒绝采购人提出的合理服务要求，每次扣2分</w:t>
            </w:r>
          </w:p>
        </w:tc>
        <w:tc>
          <w:tcPr>
            <w:tcW w:w="1112" w:type="dxa"/>
            <w:gridSpan w:val="2"/>
            <w:tcBorders>
              <w:top w:val="single" w:color="000000" w:sz="4" w:space="0"/>
              <w:left w:val="single" w:color="000000" w:sz="4" w:space="0"/>
              <w:bottom w:val="single" w:color="000000" w:sz="4" w:space="0"/>
              <w:right w:val="single" w:color="000000" w:sz="4" w:space="0"/>
            </w:tcBorders>
          </w:tcPr>
          <w:p w14:paraId="24E6E59A">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58DB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7808502E">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6</w:t>
            </w:r>
          </w:p>
        </w:tc>
        <w:tc>
          <w:tcPr>
            <w:tcW w:w="1387" w:type="dxa"/>
            <w:vMerge w:val="restart"/>
            <w:tcBorders>
              <w:top w:val="single" w:color="000000" w:sz="4" w:space="0"/>
              <w:left w:val="single" w:color="000000" w:sz="4" w:space="0"/>
              <w:bottom w:val="single" w:color="000000" w:sz="4" w:space="0"/>
              <w:right w:val="single" w:color="000000" w:sz="4" w:space="0"/>
            </w:tcBorders>
            <w:vAlign w:val="center"/>
          </w:tcPr>
          <w:p w14:paraId="4FE70FA0">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原材料价格</w:t>
            </w: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7D475802">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供应商出现价格欺诈现象的，每次扣5分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3CA07854">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30D20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17A6FED6">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44D728C7">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6C26B95C">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供应商不按议定的价格结算的，每次扣10分</w:t>
            </w:r>
          </w:p>
        </w:tc>
        <w:tc>
          <w:tcPr>
            <w:tcW w:w="1112" w:type="dxa"/>
            <w:gridSpan w:val="2"/>
            <w:tcBorders>
              <w:top w:val="single" w:color="000000" w:sz="4" w:space="0"/>
              <w:left w:val="single" w:color="000000" w:sz="4" w:space="0"/>
              <w:bottom w:val="single" w:color="000000" w:sz="4" w:space="0"/>
              <w:right w:val="single" w:color="000000" w:sz="4" w:space="0"/>
            </w:tcBorders>
          </w:tcPr>
          <w:p w14:paraId="73A5F54B">
            <w:pPr>
              <w:keepNext w:val="0"/>
              <w:keepLines w:val="0"/>
              <w:pageBreakBefore w:val="0"/>
              <w:kinsoku/>
              <w:wordWrap/>
              <w:overflowPunct/>
              <w:topLinePunct w:val="0"/>
              <w:bidi w:val="0"/>
              <w:adjustRightInd/>
              <w:snapToGrid/>
              <w:spacing w:line="360" w:lineRule="auto"/>
              <w:textAlignment w:val="auto"/>
              <w:rPr>
                <w:rFonts w:hint="default" w:ascii="宋体" w:hAnsi="宋体" w:eastAsia="宋体" w:cs="宋体"/>
                <w:color w:val="auto"/>
                <w:kern w:val="0"/>
                <w:sz w:val="21"/>
                <w:szCs w:val="21"/>
                <w:highlight w:val="none"/>
                <w:lang w:val="en-US" w:eastAsia="zh-CN" w:bidi="ar-SA"/>
              </w:rPr>
            </w:pPr>
          </w:p>
        </w:tc>
      </w:tr>
      <w:tr w14:paraId="7E8F8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6BD49091">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419C881D">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6F351AE2">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群众监督对食品价格有特别异议的记录，每次扣2分</w:t>
            </w:r>
          </w:p>
        </w:tc>
        <w:tc>
          <w:tcPr>
            <w:tcW w:w="1112" w:type="dxa"/>
            <w:gridSpan w:val="2"/>
            <w:tcBorders>
              <w:top w:val="single" w:color="000000" w:sz="4" w:space="0"/>
              <w:left w:val="single" w:color="000000" w:sz="4" w:space="0"/>
              <w:bottom w:val="single" w:color="000000" w:sz="4" w:space="0"/>
              <w:right w:val="single" w:color="000000" w:sz="4" w:space="0"/>
            </w:tcBorders>
          </w:tcPr>
          <w:p w14:paraId="0544415A">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515F2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F68E88C">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7</w:t>
            </w:r>
          </w:p>
        </w:tc>
        <w:tc>
          <w:tcPr>
            <w:tcW w:w="1387" w:type="dxa"/>
            <w:tcBorders>
              <w:top w:val="single" w:color="000000" w:sz="4" w:space="0"/>
              <w:left w:val="single" w:color="000000" w:sz="4" w:space="0"/>
              <w:bottom w:val="single" w:color="000000" w:sz="4" w:space="0"/>
              <w:right w:val="single" w:color="000000" w:sz="4" w:space="0"/>
            </w:tcBorders>
            <w:vAlign w:val="center"/>
          </w:tcPr>
          <w:p w14:paraId="48D63DE9">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满意度要求</w:t>
            </w: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077169D0">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在监管部门的日常监督检查，被通报批评1次扣5分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0BCE1E65">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2B2D6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restart"/>
            <w:tcBorders>
              <w:top w:val="single" w:color="000000" w:sz="4" w:space="0"/>
              <w:left w:val="single" w:color="000000" w:sz="4" w:space="0"/>
              <w:bottom w:val="single" w:color="000000" w:sz="4" w:space="0"/>
              <w:right w:val="single" w:color="000000" w:sz="4" w:space="0"/>
            </w:tcBorders>
            <w:vAlign w:val="center"/>
          </w:tcPr>
          <w:p w14:paraId="05A79ADC">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8</w:t>
            </w:r>
          </w:p>
        </w:tc>
        <w:tc>
          <w:tcPr>
            <w:tcW w:w="1387" w:type="dxa"/>
            <w:vMerge w:val="restart"/>
            <w:tcBorders>
              <w:top w:val="single" w:color="000000" w:sz="4" w:space="0"/>
              <w:left w:val="single" w:color="000000" w:sz="4" w:space="0"/>
              <w:bottom w:val="single" w:color="000000" w:sz="4" w:space="0"/>
              <w:right w:val="single" w:color="000000" w:sz="4" w:space="0"/>
            </w:tcBorders>
            <w:vAlign w:val="center"/>
          </w:tcPr>
          <w:p w14:paraId="0567F94E">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现场调查</w:t>
            </w: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1021715C">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不能提供采购人要求的食品安全相关材料，缺1份扣2分</w:t>
            </w:r>
          </w:p>
        </w:tc>
        <w:tc>
          <w:tcPr>
            <w:tcW w:w="1112" w:type="dxa"/>
            <w:gridSpan w:val="2"/>
            <w:tcBorders>
              <w:top w:val="single" w:color="000000" w:sz="4" w:space="0"/>
              <w:left w:val="single" w:color="000000" w:sz="4" w:space="0"/>
              <w:bottom w:val="single" w:color="000000" w:sz="4" w:space="0"/>
              <w:right w:val="single" w:color="000000" w:sz="4" w:space="0"/>
            </w:tcBorders>
          </w:tcPr>
          <w:p w14:paraId="2BEE3686">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4411C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vMerge w:val="continue"/>
            <w:tcBorders>
              <w:top w:val="single" w:color="000000" w:sz="4" w:space="0"/>
              <w:left w:val="single" w:color="000000" w:sz="4" w:space="0"/>
              <w:bottom w:val="single" w:color="000000" w:sz="4" w:space="0"/>
              <w:right w:val="single" w:color="000000" w:sz="4" w:space="0"/>
            </w:tcBorders>
            <w:vAlign w:val="center"/>
          </w:tcPr>
          <w:p w14:paraId="57BCDA1B">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1387" w:type="dxa"/>
            <w:vMerge w:val="continue"/>
            <w:tcBorders>
              <w:top w:val="single" w:color="000000" w:sz="4" w:space="0"/>
              <w:left w:val="single" w:color="000000" w:sz="4" w:space="0"/>
              <w:bottom w:val="single" w:color="000000" w:sz="4" w:space="0"/>
              <w:right w:val="single" w:color="000000" w:sz="4" w:space="0"/>
            </w:tcBorders>
            <w:vAlign w:val="center"/>
          </w:tcPr>
          <w:p w14:paraId="693DE428">
            <w:pPr>
              <w:keepNext w:val="0"/>
              <w:keepLines w:val="0"/>
              <w:pageBreakBefore w:val="0"/>
              <w:widowControl/>
              <w:kinsoku/>
              <w:wordWrap/>
              <w:overflowPunct/>
              <w:topLinePunct w:val="0"/>
              <w:bidi w:val="0"/>
              <w:adjustRightInd/>
              <w:snapToGrid/>
              <w:spacing w:line="360" w:lineRule="auto"/>
              <w:jc w:val="left"/>
              <w:textAlignment w:val="auto"/>
              <w:rPr>
                <w:rFonts w:hint="eastAsia" w:ascii="宋体" w:hAnsi="宋体" w:eastAsia="宋体" w:cs="宋体"/>
                <w:color w:val="auto"/>
                <w:kern w:val="0"/>
                <w:sz w:val="21"/>
                <w:szCs w:val="21"/>
                <w:highlight w:val="none"/>
                <w:lang w:bidi="ar-SA"/>
              </w:rPr>
            </w:pP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467BF300">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采购人对现场查验食品，通报批评1次扣3分</w:t>
            </w:r>
          </w:p>
        </w:tc>
        <w:tc>
          <w:tcPr>
            <w:tcW w:w="1112" w:type="dxa"/>
            <w:gridSpan w:val="2"/>
            <w:tcBorders>
              <w:top w:val="single" w:color="000000" w:sz="4" w:space="0"/>
              <w:left w:val="single" w:color="000000" w:sz="4" w:space="0"/>
              <w:bottom w:val="single" w:color="000000" w:sz="4" w:space="0"/>
              <w:right w:val="single" w:color="000000" w:sz="4" w:space="0"/>
            </w:tcBorders>
          </w:tcPr>
          <w:p w14:paraId="3B60191A">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47BF3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8798BD">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9</w:t>
            </w:r>
          </w:p>
        </w:tc>
        <w:tc>
          <w:tcPr>
            <w:tcW w:w="1387" w:type="dxa"/>
            <w:tcBorders>
              <w:top w:val="single" w:color="000000" w:sz="4" w:space="0"/>
              <w:left w:val="single" w:color="000000" w:sz="4" w:space="0"/>
              <w:bottom w:val="single" w:color="000000" w:sz="4" w:space="0"/>
              <w:right w:val="single" w:color="000000" w:sz="4" w:space="0"/>
            </w:tcBorders>
            <w:vAlign w:val="center"/>
          </w:tcPr>
          <w:p w14:paraId="5933D49C">
            <w:pPr>
              <w:keepNext w:val="0"/>
              <w:keepLines w:val="0"/>
              <w:pageBreakBefore w:val="0"/>
              <w:kinsoku/>
              <w:wordWrap/>
              <w:overflowPunct/>
              <w:topLinePunct w:val="0"/>
              <w:bidi w:val="0"/>
              <w:adjustRightInd/>
              <w:snapToGrid/>
              <w:spacing w:line="360" w:lineRule="auto"/>
              <w:jc w:val="center"/>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其他</w:t>
            </w:r>
          </w:p>
        </w:tc>
        <w:tc>
          <w:tcPr>
            <w:tcW w:w="5741" w:type="dxa"/>
            <w:gridSpan w:val="2"/>
            <w:tcBorders>
              <w:top w:val="single" w:color="000000" w:sz="4" w:space="0"/>
              <w:left w:val="single" w:color="000000" w:sz="4" w:space="0"/>
              <w:bottom w:val="single" w:color="000000" w:sz="4" w:space="0"/>
              <w:right w:val="single" w:color="000000" w:sz="4" w:space="0"/>
            </w:tcBorders>
            <w:vAlign w:val="center"/>
          </w:tcPr>
          <w:p w14:paraId="616B85F9">
            <w:pPr>
              <w:keepNext w:val="0"/>
              <w:keepLines w:val="0"/>
              <w:pageBreakBefore w:val="0"/>
              <w:widowControl w:val="0"/>
              <w:kinsoku/>
              <w:wordWrap/>
              <w:overflowPunct/>
              <w:topLinePunct w:val="0"/>
              <w:bidi w:val="0"/>
              <w:adjustRightInd/>
              <w:snapToGrid/>
              <w:spacing w:line="360" w:lineRule="auto"/>
              <w:ind w:left="42" w:leftChars="20"/>
              <w:textAlignment w:val="auto"/>
              <w:rPr>
                <w:rFonts w:hint="eastAsia" w:ascii="宋体" w:hAnsi="宋体" w:eastAsia="宋体" w:cs="宋体"/>
                <w:color w:val="auto"/>
                <w:kern w:val="0"/>
                <w:sz w:val="21"/>
                <w:szCs w:val="21"/>
                <w:highlight w:val="none"/>
                <w:lang w:bidi="ar-SA"/>
              </w:rPr>
            </w:pPr>
            <w:r>
              <w:rPr>
                <w:rFonts w:hint="eastAsia" w:ascii="宋体" w:hAnsi="宋体" w:eastAsia="宋体" w:cs="宋体"/>
                <w:color w:val="auto"/>
                <w:kern w:val="0"/>
                <w:sz w:val="21"/>
                <w:szCs w:val="21"/>
                <w:highlight w:val="none"/>
                <w:lang w:bidi="ar-SA"/>
              </w:rPr>
              <w:t>有违反采购文件及合同规定的</w:t>
            </w:r>
            <w:r>
              <w:rPr>
                <w:rFonts w:hint="eastAsia" w:ascii="宋体" w:hAnsi="宋体" w:cs="宋体"/>
                <w:color w:val="auto"/>
                <w:kern w:val="0"/>
                <w:sz w:val="21"/>
                <w:szCs w:val="21"/>
                <w:highlight w:val="none"/>
                <w:lang w:eastAsia="zh-CN" w:bidi="ar-SA"/>
              </w:rPr>
              <w:t>其他</w:t>
            </w:r>
            <w:r>
              <w:rPr>
                <w:rFonts w:hint="eastAsia" w:ascii="宋体" w:hAnsi="宋体" w:eastAsia="宋体" w:cs="宋体"/>
                <w:color w:val="auto"/>
                <w:kern w:val="0"/>
                <w:sz w:val="21"/>
                <w:szCs w:val="21"/>
                <w:highlight w:val="none"/>
                <w:lang w:bidi="ar-SA"/>
              </w:rPr>
              <w:t>违约事件的，每发现1次，需按违约性质并结合上述违约类别，每次扣5分</w:t>
            </w:r>
          </w:p>
        </w:tc>
        <w:tc>
          <w:tcPr>
            <w:tcW w:w="1112" w:type="dxa"/>
            <w:gridSpan w:val="2"/>
            <w:tcBorders>
              <w:top w:val="single" w:color="000000" w:sz="4" w:space="0"/>
              <w:left w:val="single" w:color="000000" w:sz="4" w:space="0"/>
              <w:bottom w:val="single" w:color="000000" w:sz="4" w:space="0"/>
              <w:right w:val="single" w:color="000000" w:sz="4" w:space="0"/>
            </w:tcBorders>
          </w:tcPr>
          <w:p w14:paraId="63B01592">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val="en-US" w:eastAsia="zh-CN" w:bidi="ar-SA"/>
              </w:rPr>
            </w:pPr>
          </w:p>
        </w:tc>
      </w:tr>
      <w:tr w14:paraId="62136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3" w:hRule="atLeast"/>
          <w:jc w:val="center"/>
        </w:trPr>
        <w:tc>
          <w:tcPr>
            <w:tcW w:w="9108" w:type="dxa"/>
            <w:gridSpan w:val="5"/>
            <w:tcBorders>
              <w:top w:val="single" w:color="000000" w:sz="4" w:space="0"/>
              <w:left w:val="single" w:color="000000" w:sz="4" w:space="0"/>
              <w:bottom w:val="single" w:color="000000" w:sz="4" w:space="0"/>
              <w:right w:val="single" w:color="000000" w:sz="4" w:space="0"/>
            </w:tcBorders>
          </w:tcPr>
          <w:p w14:paraId="6A323171">
            <w:pPr>
              <w:keepNext w:val="0"/>
              <w:keepLines w:val="0"/>
              <w:pageBreakBefore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总体评价：</w:t>
            </w:r>
          </w:p>
          <w:p w14:paraId="06990F66">
            <w:pPr>
              <w:keepNext w:val="0"/>
              <w:keepLines w:val="0"/>
              <w:pageBreakBefore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（可附页）</w:t>
            </w:r>
          </w:p>
        </w:tc>
      </w:tr>
      <w:tr w14:paraId="5DD97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3" w:hRule="atLeast"/>
          <w:jc w:val="center"/>
        </w:trPr>
        <w:tc>
          <w:tcPr>
            <w:tcW w:w="4881" w:type="dxa"/>
            <w:gridSpan w:val="3"/>
            <w:tcBorders>
              <w:top w:val="single" w:color="000000" w:sz="4" w:space="0"/>
              <w:left w:val="single" w:color="000000" w:sz="4" w:space="0"/>
              <w:bottom w:val="single" w:color="000000" w:sz="4" w:space="0"/>
              <w:right w:val="single" w:color="000000" w:sz="4" w:space="0"/>
            </w:tcBorders>
          </w:tcPr>
          <w:p w14:paraId="590AC666">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被考核单位负责人签名</w:t>
            </w:r>
          </w:p>
          <w:p w14:paraId="08141598">
            <w:pPr>
              <w:keepNext w:val="0"/>
              <w:keepLines w:val="0"/>
              <w:pageBreakBefore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color w:val="auto"/>
                <w:sz w:val="21"/>
                <w:szCs w:val="21"/>
                <w:highlight w:val="none"/>
                <w:lang w:val="zh-CN" w:bidi="zh-CN"/>
              </w:rPr>
            </w:pPr>
          </w:p>
        </w:tc>
        <w:tc>
          <w:tcPr>
            <w:tcW w:w="4227" w:type="dxa"/>
            <w:gridSpan w:val="2"/>
            <w:tcBorders>
              <w:top w:val="single" w:color="000000" w:sz="4" w:space="0"/>
              <w:left w:val="single" w:color="000000" w:sz="4" w:space="0"/>
              <w:bottom w:val="single" w:color="000000" w:sz="4" w:space="0"/>
              <w:right w:val="single" w:color="000000" w:sz="4" w:space="0"/>
            </w:tcBorders>
          </w:tcPr>
          <w:p w14:paraId="0C2553EB">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考核人员签名：</w:t>
            </w:r>
          </w:p>
        </w:tc>
      </w:tr>
      <w:tr w14:paraId="2FC81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3" w:hRule="atLeast"/>
          <w:jc w:val="center"/>
        </w:trPr>
        <w:tc>
          <w:tcPr>
            <w:tcW w:w="9108" w:type="dxa"/>
            <w:gridSpan w:val="5"/>
            <w:tcBorders>
              <w:top w:val="single" w:color="000000" w:sz="4" w:space="0"/>
              <w:left w:val="single" w:color="000000" w:sz="4" w:space="0"/>
              <w:bottom w:val="single" w:color="000000" w:sz="4" w:space="0"/>
              <w:right w:val="single" w:color="000000" w:sz="4" w:space="0"/>
            </w:tcBorders>
          </w:tcPr>
          <w:p w14:paraId="6BC5FDF5">
            <w:pPr>
              <w:keepNext w:val="0"/>
              <w:keepLines w:val="0"/>
              <w:pageBreakBefore w:val="0"/>
              <w:kinsoku/>
              <w:wordWrap/>
              <w:overflowPunct/>
              <w:topLinePunct w:val="0"/>
              <w:autoSpaceDE w:val="0"/>
              <w:autoSpaceDN w:val="0"/>
              <w:bidi w:val="0"/>
              <w:adjustRightInd/>
              <w:snapToGrid/>
              <w:spacing w:line="360" w:lineRule="auto"/>
              <w:ind w:left="4"/>
              <w:jc w:val="left"/>
              <w:textAlignment w:val="auto"/>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备注：1</w:t>
            </w:r>
            <w:r>
              <w:rPr>
                <w:rFonts w:hint="eastAsia" w:ascii="宋体" w:hAnsi="宋体" w:cs="宋体"/>
                <w:color w:val="auto"/>
                <w:spacing w:val="-12"/>
                <w:sz w:val="21"/>
                <w:szCs w:val="21"/>
                <w:highlight w:val="none"/>
                <w:lang w:val="en-US" w:bidi="zh-CN"/>
              </w:rPr>
              <w:t>.</w:t>
            </w:r>
            <w:r>
              <w:rPr>
                <w:rFonts w:hint="eastAsia" w:ascii="宋体" w:hAnsi="宋体" w:eastAsia="宋体" w:cs="宋体"/>
                <w:color w:val="auto"/>
                <w:sz w:val="21"/>
                <w:szCs w:val="21"/>
                <w:highlight w:val="none"/>
                <w:lang w:val="zh-CN" w:bidi="zh-CN"/>
              </w:rPr>
              <w:t>根据实际需要，可由采购人调整并实施。</w:t>
            </w:r>
          </w:p>
        </w:tc>
      </w:tr>
    </w:tbl>
    <w:p w14:paraId="6A1E298F">
      <w:pPr>
        <w:pStyle w:val="546"/>
        <w:tabs>
          <w:tab w:val="left" w:pos="284"/>
          <w:tab w:val="left" w:pos="567"/>
          <w:tab w:val="left" w:pos="1276"/>
        </w:tabs>
        <w:spacing w:line="360" w:lineRule="auto"/>
        <w:jc w:val="both"/>
        <w:outlineLvl w:val="0"/>
        <w:rPr>
          <w:rFonts w:hint="eastAsia" w:ascii="宋体"/>
          <w:b/>
          <w:color w:val="auto"/>
          <w:kern w:val="0"/>
          <w:sz w:val="30"/>
          <w:szCs w:val="30"/>
          <w:highlight w:val="none"/>
        </w:rPr>
      </w:pPr>
    </w:p>
    <w:p w14:paraId="10C91C48">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78931EAA">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614E0931">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49D4E6D4">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654F364F">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2883100F">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61F239B1">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627D1091">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751850EA">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3A0EBE49">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4CFD9ED0">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76BB5C71">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608842B4">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10916888">
      <w:pPr>
        <w:pStyle w:val="546"/>
        <w:tabs>
          <w:tab w:val="left" w:pos="284"/>
          <w:tab w:val="left" w:pos="567"/>
          <w:tab w:val="left" w:pos="1276"/>
        </w:tabs>
        <w:spacing w:line="360" w:lineRule="auto"/>
        <w:jc w:val="center"/>
        <w:outlineLvl w:val="0"/>
        <w:rPr>
          <w:rFonts w:hint="eastAsia" w:ascii="宋体"/>
          <w:b/>
          <w:color w:val="auto"/>
          <w:kern w:val="0"/>
          <w:sz w:val="30"/>
          <w:szCs w:val="30"/>
          <w:highlight w:val="none"/>
        </w:rPr>
      </w:pPr>
    </w:p>
    <w:p w14:paraId="79CC444A">
      <w:pPr>
        <w:pStyle w:val="546"/>
        <w:tabs>
          <w:tab w:val="left" w:pos="284"/>
          <w:tab w:val="left" w:pos="567"/>
          <w:tab w:val="left" w:pos="1276"/>
        </w:tabs>
        <w:spacing w:line="360" w:lineRule="auto"/>
        <w:jc w:val="center"/>
        <w:outlineLvl w:val="0"/>
        <w:rPr>
          <w:rFonts w:ascii="宋体"/>
          <w:b/>
          <w:color w:val="auto"/>
          <w:kern w:val="0"/>
          <w:sz w:val="30"/>
          <w:szCs w:val="30"/>
          <w:highlight w:val="none"/>
        </w:rPr>
      </w:pPr>
      <w:bookmarkStart w:id="425" w:name="_Toc19765"/>
      <w:r>
        <w:rPr>
          <w:rFonts w:hint="eastAsia" w:ascii="宋体"/>
          <w:b/>
          <w:color w:val="auto"/>
          <w:kern w:val="0"/>
          <w:sz w:val="30"/>
          <w:szCs w:val="30"/>
          <w:highlight w:val="none"/>
        </w:rPr>
        <w:t>第五部分 评分标准</w:t>
      </w:r>
      <w:bookmarkEnd w:id="424"/>
      <w:bookmarkEnd w:id="425"/>
    </w:p>
    <w:p w14:paraId="799E124C">
      <w:pPr>
        <w:pStyle w:val="30"/>
        <w:spacing w:line="480" w:lineRule="exact"/>
        <w:ind w:firstLine="422" w:firstLineChars="200"/>
        <w:rPr>
          <w:rFonts w:ascii="宋体" w:eastAsia="宋体"/>
          <w:b/>
          <w:color w:val="auto"/>
          <w:sz w:val="21"/>
          <w:szCs w:val="21"/>
          <w:highlight w:val="none"/>
        </w:rPr>
      </w:pPr>
      <w:bookmarkStart w:id="426" w:name="_Toc52027926"/>
      <w:bookmarkStart w:id="427" w:name="_Toc56353011"/>
      <w:bookmarkStart w:id="428" w:name="_Toc52021538"/>
      <w:bookmarkStart w:id="429" w:name="_Toc51756491"/>
      <w:bookmarkStart w:id="430" w:name="_Toc51939456"/>
      <w:r>
        <w:rPr>
          <w:rFonts w:hint="eastAsia" w:ascii="宋体" w:eastAsia="宋体"/>
          <w:b/>
          <w:color w:val="auto"/>
          <w:sz w:val="21"/>
          <w:szCs w:val="21"/>
          <w:highlight w:val="none"/>
        </w:rPr>
        <w:t>一、本项目采用综合评分法进行评标。</w:t>
      </w:r>
    </w:p>
    <w:p w14:paraId="74B2BD94">
      <w:pPr>
        <w:pStyle w:val="30"/>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ascii="宋体" w:eastAsia="宋体"/>
          <w:color w:val="auto"/>
          <w:sz w:val="21"/>
          <w:szCs w:val="21"/>
          <w:highlight w:val="none"/>
        </w:rPr>
      </w:pPr>
      <w:r>
        <w:rPr>
          <w:rFonts w:hint="eastAsia" w:ascii="宋体" w:eastAsia="宋体"/>
          <w:color w:val="auto"/>
          <w:sz w:val="21"/>
          <w:szCs w:val="21"/>
          <w:highlight w:val="none"/>
        </w:rPr>
        <w:t>磋商小组按照采购文件确定的评标标准和评标方法对报价文件进行评审和比较，首先是对报价文件进行初审，初审的内容详见《响应文件初步审查表》及“对报价文件的初审”， 对未能通过初审的报价文件作废标处理。</w:t>
      </w:r>
    </w:p>
    <w:p w14:paraId="78AA6CBC">
      <w:pPr>
        <w:pStyle w:val="48"/>
        <w:rPr>
          <w:color w:val="auto"/>
          <w:highlight w:val="none"/>
        </w:rPr>
      </w:pPr>
      <w:bookmarkStart w:id="431" w:name="_Toc24808"/>
      <w:bookmarkStart w:id="432" w:name="_Toc27530"/>
      <w:bookmarkStart w:id="433" w:name="_Toc36225211"/>
      <w:bookmarkStart w:id="434" w:name="_Toc65085874"/>
      <w:bookmarkStart w:id="435" w:name="_Toc70064616"/>
      <w:r>
        <w:rPr>
          <w:rFonts w:hint="eastAsia"/>
          <w:color w:val="auto"/>
          <w:highlight w:val="none"/>
        </w:rPr>
        <w:t>《响应文件初步审查表》</w:t>
      </w:r>
      <w:bookmarkEnd w:id="431"/>
      <w:bookmarkEnd w:id="432"/>
      <w:bookmarkEnd w:id="433"/>
      <w:bookmarkEnd w:id="434"/>
      <w:bookmarkEnd w:id="435"/>
    </w:p>
    <w:tbl>
      <w:tblPr>
        <w:tblStyle w:val="62"/>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992"/>
        <w:gridCol w:w="6647"/>
      </w:tblGrid>
      <w:tr w14:paraId="481C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88" w:type="dxa"/>
            <w:gridSpan w:val="2"/>
            <w:vAlign w:val="center"/>
          </w:tcPr>
          <w:p w14:paraId="39BC6E4E">
            <w:pPr>
              <w:tabs>
                <w:tab w:val="left" w:pos="480"/>
              </w:tabs>
              <w:ind w:left="480" w:hanging="480"/>
              <w:jc w:val="center"/>
              <w:rPr>
                <w:rFonts w:ascii="宋体" w:hAnsi="宋体"/>
                <w:b/>
                <w:bCs/>
                <w:color w:val="auto"/>
                <w:szCs w:val="21"/>
                <w:highlight w:val="none"/>
              </w:rPr>
            </w:pPr>
            <w:r>
              <w:rPr>
                <w:rFonts w:hint="eastAsia" w:ascii="宋体" w:hAnsi="宋体"/>
                <w:b/>
                <w:bCs/>
                <w:color w:val="auto"/>
                <w:szCs w:val="21"/>
                <w:highlight w:val="none"/>
              </w:rPr>
              <w:t>评审内容</w:t>
            </w:r>
          </w:p>
        </w:tc>
        <w:tc>
          <w:tcPr>
            <w:tcW w:w="6647" w:type="dxa"/>
            <w:vAlign w:val="center"/>
          </w:tcPr>
          <w:p w14:paraId="22175BCC">
            <w:pPr>
              <w:tabs>
                <w:tab w:val="left" w:pos="480"/>
              </w:tabs>
              <w:ind w:left="480" w:hanging="480"/>
              <w:jc w:val="center"/>
              <w:rPr>
                <w:rFonts w:ascii="宋体" w:hAnsi="宋体"/>
                <w:b/>
                <w:bCs/>
                <w:color w:val="auto"/>
                <w:szCs w:val="21"/>
                <w:highlight w:val="none"/>
              </w:rPr>
            </w:pPr>
            <w:r>
              <w:rPr>
                <w:rFonts w:hint="eastAsia" w:ascii="宋体" w:hAnsi="宋体"/>
                <w:color w:val="auto"/>
                <w:szCs w:val="21"/>
                <w:highlight w:val="none"/>
              </w:rPr>
              <w:t>磋商</w:t>
            </w:r>
            <w:r>
              <w:rPr>
                <w:rFonts w:hint="eastAsia" w:ascii="宋体" w:hAnsi="宋体"/>
                <w:b/>
                <w:bCs/>
                <w:color w:val="auto"/>
                <w:szCs w:val="21"/>
                <w:highlight w:val="none"/>
              </w:rPr>
              <w:t>文件要求</w:t>
            </w:r>
          </w:p>
        </w:tc>
      </w:tr>
      <w:tr w14:paraId="3AA3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6" w:type="dxa"/>
            <w:vMerge w:val="restart"/>
            <w:vAlign w:val="center"/>
          </w:tcPr>
          <w:p w14:paraId="377FFBF8">
            <w:pPr>
              <w:tabs>
                <w:tab w:val="left" w:pos="480"/>
              </w:tabs>
              <w:ind w:left="480" w:hanging="480"/>
              <w:rPr>
                <w:rFonts w:ascii="宋体" w:hAnsi="宋体"/>
                <w:color w:val="auto"/>
                <w:szCs w:val="21"/>
                <w:highlight w:val="none"/>
              </w:rPr>
            </w:pPr>
            <w:r>
              <w:rPr>
                <w:rFonts w:hint="eastAsia" w:ascii="宋体" w:hAnsi="宋体"/>
                <w:color w:val="auto"/>
                <w:szCs w:val="21"/>
                <w:highlight w:val="none"/>
              </w:rPr>
              <w:t>资格性检</w:t>
            </w:r>
          </w:p>
          <w:p w14:paraId="677CC5C0">
            <w:pPr>
              <w:tabs>
                <w:tab w:val="left" w:pos="480"/>
              </w:tabs>
              <w:ind w:left="480" w:hanging="480"/>
              <w:rPr>
                <w:rFonts w:ascii="宋体" w:hAnsi="宋体"/>
                <w:b/>
                <w:bCs/>
                <w:color w:val="auto"/>
                <w:szCs w:val="21"/>
                <w:highlight w:val="none"/>
              </w:rPr>
            </w:pPr>
            <w:r>
              <w:rPr>
                <w:rFonts w:hint="eastAsia" w:ascii="宋体" w:hAnsi="宋体"/>
                <w:color w:val="auto"/>
                <w:szCs w:val="21"/>
                <w:highlight w:val="none"/>
              </w:rPr>
              <w:t>查</w:t>
            </w:r>
          </w:p>
        </w:tc>
        <w:tc>
          <w:tcPr>
            <w:tcW w:w="1992" w:type="dxa"/>
            <w:vMerge w:val="restart"/>
            <w:vAlign w:val="center"/>
          </w:tcPr>
          <w:p w14:paraId="7E9A8FFB">
            <w:pPr>
              <w:tabs>
                <w:tab w:val="left" w:pos="146"/>
              </w:tabs>
              <w:rPr>
                <w:rFonts w:ascii="宋体" w:hAnsi="宋体"/>
                <w:b/>
                <w:bCs/>
                <w:color w:val="auto"/>
                <w:szCs w:val="21"/>
                <w:highlight w:val="none"/>
              </w:rPr>
            </w:pPr>
            <w:r>
              <w:rPr>
                <w:rFonts w:hint="eastAsia" w:ascii="宋体" w:hAnsi="宋体"/>
                <w:color w:val="auto"/>
                <w:szCs w:val="21"/>
                <w:highlight w:val="none"/>
                <w:lang w:val="en-US" w:eastAsia="zh-CN"/>
              </w:rPr>
              <w:t>供应商</w:t>
            </w:r>
            <w:r>
              <w:rPr>
                <w:rFonts w:hint="eastAsia" w:ascii="宋体" w:hAnsi="宋体"/>
                <w:color w:val="auto"/>
                <w:szCs w:val="21"/>
                <w:highlight w:val="none"/>
              </w:rPr>
              <w:t>要求</w:t>
            </w:r>
          </w:p>
        </w:tc>
        <w:tc>
          <w:tcPr>
            <w:tcW w:w="6647" w:type="dxa"/>
            <w:vAlign w:val="center"/>
          </w:tcPr>
          <w:p w14:paraId="522F3738">
            <w:pPr>
              <w:tabs>
                <w:tab w:val="left" w:pos="0"/>
              </w:tabs>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供应商</w:t>
            </w:r>
            <w:r>
              <w:rPr>
                <w:rFonts w:hint="eastAsia" w:ascii="宋体" w:hAnsi="宋体"/>
                <w:b w:val="0"/>
                <w:bCs w:val="0"/>
                <w:color w:val="auto"/>
                <w:szCs w:val="21"/>
                <w:highlight w:val="none"/>
              </w:rPr>
              <w:t>应具备《中华人民共和国政府采购法》第二十二条规定的条件</w:t>
            </w:r>
          </w:p>
        </w:tc>
      </w:tr>
      <w:tr w14:paraId="660F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6" w:type="dxa"/>
            <w:vMerge w:val="continue"/>
            <w:vAlign w:val="center"/>
          </w:tcPr>
          <w:p w14:paraId="4C3A6554">
            <w:pPr>
              <w:tabs>
                <w:tab w:val="left" w:pos="480"/>
              </w:tabs>
              <w:ind w:left="480" w:hanging="480"/>
              <w:rPr>
                <w:rFonts w:hint="eastAsia" w:ascii="宋体" w:hAnsi="宋体"/>
                <w:color w:val="auto"/>
                <w:szCs w:val="21"/>
                <w:highlight w:val="none"/>
              </w:rPr>
            </w:pPr>
          </w:p>
        </w:tc>
        <w:tc>
          <w:tcPr>
            <w:tcW w:w="1992" w:type="dxa"/>
            <w:vMerge w:val="continue"/>
            <w:vAlign w:val="center"/>
          </w:tcPr>
          <w:p w14:paraId="6EFDFC54">
            <w:pPr>
              <w:tabs>
                <w:tab w:val="left" w:pos="146"/>
              </w:tabs>
              <w:rPr>
                <w:rFonts w:hint="eastAsia" w:ascii="宋体" w:hAnsi="宋体"/>
                <w:color w:val="auto"/>
                <w:szCs w:val="21"/>
                <w:highlight w:val="none"/>
              </w:rPr>
            </w:pPr>
          </w:p>
        </w:tc>
        <w:tc>
          <w:tcPr>
            <w:tcW w:w="6647" w:type="dxa"/>
            <w:vAlign w:val="center"/>
          </w:tcPr>
          <w:p w14:paraId="3515B87E">
            <w:pPr>
              <w:tabs>
                <w:tab w:val="left" w:pos="0"/>
              </w:tabs>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2E26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1096" w:type="dxa"/>
            <w:vMerge w:val="continue"/>
            <w:vAlign w:val="center"/>
          </w:tcPr>
          <w:p w14:paraId="400B1C86">
            <w:pPr>
              <w:tabs>
                <w:tab w:val="left" w:pos="480"/>
              </w:tabs>
              <w:ind w:left="480" w:hanging="480"/>
              <w:rPr>
                <w:rFonts w:hint="eastAsia" w:ascii="宋体" w:hAnsi="宋体"/>
                <w:color w:val="auto"/>
                <w:szCs w:val="21"/>
                <w:highlight w:val="none"/>
              </w:rPr>
            </w:pPr>
          </w:p>
        </w:tc>
        <w:tc>
          <w:tcPr>
            <w:tcW w:w="1992" w:type="dxa"/>
            <w:vMerge w:val="continue"/>
            <w:vAlign w:val="center"/>
          </w:tcPr>
          <w:p w14:paraId="2EBF1B42">
            <w:pPr>
              <w:tabs>
                <w:tab w:val="left" w:pos="146"/>
              </w:tabs>
              <w:rPr>
                <w:rFonts w:hint="eastAsia" w:ascii="宋体" w:hAnsi="宋体"/>
                <w:color w:val="auto"/>
                <w:szCs w:val="21"/>
                <w:highlight w:val="none"/>
              </w:rPr>
            </w:pPr>
          </w:p>
        </w:tc>
        <w:tc>
          <w:tcPr>
            <w:tcW w:w="6647" w:type="dxa"/>
            <w:vAlign w:val="center"/>
          </w:tcPr>
          <w:p w14:paraId="475BCD27">
            <w:pPr>
              <w:tabs>
                <w:tab w:val="left" w:pos="0"/>
              </w:tabs>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单位负责人为同一人或者存在直接控股、管理关系的不同供应商，不得同时参加本采购项目（或采购包）投标（响应）。为本项目提供整体设计、规范编制或者项目管理、监理、检测等服务的</w:t>
            </w:r>
            <w:r>
              <w:rPr>
                <w:rFonts w:hint="eastAsia" w:ascii="宋体" w:hAnsi="宋体" w:eastAsia="宋体"/>
                <w:b w:val="0"/>
                <w:bCs w:val="0"/>
                <w:color w:val="auto"/>
                <w:szCs w:val="21"/>
                <w:highlight w:val="none"/>
                <w:lang w:val="en-US" w:eastAsia="zh-CN"/>
              </w:rPr>
              <w:t>供应商，不得再参与本项目投标（响应）。投标（报价）函相关承诺要求内容。</w:t>
            </w:r>
            <w:r>
              <w:rPr>
                <w:rFonts w:hint="eastAsia" w:ascii="宋体" w:hAnsi="宋体" w:eastAsia="宋体"/>
                <w:b/>
                <w:bCs/>
                <w:color w:val="auto"/>
                <w:szCs w:val="21"/>
                <w:highlight w:val="none"/>
                <w:lang w:val="en-US" w:eastAsia="zh-CN"/>
              </w:rPr>
              <w:t>提供《承诺函》承诺。</w:t>
            </w:r>
          </w:p>
        </w:tc>
      </w:tr>
      <w:tr w14:paraId="39FC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096" w:type="dxa"/>
            <w:vMerge w:val="continue"/>
            <w:vAlign w:val="center"/>
          </w:tcPr>
          <w:p w14:paraId="3B0BCFE6">
            <w:pPr>
              <w:tabs>
                <w:tab w:val="left" w:pos="480"/>
              </w:tabs>
              <w:ind w:left="480" w:hanging="480"/>
              <w:rPr>
                <w:rFonts w:hint="eastAsia" w:ascii="宋体" w:hAnsi="宋体"/>
                <w:color w:val="auto"/>
                <w:szCs w:val="21"/>
                <w:highlight w:val="none"/>
              </w:rPr>
            </w:pPr>
          </w:p>
        </w:tc>
        <w:tc>
          <w:tcPr>
            <w:tcW w:w="1992" w:type="dxa"/>
            <w:vMerge w:val="continue"/>
            <w:vAlign w:val="center"/>
          </w:tcPr>
          <w:p w14:paraId="1EED67BD">
            <w:pPr>
              <w:tabs>
                <w:tab w:val="left" w:pos="146"/>
              </w:tabs>
              <w:rPr>
                <w:rFonts w:hint="eastAsia" w:ascii="宋体" w:hAnsi="宋体"/>
                <w:color w:val="auto"/>
                <w:szCs w:val="21"/>
                <w:highlight w:val="none"/>
              </w:rPr>
            </w:pPr>
          </w:p>
        </w:tc>
        <w:tc>
          <w:tcPr>
            <w:tcW w:w="6647" w:type="dxa"/>
            <w:vAlign w:val="center"/>
          </w:tcPr>
          <w:p w14:paraId="158C0440">
            <w:pPr>
              <w:tabs>
                <w:tab w:val="left" w:pos="0"/>
              </w:tabs>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供应商须具有在有效期内的《食品经营许可证》，提供复印件加盖供应商公章。</w:t>
            </w:r>
          </w:p>
        </w:tc>
      </w:tr>
      <w:tr w14:paraId="65CB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096" w:type="dxa"/>
            <w:vMerge w:val="continue"/>
            <w:vAlign w:val="center"/>
          </w:tcPr>
          <w:p w14:paraId="115DF0E8">
            <w:pPr>
              <w:tabs>
                <w:tab w:val="left" w:pos="480"/>
              </w:tabs>
              <w:ind w:left="480" w:hanging="480"/>
              <w:rPr>
                <w:rFonts w:hint="eastAsia" w:ascii="宋体" w:hAnsi="宋体"/>
                <w:color w:val="auto"/>
                <w:szCs w:val="21"/>
                <w:highlight w:val="none"/>
              </w:rPr>
            </w:pPr>
          </w:p>
        </w:tc>
        <w:tc>
          <w:tcPr>
            <w:tcW w:w="1992" w:type="dxa"/>
            <w:vMerge w:val="continue"/>
            <w:vAlign w:val="center"/>
          </w:tcPr>
          <w:p w14:paraId="0017916C">
            <w:pPr>
              <w:tabs>
                <w:tab w:val="left" w:pos="146"/>
              </w:tabs>
              <w:rPr>
                <w:rFonts w:hint="eastAsia" w:ascii="宋体" w:hAnsi="宋体"/>
                <w:color w:val="auto"/>
                <w:szCs w:val="21"/>
                <w:highlight w:val="none"/>
              </w:rPr>
            </w:pPr>
          </w:p>
        </w:tc>
        <w:tc>
          <w:tcPr>
            <w:tcW w:w="6647" w:type="dxa"/>
            <w:vAlign w:val="center"/>
          </w:tcPr>
          <w:p w14:paraId="3CD3C63E">
            <w:pPr>
              <w:tabs>
                <w:tab w:val="left" w:pos="0"/>
                <w:tab w:val="left" w:pos="893"/>
              </w:tabs>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本项目专门面向中小企业采购：参与的供应商（联合体）服务全部由符合政策要求的中小企业承接</w:t>
            </w:r>
          </w:p>
        </w:tc>
      </w:tr>
      <w:tr w14:paraId="7497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96" w:type="dxa"/>
            <w:vMerge w:val="restart"/>
            <w:vAlign w:val="center"/>
          </w:tcPr>
          <w:p w14:paraId="59177508">
            <w:pPr>
              <w:tabs>
                <w:tab w:val="left" w:pos="480"/>
              </w:tabs>
              <w:ind w:left="480" w:hanging="480"/>
              <w:jc w:val="center"/>
              <w:rPr>
                <w:rFonts w:ascii="宋体" w:hAnsi="宋体"/>
                <w:color w:val="auto"/>
                <w:szCs w:val="21"/>
                <w:highlight w:val="none"/>
              </w:rPr>
            </w:pPr>
            <w:r>
              <w:rPr>
                <w:rFonts w:hint="eastAsia" w:ascii="宋体" w:hAnsi="宋体"/>
                <w:color w:val="auto"/>
                <w:szCs w:val="21"/>
                <w:highlight w:val="none"/>
              </w:rPr>
              <w:t>符合性审</w:t>
            </w:r>
          </w:p>
          <w:p w14:paraId="01BA957C">
            <w:pPr>
              <w:tabs>
                <w:tab w:val="left" w:pos="480"/>
              </w:tabs>
              <w:ind w:left="480" w:hanging="480"/>
              <w:rPr>
                <w:rFonts w:ascii="宋体" w:hAnsi="宋体"/>
                <w:b/>
                <w:bCs/>
                <w:color w:val="auto"/>
                <w:szCs w:val="21"/>
                <w:highlight w:val="none"/>
              </w:rPr>
            </w:pPr>
            <w:r>
              <w:rPr>
                <w:rFonts w:hint="eastAsia" w:ascii="宋体" w:hAnsi="宋体"/>
                <w:color w:val="auto"/>
                <w:szCs w:val="21"/>
                <w:highlight w:val="none"/>
              </w:rPr>
              <w:t>查</w:t>
            </w:r>
          </w:p>
        </w:tc>
        <w:tc>
          <w:tcPr>
            <w:tcW w:w="1992" w:type="dxa"/>
            <w:vAlign w:val="center"/>
          </w:tcPr>
          <w:p w14:paraId="7E929194">
            <w:pPr>
              <w:tabs>
                <w:tab w:val="left" w:pos="146"/>
              </w:tabs>
              <w:rPr>
                <w:rFonts w:ascii="宋体" w:hAnsi="宋体"/>
                <w:b/>
                <w:bCs/>
                <w:color w:val="auto"/>
                <w:szCs w:val="21"/>
                <w:highlight w:val="none"/>
              </w:rPr>
            </w:pPr>
            <w:r>
              <w:rPr>
                <w:rFonts w:hint="eastAsia" w:ascii="宋体" w:hAnsi="宋体"/>
                <w:color w:val="auto"/>
                <w:szCs w:val="21"/>
                <w:highlight w:val="none"/>
              </w:rPr>
              <w:t>须满足</w:t>
            </w:r>
            <w:r>
              <w:rPr>
                <w:rFonts w:hint="eastAsia" w:ascii="宋体" w:hAnsi="宋体"/>
                <w:color w:val="auto"/>
                <w:szCs w:val="21"/>
                <w:highlight w:val="none"/>
                <w:lang w:val="en-US" w:eastAsia="zh-CN"/>
              </w:rPr>
              <w:t>带“★”号</w:t>
            </w:r>
            <w:r>
              <w:rPr>
                <w:rFonts w:hint="eastAsia" w:ascii="宋体" w:hAnsi="宋体"/>
                <w:color w:val="auto"/>
                <w:szCs w:val="21"/>
                <w:highlight w:val="none"/>
              </w:rPr>
              <w:t>要求</w:t>
            </w:r>
          </w:p>
        </w:tc>
        <w:tc>
          <w:tcPr>
            <w:tcW w:w="6647" w:type="dxa"/>
            <w:vAlign w:val="center"/>
          </w:tcPr>
          <w:p w14:paraId="4FA6C4C8">
            <w:pPr>
              <w:tabs>
                <w:tab w:val="left" w:pos="0"/>
              </w:tabs>
              <w:rPr>
                <w:rFonts w:ascii="宋体" w:hAnsi="宋体"/>
                <w:b/>
                <w:bCs/>
                <w:color w:val="auto"/>
                <w:szCs w:val="21"/>
                <w:highlight w:val="none"/>
              </w:rPr>
            </w:pPr>
            <w:r>
              <w:rPr>
                <w:rFonts w:hint="eastAsia" w:ascii="宋体" w:hAnsi="宋体"/>
                <w:color w:val="auto"/>
                <w:szCs w:val="21"/>
                <w:highlight w:val="none"/>
              </w:rPr>
              <w:t>按磋商</w:t>
            </w:r>
            <w:r>
              <w:rPr>
                <w:rFonts w:hint="eastAsia" w:ascii="宋体" w:hAnsi="宋体"/>
                <w:bCs/>
                <w:color w:val="auto"/>
                <w:szCs w:val="21"/>
                <w:highlight w:val="none"/>
              </w:rPr>
              <w:t>文件</w:t>
            </w:r>
            <w:r>
              <w:rPr>
                <w:rFonts w:hint="eastAsia" w:ascii="宋体" w:hAnsi="宋体"/>
                <w:color w:val="auto"/>
                <w:szCs w:val="21"/>
                <w:highlight w:val="none"/>
              </w:rPr>
              <w:t>要求</w:t>
            </w:r>
          </w:p>
        </w:tc>
      </w:tr>
      <w:tr w14:paraId="3A17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96" w:type="dxa"/>
            <w:vMerge w:val="continue"/>
            <w:vAlign w:val="center"/>
          </w:tcPr>
          <w:p w14:paraId="11321904">
            <w:pPr>
              <w:tabs>
                <w:tab w:val="left" w:pos="480"/>
              </w:tabs>
              <w:ind w:left="480" w:hanging="480"/>
              <w:rPr>
                <w:rFonts w:hint="eastAsia" w:ascii="宋体" w:hAnsi="宋体"/>
                <w:color w:val="auto"/>
                <w:szCs w:val="21"/>
                <w:highlight w:val="none"/>
              </w:rPr>
            </w:pPr>
          </w:p>
        </w:tc>
        <w:tc>
          <w:tcPr>
            <w:tcW w:w="1992" w:type="dxa"/>
            <w:shd w:val="clear" w:color="auto" w:fill="auto"/>
            <w:vAlign w:val="center"/>
          </w:tcPr>
          <w:p w14:paraId="60C1D23F">
            <w:pPr>
              <w:tabs>
                <w:tab w:val="left" w:pos="146"/>
              </w:tabs>
              <w:rPr>
                <w:rFonts w:hint="eastAsia" w:ascii="宋体" w:hAnsi="宋体" w:eastAsia="宋体" w:cs="Times New Roman"/>
                <w:b/>
                <w:bCs/>
                <w:color w:val="auto"/>
                <w:kern w:val="2"/>
                <w:sz w:val="21"/>
                <w:szCs w:val="21"/>
                <w:highlight w:val="none"/>
                <w:lang w:val="en-US" w:eastAsia="zh-CN" w:bidi="ar-SA"/>
              </w:rPr>
            </w:pPr>
            <w:r>
              <w:rPr>
                <w:rFonts w:hint="eastAsia" w:ascii="宋体" w:hAnsi="宋体"/>
                <w:color w:val="auto"/>
                <w:szCs w:val="21"/>
                <w:highlight w:val="none"/>
                <w:lang w:val="en-US" w:eastAsia="zh-CN"/>
              </w:rPr>
              <w:t>服务期</w:t>
            </w:r>
            <w:r>
              <w:rPr>
                <w:rFonts w:hint="eastAsia" w:ascii="宋体" w:hAnsi="宋体"/>
                <w:color w:val="auto"/>
                <w:szCs w:val="21"/>
                <w:highlight w:val="none"/>
              </w:rPr>
              <w:t>须满足要求</w:t>
            </w:r>
          </w:p>
        </w:tc>
        <w:tc>
          <w:tcPr>
            <w:tcW w:w="6647" w:type="dxa"/>
            <w:shd w:val="clear" w:color="auto" w:fill="auto"/>
            <w:vAlign w:val="center"/>
          </w:tcPr>
          <w:p w14:paraId="2B9F1064">
            <w:pPr>
              <w:tabs>
                <w:tab w:val="left" w:pos="0"/>
              </w:tabs>
              <w:rPr>
                <w:rFonts w:hint="eastAsia" w:ascii="宋体" w:hAnsi="宋体" w:eastAsia="宋体" w:cs="Times New Roman"/>
                <w:b/>
                <w:bCs/>
                <w:color w:val="auto"/>
                <w:kern w:val="2"/>
                <w:sz w:val="21"/>
                <w:szCs w:val="21"/>
                <w:highlight w:val="none"/>
                <w:lang w:val="en-US" w:eastAsia="zh-CN" w:bidi="ar-SA"/>
              </w:rPr>
            </w:pPr>
            <w:r>
              <w:rPr>
                <w:rFonts w:hint="eastAsia" w:ascii="宋体" w:hAnsi="宋体"/>
                <w:color w:val="auto"/>
                <w:szCs w:val="21"/>
                <w:highlight w:val="none"/>
              </w:rPr>
              <w:t>按磋商</w:t>
            </w:r>
            <w:r>
              <w:rPr>
                <w:rFonts w:hint="eastAsia" w:ascii="宋体" w:hAnsi="宋体"/>
                <w:bCs/>
                <w:color w:val="auto"/>
                <w:szCs w:val="21"/>
                <w:highlight w:val="none"/>
              </w:rPr>
              <w:t>文件</w:t>
            </w:r>
            <w:r>
              <w:rPr>
                <w:rFonts w:hint="eastAsia" w:ascii="宋体" w:hAnsi="宋体"/>
                <w:color w:val="auto"/>
                <w:szCs w:val="21"/>
                <w:highlight w:val="none"/>
              </w:rPr>
              <w:t>要求</w:t>
            </w:r>
          </w:p>
        </w:tc>
      </w:tr>
      <w:tr w14:paraId="7946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096" w:type="dxa"/>
            <w:vMerge w:val="continue"/>
          </w:tcPr>
          <w:p w14:paraId="484C874E">
            <w:pPr>
              <w:tabs>
                <w:tab w:val="left" w:pos="480"/>
              </w:tabs>
              <w:ind w:left="480" w:hanging="480"/>
              <w:jc w:val="center"/>
              <w:rPr>
                <w:rFonts w:ascii="宋体" w:hAnsi="宋体"/>
                <w:b/>
                <w:bCs/>
                <w:color w:val="auto"/>
                <w:szCs w:val="21"/>
                <w:highlight w:val="none"/>
              </w:rPr>
            </w:pPr>
          </w:p>
        </w:tc>
        <w:tc>
          <w:tcPr>
            <w:tcW w:w="1992" w:type="dxa"/>
            <w:vAlign w:val="center"/>
          </w:tcPr>
          <w:p w14:paraId="228771E7">
            <w:pPr>
              <w:tabs>
                <w:tab w:val="left" w:pos="146"/>
              </w:tabs>
              <w:rPr>
                <w:rFonts w:ascii="宋体" w:hAnsi="宋体"/>
                <w:b/>
                <w:bCs/>
                <w:color w:val="auto"/>
                <w:szCs w:val="21"/>
                <w:highlight w:val="none"/>
              </w:rPr>
            </w:pPr>
            <w:r>
              <w:rPr>
                <w:rFonts w:hint="eastAsia" w:ascii="宋体" w:hAnsi="宋体"/>
                <w:color w:val="auto"/>
                <w:szCs w:val="21"/>
                <w:highlight w:val="none"/>
                <w:lang w:val="en-US" w:eastAsia="zh-CN"/>
              </w:rPr>
              <w:t>响应</w:t>
            </w:r>
            <w:r>
              <w:rPr>
                <w:rFonts w:hint="eastAsia" w:ascii="宋体" w:hAnsi="宋体"/>
                <w:color w:val="auto"/>
                <w:szCs w:val="21"/>
                <w:highlight w:val="none"/>
              </w:rPr>
              <w:t>报价未超出报价上限</w:t>
            </w:r>
          </w:p>
        </w:tc>
        <w:tc>
          <w:tcPr>
            <w:tcW w:w="6647" w:type="dxa"/>
            <w:vAlign w:val="center"/>
          </w:tcPr>
          <w:p w14:paraId="2B8AF9CE">
            <w:pPr>
              <w:tabs>
                <w:tab w:val="left" w:pos="0"/>
              </w:tabs>
              <w:rPr>
                <w:rFonts w:ascii="宋体" w:hAnsi="宋体"/>
                <w:b/>
                <w:bCs/>
                <w:color w:val="auto"/>
                <w:szCs w:val="21"/>
                <w:highlight w:val="none"/>
              </w:rPr>
            </w:pPr>
            <w:r>
              <w:rPr>
                <w:rFonts w:hint="eastAsia" w:ascii="宋体" w:hAnsi="宋体"/>
                <w:color w:val="auto"/>
                <w:szCs w:val="21"/>
                <w:highlight w:val="none"/>
              </w:rPr>
              <w:t>按磋商</w:t>
            </w:r>
            <w:r>
              <w:rPr>
                <w:rFonts w:hint="eastAsia" w:ascii="宋体" w:hAnsi="宋体"/>
                <w:bCs/>
                <w:color w:val="auto"/>
                <w:szCs w:val="21"/>
                <w:highlight w:val="none"/>
              </w:rPr>
              <w:t>文件</w:t>
            </w:r>
            <w:r>
              <w:rPr>
                <w:rFonts w:hint="eastAsia" w:ascii="宋体" w:hAnsi="宋体"/>
                <w:color w:val="auto"/>
                <w:szCs w:val="21"/>
                <w:highlight w:val="none"/>
              </w:rPr>
              <w:t>要求</w:t>
            </w:r>
          </w:p>
        </w:tc>
      </w:tr>
      <w:tr w14:paraId="4A27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096" w:type="dxa"/>
            <w:vMerge w:val="continue"/>
          </w:tcPr>
          <w:p w14:paraId="1B5A6020">
            <w:pPr>
              <w:tabs>
                <w:tab w:val="left" w:pos="480"/>
              </w:tabs>
              <w:ind w:left="480" w:hanging="480"/>
              <w:jc w:val="center"/>
              <w:rPr>
                <w:rFonts w:ascii="宋体" w:hAnsi="宋体"/>
                <w:b/>
                <w:bCs/>
                <w:color w:val="auto"/>
                <w:szCs w:val="21"/>
                <w:highlight w:val="none"/>
              </w:rPr>
            </w:pPr>
          </w:p>
        </w:tc>
        <w:tc>
          <w:tcPr>
            <w:tcW w:w="1992" w:type="dxa"/>
            <w:vAlign w:val="center"/>
          </w:tcPr>
          <w:p w14:paraId="173E4758">
            <w:pPr>
              <w:tabs>
                <w:tab w:val="left" w:pos="146"/>
              </w:tabs>
              <w:rPr>
                <w:rFonts w:hint="eastAsia" w:ascii="宋体" w:hAnsi="宋体"/>
                <w:color w:val="auto"/>
                <w:szCs w:val="21"/>
                <w:highlight w:val="none"/>
              </w:rPr>
            </w:pPr>
            <w:r>
              <w:rPr>
                <w:color w:val="auto"/>
                <w:highlight w:val="none"/>
              </w:rPr>
              <w:t>异常低价审查</w:t>
            </w:r>
          </w:p>
        </w:tc>
        <w:tc>
          <w:tcPr>
            <w:tcW w:w="6647" w:type="dxa"/>
            <w:vAlign w:val="center"/>
          </w:tcPr>
          <w:p w14:paraId="56D60CE3">
            <w:pPr>
              <w:tabs>
                <w:tab w:val="left" w:pos="146"/>
              </w:tabs>
              <w:rPr>
                <w:rFonts w:hint="eastAsia" w:ascii="宋体" w:hAnsi="宋体"/>
                <w:color w:val="auto"/>
                <w:szCs w:val="21"/>
                <w:highlight w:val="none"/>
              </w:rPr>
            </w:pPr>
            <w:r>
              <w:rPr>
                <w:rFonts w:hint="eastAsia" w:ascii="宋体" w:hAnsi="宋体"/>
                <w:color w:val="auto"/>
                <w:szCs w:val="21"/>
                <w:highlight w:val="none"/>
              </w:rPr>
              <w:t>1）投标（响应）报价低于全部通过符合性审查供应商投标（响应）报价平均值×50%的，即投标（响应）报价&lt;全部通过符合性审查供应商投标（响应）报价平均值×50%。</w:t>
            </w:r>
            <w:r>
              <w:rPr>
                <w:rFonts w:hint="eastAsia" w:ascii="宋体" w:hAnsi="宋体"/>
                <w:color w:val="auto"/>
                <w:szCs w:val="21"/>
                <w:highlight w:val="none"/>
              </w:rPr>
              <w:br w:type="textWrapping"/>
            </w:r>
            <w:r>
              <w:rPr>
                <w:rFonts w:hint="eastAsia" w:ascii="宋体" w:hAnsi="宋体"/>
                <w:color w:val="auto"/>
                <w:szCs w:val="21"/>
                <w:highlight w:val="none"/>
              </w:rPr>
              <w:t>2）投标（响应）报价低于通过符合性审查且报价次低供应商投标（响应）报价×50%的，即投标（响应）报价&lt;通过符合性审查且报价次低供应商投标（响应）报价×50%。</w:t>
            </w:r>
            <w:r>
              <w:rPr>
                <w:rFonts w:hint="eastAsia" w:ascii="宋体" w:hAnsi="宋体"/>
                <w:color w:val="auto"/>
                <w:szCs w:val="21"/>
                <w:highlight w:val="none"/>
              </w:rPr>
              <w:br w:type="textWrapping"/>
            </w:r>
            <w:r>
              <w:rPr>
                <w:rFonts w:hint="eastAsia" w:ascii="宋体" w:hAnsi="宋体"/>
                <w:color w:val="auto"/>
                <w:szCs w:val="21"/>
                <w:highlight w:val="none"/>
              </w:rPr>
              <w:t>3）投标（响应）报价低于采购项目最高限价45%的，即投标（响应）报价&lt;采购项目最高限价×45%。</w:t>
            </w:r>
            <w:r>
              <w:rPr>
                <w:rFonts w:hint="eastAsia" w:ascii="宋体" w:hAnsi="宋体"/>
                <w:color w:val="auto"/>
                <w:szCs w:val="21"/>
                <w:highlight w:val="none"/>
              </w:rPr>
              <w:br w:type="textWrapping"/>
            </w:r>
            <w:r>
              <w:rPr>
                <w:rFonts w:hint="eastAsia" w:ascii="宋体" w:hAnsi="宋体"/>
                <w:color w:val="auto"/>
                <w:szCs w:val="21"/>
                <w:highlight w:val="none"/>
              </w:rPr>
              <w:t>4）其他评审委员会认为供应商报价过低，有可能影响产品质量或无法诚信履约的情形。</w:t>
            </w:r>
          </w:p>
        </w:tc>
      </w:tr>
      <w:tr w14:paraId="2AE2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096" w:type="dxa"/>
            <w:vMerge w:val="continue"/>
          </w:tcPr>
          <w:p w14:paraId="649D8CB3">
            <w:pPr>
              <w:tabs>
                <w:tab w:val="left" w:pos="480"/>
              </w:tabs>
              <w:ind w:left="480" w:hanging="480"/>
              <w:jc w:val="center"/>
              <w:rPr>
                <w:rFonts w:ascii="宋体" w:hAnsi="宋体"/>
                <w:b/>
                <w:bCs/>
                <w:color w:val="auto"/>
                <w:szCs w:val="21"/>
                <w:highlight w:val="none"/>
              </w:rPr>
            </w:pPr>
          </w:p>
        </w:tc>
        <w:tc>
          <w:tcPr>
            <w:tcW w:w="1992" w:type="dxa"/>
            <w:vAlign w:val="center"/>
          </w:tcPr>
          <w:p w14:paraId="0494B0AD">
            <w:pPr>
              <w:tabs>
                <w:tab w:val="left" w:pos="146"/>
              </w:tabs>
              <w:rPr>
                <w:rFonts w:ascii="宋体" w:hAnsi="宋体"/>
                <w:b/>
                <w:bCs/>
                <w:color w:val="auto"/>
                <w:szCs w:val="21"/>
                <w:highlight w:val="none"/>
              </w:rPr>
            </w:pPr>
            <w:r>
              <w:rPr>
                <w:rFonts w:hint="eastAsia" w:ascii="宋体" w:hAnsi="宋体"/>
                <w:color w:val="auto"/>
                <w:szCs w:val="21"/>
                <w:highlight w:val="none"/>
              </w:rPr>
              <w:t>法定代表人/负责人资格证明书及授权委托书</w:t>
            </w:r>
          </w:p>
        </w:tc>
        <w:tc>
          <w:tcPr>
            <w:tcW w:w="6647" w:type="dxa"/>
            <w:vAlign w:val="center"/>
          </w:tcPr>
          <w:p w14:paraId="3A6230B6">
            <w:pPr>
              <w:tabs>
                <w:tab w:val="left" w:pos="0"/>
              </w:tabs>
              <w:rPr>
                <w:rFonts w:ascii="宋体" w:hAnsi="宋体"/>
                <w:b/>
                <w:bCs/>
                <w:color w:val="auto"/>
                <w:szCs w:val="21"/>
                <w:highlight w:val="none"/>
              </w:rPr>
            </w:pPr>
            <w:r>
              <w:rPr>
                <w:rFonts w:hint="eastAsia" w:ascii="宋体" w:hAnsi="宋体"/>
                <w:color w:val="auto"/>
                <w:szCs w:val="21"/>
                <w:highlight w:val="none"/>
              </w:rPr>
              <w:t>按对应格式文件签署、盖章(原件)</w:t>
            </w:r>
          </w:p>
        </w:tc>
      </w:tr>
      <w:tr w14:paraId="6474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96" w:type="dxa"/>
            <w:vMerge w:val="continue"/>
          </w:tcPr>
          <w:p w14:paraId="0657AA6F">
            <w:pPr>
              <w:tabs>
                <w:tab w:val="left" w:pos="480"/>
              </w:tabs>
              <w:ind w:left="480" w:hanging="480"/>
              <w:jc w:val="center"/>
              <w:rPr>
                <w:rFonts w:ascii="宋体" w:hAnsi="宋体"/>
                <w:b/>
                <w:bCs/>
                <w:color w:val="auto"/>
                <w:szCs w:val="21"/>
                <w:highlight w:val="none"/>
              </w:rPr>
            </w:pPr>
          </w:p>
        </w:tc>
        <w:tc>
          <w:tcPr>
            <w:tcW w:w="1992" w:type="dxa"/>
            <w:vAlign w:val="center"/>
          </w:tcPr>
          <w:p w14:paraId="76119D72">
            <w:pPr>
              <w:tabs>
                <w:tab w:val="left" w:pos="146"/>
              </w:tabs>
              <w:rPr>
                <w:rFonts w:hint="eastAsia" w:ascii="宋体" w:hAnsi="宋体" w:eastAsia="宋体"/>
                <w:color w:val="auto"/>
                <w:szCs w:val="21"/>
                <w:highlight w:val="none"/>
                <w:lang w:eastAsia="zh-CN"/>
              </w:rPr>
            </w:pPr>
            <w:r>
              <w:rPr>
                <w:rFonts w:hint="eastAsia" w:ascii="宋体" w:hAnsi="宋体"/>
                <w:color w:val="auto"/>
                <w:szCs w:val="21"/>
                <w:highlight w:val="none"/>
              </w:rPr>
              <w:t>本项目不接受联合体</w:t>
            </w:r>
            <w:r>
              <w:rPr>
                <w:rFonts w:hint="eastAsia" w:ascii="宋体" w:hAnsi="宋体"/>
                <w:color w:val="auto"/>
                <w:szCs w:val="21"/>
                <w:highlight w:val="none"/>
                <w:lang w:val="en-US" w:eastAsia="zh-CN"/>
              </w:rPr>
              <w:t>响应</w:t>
            </w:r>
          </w:p>
        </w:tc>
        <w:tc>
          <w:tcPr>
            <w:tcW w:w="6647" w:type="dxa"/>
            <w:vAlign w:val="center"/>
          </w:tcPr>
          <w:p w14:paraId="5BE049B7">
            <w:pPr>
              <w:tabs>
                <w:tab w:val="left" w:pos="0"/>
              </w:tabs>
              <w:rPr>
                <w:rFonts w:ascii="宋体" w:hAnsi="宋体"/>
                <w:color w:val="auto"/>
                <w:szCs w:val="21"/>
                <w:highlight w:val="none"/>
              </w:rPr>
            </w:pPr>
            <w:r>
              <w:rPr>
                <w:rFonts w:hint="eastAsia" w:ascii="宋体" w:hAnsi="宋体"/>
                <w:color w:val="auto"/>
                <w:szCs w:val="21"/>
                <w:highlight w:val="none"/>
              </w:rPr>
              <w:t>按磋商</w:t>
            </w:r>
            <w:r>
              <w:rPr>
                <w:rFonts w:hint="eastAsia" w:ascii="宋体" w:hAnsi="宋体"/>
                <w:bCs/>
                <w:color w:val="auto"/>
                <w:szCs w:val="21"/>
                <w:highlight w:val="none"/>
              </w:rPr>
              <w:t>文件</w:t>
            </w:r>
            <w:r>
              <w:rPr>
                <w:rFonts w:hint="eastAsia" w:ascii="宋体" w:hAnsi="宋体"/>
                <w:color w:val="auto"/>
                <w:szCs w:val="21"/>
                <w:highlight w:val="none"/>
              </w:rPr>
              <w:t>要求</w:t>
            </w:r>
          </w:p>
        </w:tc>
      </w:tr>
      <w:tr w14:paraId="12FE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96" w:type="dxa"/>
            <w:vMerge w:val="continue"/>
          </w:tcPr>
          <w:p w14:paraId="256B6B8B">
            <w:pPr>
              <w:tabs>
                <w:tab w:val="left" w:pos="480"/>
              </w:tabs>
              <w:ind w:left="480" w:hanging="480"/>
              <w:jc w:val="center"/>
              <w:rPr>
                <w:rFonts w:ascii="宋体" w:hAnsi="宋体"/>
                <w:b/>
                <w:bCs/>
                <w:color w:val="auto"/>
                <w:szCs w:val="21"/>
                <w:highlight w:val="none"/>
              </w:rPr>
            </w:pPr>
          </w:p>
        </w:tc>
        <w:tc>
          <w:tcPr>
            <w:tcW w:w="1992" w:type="dxa"/>
            <w:vAlign w:val="center"/>
          </w:tcPr>
          <w:p w14:paraId="69EA63DA">
            <w:pPr>
              <w:tabs>
                <w:tab w:val="left" w:pos="146"/>
              </w:tabs>
              <w:rPr>
                <w:rFonts w:ascii="宋体" w:hAnsi="宋体"/>
                <w:b/>
                <w:bCs/>
                <w:color w:val="auto"/>
                <w:szCs w:val="21"/>
                <w:highlight w:val="none"/>
              </w:rPr>
            </w:pPr>
            <w:r>
              <w:rPr>
                <w:rFonts w:hint="eastAsia" w:ascii="宋体" w:hAnsi="宋体"/>
                <w:color w:val="auto"/>
                <w:szCs w:val="21"/>
                <w:highlight w:val="none"/>
              </w:rPr>
              <w:t>其他要求</w:t>
            </w:r>
          </w:p>
        </w:tc>
        <w:tc>
          <w:tcPr>
            <w:tcW w:w="6647" w:type="dxa"/>
            <w:vAlign w:val="center"/>
          </w:tcPr>
          <w:p w14:paraId="1AC1CC3C">
            <w:pPr>
              <w:tabs>
                <w:tab w:val="left" w:pos="0"/>
              </w:tabs>
              <w:rPr>
                <w:rFonts w:ascii="宋体" w:hAnsi="宋体"/>
                <w:b/>
                <w:bCs/>
                <w:color w:val="auto"/>
                <w:szCs w:val="21"/>
                <w:highlight w:val="none"/>
              </w:rPr>
            </w:pPr>
            <w:r>
              <w:rPr>
                <w:rFonts w:hint="eastAsia" w:ascii="宋体" w:hAnsi="宋体"/>
                <w:color w:val="auto"/>
                <w:szCs w:val="21"/>
                <w:highlight w:val="none"/>
              </w:rPr>
              <w:t>按投标资料清单中规定提供“必须提交”的文件资料</w:t>
            </w:r>
          </w:p>
        </w:tc>
      </w:tr>
      <w:tr w14:paraId="463A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9735" w:type="dxa"/>
            <w:gridSpan w:val="3"/>
          </w:tcPr>
          <w:p w14:paraId="18FA8956">
            <w:pPr>
              <w:spacing w:line="360" w:lineRule="auto"/>
              <w:rPr>
                <w:rFonts w:ascii="宋体"/>
                <w:color w:val="auto"/>
                <w:szCs w:val="21"/>
                <w:highlight w:val="none"/>
              </w:rPr>
            </w:pPr>
            <w:r>
              <w:rPr>
                <w:rFonts w:hint="eastAsia" w:ascii="宋体"/>
                <w:color w:val="auto"/>
                <w:szCs w:val="21"/>
                <w:highlight w:val="none"/>
              </w:rPr>
              <w:t>备注：</w:t>
            </w:r>
          </w:p>
          <w:p w14:paraId="189C3E02">
            <w:pPr>
              <w:spacing w:line="360" w:lineRule="auto"/>
              <w:rPr>
                <w:rFonts w:ascii="宋体"/>
                <w:color w:val="auto"/>
                <w:szCs w:val="21"/>
                <w:highlight w:val="none"/>
              </w:rPr>
            </w:pPr>
            <w:r>
              <w:rPr>
                <w:rFonts w:hint="eastAsia" w:ascii="宋体"/>
                <w:color w:val="auto"/>
                <w:szCs w:val="21"/>
                <w:highlight w:val="none"/>
              </w:rPr>
              <w:t>1、每一项目符合的打“ √ ”不符合的打“ × ”；出现一个“ × ”的结论为“不合格”</w:t>
            </w:r>
          </w:p>
          <w:p w14:paraId="632F0AF4">
            <w:pPr>
              <w:tabs>
                <w:tab w:val="left" w:pos="0"/>
              </w:tabs>
              <w:rPr>
                <w:rFonts w:ascii="宋体" w:hAnsi="宋体"/>
                <w:color w:val="auto"/>
                <w:szCs w:val="21"/>
                <w:highlight w:val="none"/>
              </w:rPr>
            </w:pPr>
            <w:r>
              <w:rPr>
                <w:rFonts w:hint="eastAsia" w:ascii="宋体"/>
                <w:color w:val="auto"/>
                <w:szCs w:val="21"/>
                <w:highlight w:val="none"/>
              </w:rPr>
              <w:t>2、“结论”一栏填写“合格”或“不合格”。三分之二以上的评委认为合格方为有效，否则视为不合格。</w:t>
            </w:r>
          </w:p>
        </w:tc>
      </w:tr>
    </w:tbl>
    <w:p w14:paraId="6A8C52C9">
      <w:pPr>
        <w:rPr>
          <w:vanish/>
          <w:color w:val="auto"/>
          <w:highlight w:val="none"/>
        </w:rPr>
      </w:pPr>
    </w:p>
    <w:bookmarkEnd w:id="426"/>
    <w:bookmarkEnd w:id="427"/>
    <w:bookmarkEnd w:id="428"/>
    <w:bookmarkEnd w:id="429"/>
    <w:bookmarkEnd w:id="430"/>
    <w:p w14:paraId="1EAA0874">
      <w:pPr>
        <w:pStyle w:val="30"/>
        <w:spacing w:line="480" w:lineRule="exact"/>
        <w:rPr>
          <w:rFonts w:ascii="宋体" w:eastAsia="宋体"/>
          <w:b/>
          <w:color w:val="auto"/>
          <w:sz w:val="21"/>
          <w:szCs w:val="21"/>
          <w:highlight w:val="none"/>
        </w:rPr>
      </w:pPr>
      <w:r>
        <w:rPr>
          <w:rFonts w:hint="eastAsia" w:ascii="宋体" w:eastAsia="宋体"/>
          <w:b/>
          <w:color w:val="auto"/>
          <w:sz w:val="21"/>
          <w:szCs w:val="21"/>
          <w:highlight w:val="none"/>
        </w:rPr>
        <w:t>二、具体评分</w:t>
      </w:r>
    </w:p>
    <w:p w14:paraId="79D8CE28">
      <w:pPr>
        <w:pStyle w:val="1328"/>
        <w:spacing w:line="360" w:lineRule="auto"/>
        <w:contextualSpacing/>
        <w:rPr>
          <w:rFonts w:ascii="宋体" w:hAnsi="Times New Roman"/>
          <w:color w:val="auto"/>
          <w:szCs w:val="21"/>
          <w:highlight w:val="none"/>
        </w:rPr>
      </w:pPr>
      <w:r>
        <w:rPr>
          <w:rFonts w:hint="eastAsia" w:ascii="宋体" w:hAnsi="Times New Roman"/>
          <w:color w:val="auto"/>
          <w:szCs w:val="21"/>
          <w:highlight w:val="none"/>
        </w:rPr>
        <w:t>（一）评定程序</w:t>
      </w:r>
    </w:p>
    <w:p w14:paraId="256142EA">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1、技术评定：由评审小组对每个报价供应商的技术指标响应进行审核和分析；对每个报价供应商的技术指标响应进行评分，将每一个评审小组成员的评分汇集，汇集后取其算术平均值，为该报价供应商的技术评定得分。</w:t>
      </w:r>
    </w:p>
    <w:p w14:paraId="20E28907">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2、商务评定：由评审小组对每个报价供应商的商务指标响应进行审核和分析；对每个报价供应商的商务指标响应进行评分，将每一个评审小组成员的评分汇集，汇集后取其算术平均值，为该报价供应商的商务评定得分。</w:t>
      </w:r>
    </w:p>
    <w:p w14:paraId="2609DD8A">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3、价格评定：</w:t>
      </w:r>
    </w:p>
    <w:p w14:paraId="5DEADA5A">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（1）价格核准：评审小组对有效报价供应商的详细报价进行复核，审查是否有计算上的错误或供货范围上的错误。对错误修正的原则如下：</w:t>
      </w:r>
    </w:p>
    <w:p w14:paraId="76588911">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a.如果用数字表示的金额和用文字表示的金额不一致，以文字表示的金额为准；</w:t>
      </w:r>
    </w:p>
    <w:p w14:paraId="6050982C">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b.当单价和数量的乘积与总价不一致时，以单价为准，并修正总价，但单价金额小数点有明显错误的除外；</w:t>
      </w:r>
    </w:p>
    <w:p w14:paraId="288087BB">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c.当分项之和与总价不一致时，以单价为准，并修正总价。</w:t>
      </w:r>
    </w:p>
    <w:p w14:paraId="0C2A964A">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（2）价格扣除条件：</w:t>
      </w:r>
    </w:p>
    <w:p w14:paraId="7C2B79B4">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a.根据有关规定，评审小组将修正后的入围报价供应商的响应报价进行价格扣除，价格扣除的原则如下：对小型和微型企业（监狱企业、残疾人福利单位视同小型、微型企业）产品在评审时对其响应价格给予 10%的价格扣除。</w:t>
      </w:r>
    </w:p>
    <w:p w14:paraId="2D083955">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b.由评审小组对每个报价供应商的价格扣除条件进行审核和分析；对每个报价供应商的价格扣除条件进行价格扣除。</w:t>
      </w:r>
    </w:p>
    <w:p w14:paraId="0C9403F3">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（3）价格评分：</w:t>
      </w:r>
    </w:p>
    <w:p w14:paraId="71FE8B0C">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价格扣除后的价格评分：将评审小组进行价格扣除后的响应价格，取满足采购文件要求且价格扣除后的最低响应报价作为评标基准价，定评标基准价的价格评分为</w:t>
      </w:r>
      <w:r>
        <w:rPr>
          <w:rFonts w:hint="eastAsia" w:ascii="宋体" w:hAnsi="Times New Roman"/>
          <w:color w:val="auto"/>
          <w:szCs w:val="21"/>
          <w:highlight w:val="none"/>
          <w:lang w:val="en-US" w:eastAsia="zh-CN"/>
        </w:rPr>
        <w:t>3</w:t>
      </w:r>
      <w:r>
        <w:rPr>
          <w:rFonts w:hint="eastAsia" w:ascii="宋体" w:hAnsi="Times New Roman"/>
          <w:color w:val="auto"/>
          <w:szCs w:val="21"/>
          <w:highlight w:val="none"/>
        </w:rPr>
        <w:t>0分。其他报价供应商的价格分按照下列公式计算：</w:t>
      </w:r>
    </w:p>
    <w:p w14:paraId="63199445">
      <w:pPr>
        <w:pStyle w:val="1328"/>
        <w:spacing w:line="360" w:lineRule="auto"/>
        <w:ind w:firstLine="420" w:firstLineChars="200"/>
        <w:contextualSpacing/>
        <w:rPr>
          <w:rFonts w:ascii="宋体" w:hAnsi="Times New Roman"/>
          <w:color w:val="auto"/>
          <w:szCs w:val="21"/>
          <w:highlight w:val="none"/>
        </w:rPr>
      </w:pPr>
      <w:r>
        <w:rPr>
          <w:rFonts w:hint="eastAsia" w:ascii="宋体" w:hAnsi="Times New Roman"/>
          <w:color w:val="auto"/>
          <w:szCs w:val="21"/>
          <w:highlight w:val="none"/>
        </w:rPr>
        <w:t>价格扣除后的响应报价得分＝（评标基准价/价格扣除后的响应报价）×</w:t>
      </w:r>
      <w:r>
        <w:rPr>
          <w:rFonts w:hint="eastAsia" w:ascii="宋体" w:hAnsi="Times New Roman"/>
          <w:color w:val="auto"/>
          <w:szCs w:val="21"/>
          <w:highlight w:val="none"/>
          <w:lang w:val="en-US" w:eastAsia="zh-CN"/>
        </w:rPr>
        <w:t>3</w:t>
      </w:r>
      <w:r>
        <w:rPr>
          <w:rFonts w:hint="eastAsia" w:ascii="宋体" w:hAnsi="Times New Roman"/>
          <w:color w:val="auto"/>
          <w:szCs w:val="21"/>
          <w:highlight w:val="none"/>
        </w:rPr>
        <w:t>0</w:t>
      </w:r>
    </w:p>
    <w:p w14:paraId="5DC50412">
      <w:pPr>
        <w:pStyle w:val="1328"/>
        <w:spacing w:line="360" w:lineRule="auto"/>
        <w:ind w:firstLine="420" w:firstLineChars="200"/>
        <w:contextualSpacing/>
        <w:rPr>
          <w:rFonts w:hint="eastAsia" w:ascii="宋体" w:hAnsi="Times New Roman"/>
          <w:color w:val="auto"/>
          <w:szCs w:val="21"/>
          <w:highlight w:val="none"/>
        </w:rPr>
      </w:pPr>
      <w:r>
        <w:rPr>
          <w:rFonts w:hint="eastAsia" w:ascii="宋体" w:hAnsi="Times New Roman"/>
          <w:color w:val="auto"/>
          <w:szCs w:val="21"/>
          <w:highlight w:val="none"/>
        </w:rPr>
        <w:t>价格评定得分＝价格扣除后的响应报价得分。</w:t>
      </w:r>
    </w:p>
    <w:p w14:paraId="6FB02077">
      <w:pPr>
        <w:pStyle w:val="1328"/>
        <w:spacing w:line="360" w:lineRule="auto"/>
        <w:contextualSpacing/>
        <w:rPr>
          <w:rFonts w:hint="eastAsia" w:ascii="宋体" w:hAnsi="Times New Roman"/>
          <w:color w:val="auto"/>
          <w:szCs w:val="21"/>
          <w:highlight w:val="none"/>
          <w:lang w:eastAsia="zh-CN"/>
        </w:rPr>
      </w:pPr>
      <w:r>
        <w:rPr>
          <w:rFonts w:hint="eastAsia" w:ascii="宋体" w:hAnsi="Times New Roman"/>
          <w:color w:val="auto"/>
          <w:szCs w:val="21"/>
          <w:highlight w:val="none"/>
          <w:lang w:eastAsia="zh-CN"/>
        </w:rPr>
        <w:t>（</w:t>
      </w:r>
      <w:r>
        <w:rPr>
          <w:rFonts w:hint="eastAsia" w:ascii="宋体" w:hAnsi="Times New Roman"/>
          <w:color w:val="auto"/>
          <w:szCs w:val="21"/>
          <w:highlight w:val="none"/>
          <w:lang w:val="en-US" w:eastAsia="zh-CN"/>
        </w:rPr>
        <w:t>二</w:t>
      </w:r>
      <w:r>
        <w:rPr>
          <w:rFonts w:hint="eastAsia" w:ascii="宋体" w:hAnsi="Times New Roman"/>
          <w:color w:val="auto"/>
          <w:szCs w:val="21"/>
          <w:highlight w:val="none"/>
          <w:lang w:eastAsia="zh-CN"/>
        </w:rPr>
        <w:t>）异常低价审查</w:t>
      </w:r>
    </w:p>
    <w:p w14:paraId="3A3787B0">
      <w:pPr>
        <w:pStyle w:val="1328"/>
        <w:spacing w:line="360" w:lineRule="auto"/>
        <w:ind w:firstLine="420" w:firstLineChars="200"/>
        <w:contextualSpacing/>
        <w:rPr>
          <w:rFonts w:hint="eastAsia" w:ascii="宋体" w:hAnsi="Times New Roman"/>
          <w:color w:val="auto"/>
          <w:szCs w:val="21"/>
          <w:highlight w:val="none"/>
          <w:lang w:eastAsia="zh-CN"/>
        </w:rPr>
      </w:pPr>
      <w:r>
        <w:rPr>
          <w:rFonts w:hint="eastAsia" w:ascii="宋体" w:hAnsi="Times New Roman"/>
          <w:color w:val="auto"/>
          <w:szCs w:val="21"/>
          <w:highlight w:val="none"/>
          <w:lang w:eastAsia="zh-CN"/>
        </w:rPr>
        <w:t>异常低价审查。政府采购评审中出现采购文件明确的异常低价情形，评审</w:t>
      </w:r>
      <w:r>
        <w:rPr>
          <w:rFonts w:hint="eastAsia" w:ascii="宋体" w:hAnsi="Times New Roman"/>
          <w:color w:val="auto"/>
          <w:szCs w:val="21"/>
          <w:highlight w:val="none"/>
          <w:lang w:val="en-US" w:eastAsia="zh-CN"/>
        </w:rPr>
        <w:t>小组</w:t>
      </w:r>
      <w:r>
        <w:rPr>
          <w:rFonts w:hint="eastAsia" w:ascii="宋体" w:hAnsi="Times New Roman"/>
          <w:color w:val="auto"/>
          <w:szCs w:val="21"/>
          <w:highlight w:val="none"/>
          <w:lang w:eastAsia="zh-CN"/>
        </w:rPr>
        <w:t>应当启动异常低价投标（响应）审查程序。</w:t>
      </w:r>
    </w:p>
    <w:p w14:paraId="005EE70F">
      <w:pPr>
        <w:pStyle w:val="1328"/>
        <w:spacing w:line="360" w:lineRule="auto"/>
        <w:ind w:firstLine="420" w:firstLineChars="200"/>
        <w:contextualSpacing/>
        <w:rPr>
          <w:rFonts w:hint="eastAsia" w:ascii="宋体" w:hAnsi="Times New Roman"/>
          <w:color w:val="auto"/>
          <w:szCs w:val="21"/>
          <w:highlight w:val="none"/>
          <w:lang w:eastAsia="zh-CN"/>
        </w:rPr>
      </w:pPr>
      <w:r>
        <w:rPr>
          <w:rFonts w:hint="eastAsia" w:ascii="宋体" w:hAnsi="Times New Roman"/>
          <w:color w:val="auto"/>
          <w:szCs w:val="21"/>
          <w:highlight w:val="none"/>
          <w:lang w:eastAsia="zh-CN"/>
        </w:rPr>
        <w:t>评审</w:t>
      </w:r>
      <w:r>
        <w:rPr>
          <w:rFonts w:hint="eastAsia" w:ascii="宋体" w:hAnsi="Times New Roman"/>
          <w:color w:val="auto"/>
          <w:szCs w:val="21"/>
          <w:highlight w:val="none"/>
          <w:lang w:val="en-US" w:eastAsia="zh-CN"/>
        </w:rPr>
        <w:t>小组</w:t>
      </w:r>
      <w:r>
        <w:rPr>
          <w:rFonts w:hint="eastAsia" w:ascii="宋体" w:hAnsi="Times New Roman"/>
          <w:color w:val="auto"/>
          <w:szCs w:val="21"/>
          <w:highlight w:val="none"/>
          <w:lang w:eastAsia="zh-CN"/>
        </w:rPr>
        <w:t>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14:paraId="14CEE11E">
      <w:pPr>
        <w:pStyle w:val="1328"/>
        <w:spacing w:line="360" w:lineRule="auto"/>
        <w:ind w:firstLine="420" w:firstLineChars="200"/>
        <w:contextualSpacing/>
        <w:rPr>
          <w:rFonts w:hint="eastAsia" w:ascii="宋体" w:hAnsi="Times New Roman"/>
          <w:color w:val="auto"/>
          <w:szCs w:val="21"/>
          <w:highlight w:val="none"/>
          <w:lang w:eastAsia="zh-CN"/>
        </w:rPr>
      </w:pPr>
      <w:r>
        <w:rPr>
          <w:rFonts w:hint="eastAsia" w:ascii="宋体" w:hAnsi="Times New Roman"/>
          <w:color w:val="auto"/>
          <w:szCs w:val="21"/>
          <w:highlight w:val="none"/>
          <w:lang w:eastAsia="zh-CN"/>
        </w:rPr>
        <w:t>被启动异常低价审查的供应商，如果不提供书面说明、证明材料，或者提供的书面说明、证明材料不能证明其报价合理性的，应当将其作为无效投标（响应）处理。</w:t>
      </w:r>
    </w:p>
    <w:p w14:paraId="6EF4E9AA">
      <w:pPr>
        <w:pStyle w:val="1328"/>
        <w:spacing w:line="360" w:lineRule="auto"/>
        <w:ind w:firstLine="420" w:firstLineChars="200"/>
        <w:contextualSpacing/>
        <w:rPr>
          <w:rFonts w:hint="eastAsia" w:ascii="宋体" w:hAnsi="Times New Roman"/>
          <w:color w:val="auto"/>
          <w:szCs w:val="21"/>
          <w:highlight w:val="none"/>
          <w:lang w:eastAsia="zh-CN"/>
        </w:rPr>
      </w:pPr>
      <w:r>
        <w:rPr>
          <w:rFonts w:hint="eastAsia" w:ascii="宋体" w:hAnsi="Times New Roman"/>
          <w:color w:val="auto"/>
          <w:szCs w:val="21"/>
          <w:highlight w:val="none"/>
          <w:lang w:eastAsia="zh-CN"/>
        </w:rPr>
        <w:t>通过异常低价审查的不足3家，不得进入详细评审。</w:t>
      </w:r>
    </w:p>
    <w:p w14:paraId="526E91A3">
      <w:pPr>
        <w:pStyle w:val="1328"/>
        <w:spacing w:line="360" w:lineRule="auto"/>
        <w:contextualSpacing/>
        <w:rPr>
          <w:rFonts w:ascii="宋体" w:hAnsi="Times New Roman"/>
          <w:color w:val="auto"/>
          <w:szCs w:val="21"/>
          <w:highlight w:val="none"/>
        </w:rPr>
      </w:pPr>
      <w:r>
        <w:rPr>
          <w:rFonts w:hint="eastAsia" w:ascii="宋体" w:hAnsi="Times New Roman"/>
          <w:color w:val="auto"/>
          <w:szCs w:val="21"/>
          <w:highlight w:val="none"/>
        </w:rPr>
        <w:t>（</w:t>
      </w:r>
      <w:r>
        <w:rPr>
          <w:rFonts w:hint="eastAsia" w:ascii="宋体" w:hAnsi="Times New Roman"/>
          <w:color w:val="auto"/>
          <w:szCs w:val="21"/>
          <w:highlight w:val="none"/>
          <w:lang w:val="en-US" w:eastAsia="zh-CN"/>
        </w:rPr>
        <w:t>三</w:t>
      </w:r>
      <w:r>
        <w:rPr>
          <w:rFonts w:hint="eastAsia" w:ascii="宋体" w:hAnsi="Times New Roman"/>
          <w:color w:val="auto"/>
          <w:szCs w:val="21"/>
          <w:highlight w:val="none"/>
        </w:rPr>
        <w:t>）综合得分的计算</w:t>
      </w:r>
    </w:p>
    <w:p w14:paraId="7648757F">
      <w:pPr>
        <w:pStyle w:val="1328"/>
        <w:spacing w:line="360" w:lineRule="auto"/>
        <w:ind w:firstLine="200"/>
        <w:contextualSpacing/>
        <w:rPr>
          <w:rFonts w:ascii="宋体" w:hAnsi="Times New Roman"/>
          <w:color w:val="auto"/>
          <w:szCs w:val="21"/>
          <w:highlight w:val="none"/>
        </w:rPr>
      </w:pPr>
      <w:r>
        <w:rPr>
          <w:rFonts w:hint="eastAsia" w:ascii="宋体" w:hAnsi="Times New Roman"/>
          <w:color w:val="auto"/>
          <w:szCs w:val="21"/>
          <w:highlight w:val="none"/>
        </w:rPr>
        <w:t>1、综合得分=商务评定得分+技术部分评定得分+价格评定得分；</w:t>
      </w:r>
    </w:p>
    <w:p w14:paraId="5A8FE10E">
      <w:pPr>
        <w:pStyle w:val="1328"/>
        <w:spacing w:line="360" w:lineRule="auto"/>
        <w:ind w:firstLine="200"/>
        <w:contextualSpacing/>
        <w:rPr>
          <w:rFonts w:ascii="宋体" w:hAnsi="Times New Roman"/>
          <w:color w:val="auto"/>
          <w:szCs w:val="21"/>
          <w:highlight w:val="none"/>
        </w:rPr>
      </w:pPr>
      <w:r>
        <w:rPr>
          <w:rFonts w:hint="eastAsia" w:ascii="宋体" w:hAnsi="Times New Roman"/>
          <w:color w:val="auto"/>
          <w:szCs w:val="21"/>
          <w:highlight w:val="none"/>
        </w:rPr>
        <w:t>2、在评标过程中所有计算结果均精确到小数点后两位，第三位小数四舍五入；</w:t>
      </w:r>
    </w:p>
    <w:p w14:paraId="576D6BCA">
      <w:pPr>
        <w:pStyle w:val="1328"/>
        <w:spacing w:line="360" w:lineRule="auto"/>
        <w:ind w:firstLine="200"/>
        <w:contextualSpacing/>
        <w:rPr>
          <w:rFonts w:ascii="宋体" w:hAnsi="Times New Roman"/>
          <w:color w:val="auto"/>
          <w:szCs w:val="21"/>
          <w:highlight w:val="none"/>
        </w:rPr>
      </w:pPr>
      <w:r>
        <w:rPr>
          <w:rFonts w:hint="eastAsia" w:ascii="宋体" w:hAnsi="Times New Roman"/>
          <w:color w:val="auto"/>
          <w:szCs w:val="21"/>
          <w:highlight w:val="none"/>
        </w:rPr>
        <w:t>3、将综合得分从高到低排出名次，综合得分最高的第一名为第一</w:t>
      </w:r>
      <w:r>
        <w:rPr>
          <w:rFonts w:hint="eastAsia" w:ascii="宋体" w:hAnsi="Times New Roman"/>
          <w:color w:val="auto"/>
          <w:szCs w:val="21"/>
          <w:highlight w:val="none"/>
          <w:lang w:val="en-US" w:eastAsia="zh-CN"/>
        </w:rPr>
        <w:t>成交</w:t>
      </w:r>
      <w:r>
        <w:rPr>
          <w:rFonts w:hint="eastAsia" w:ascii="宋体" w:hAnsi="Times New Roman"/>
          <w:color w:val="auto"/>
          <w:szCs w:val="21"/>
          <w:highlight w:val="none"/>
        </w:rPr>
        <w:t>候选供应商，第二名为第二</w:t>
      </w:r>
      <w:r>
        <w:rPr>
          <w:rFonts w:hint="eastAsia" w:ascii="宋体" w:hAnsi="Times New Roman"/>
          <w:color w:val="auto"/>
          <w:szCs w:val="21"/>
          <w:highlight w:val="none"/>
          <w:lang w:val="en-US" w:eastAsia="zh-CN"/>
        </w:rPr>
        <w:t>成交</w:t>
      </w:r>
      <w:r>
        <w:rPr>
          <w:rFonts w:hint="eastAsia" w:ascii="宋体" w:hAnsi="Times New Roman"/>
          <w:color w:val="auto"/>
          <w:szCs w:val="21"/>
          <w:highlight w:val="none"/>
        </w:rPr>
        <w:t>候选供应商，以此类推。</w:t>
      </w:r>
    </w:p>
    <w:p w14:paraId="04B9AB79">
      <w:pPr>
        <w:pStyle w:val="1328"/>
        <w:spacing w:line="360" w:lineRule="auto"/>
        <w:ind w:firstLine="200"/>
        <w:contextualSpacing/>
        <w:rPr>
          <w:rFonts w:ascii="宋体" w:hAnsi="Times New Roman"/>
          <w:color w:val="auto"/>
          <w:szCs w:val="21"/>
          <w:highlight w:val="none"/>
        </w:rPr>
      </w:pPr>
      <w:r>
        <w:rPr>
          <w:rFonts w:hint="eastAsia" w:ascii="宋体" w:hAnsi="Times New Roman"/>
          <w:color w:val="auto"/>
          <w:szCs w:val="21"/>
          <w:highlight w:val="none"/>
        </w:rPr>
        <w:t>4、如果综合得分相同的，按响应报价由低到高顺序排列。综合得分和响应报价都相同的，按现场评分由高到低顺序排列。</w:t>
      </w:r>
    </w:p>
    <w:p w14:paraId="05E06400">
      <w:pPr>
        <w:pStyle w:val="1328"/>
        <w:spacing w:line="360" w:lineRule="auto"/>
        <w:contextualSpacing/>
        <w:rPr>
          <w:rFonts w:hint="eastAsia" w:ascii="宋体" w:hAnsi="Times New Roman"/>
          <w:color w:val="auto"/>
          <w:szCs w:val="21"/>
          <w:highlight w:val="none"/>
        </w:rPr>
      </w:pPr>
      <w:r>
        <w:rPr>
          <w:rFonts w:hint="eastAsia" w:ascii="宋体" w:hAnsi="Times New Roman"/>
          <w:color w:val="auto"/>
          <w:szCs w:val="21"/>
          <w:highlight w:val="none"/>
        </w:rPr>
        <w:t>（</w:t>
      </w:r>
      <w:r>
        <w:rPr>
          <w:rFonts w:hint="eastAsia" w:ascii="宋体" w:hAnsi="Times New Roman"/>
          <w:color w:val="auto"/>
          <w:szCs w:val="21"/>
          <w:highlight w:val="none"/>
          <w:lang w:val="en-US" w:eastAsia="zh-CN"/>
        </w:rPr>
        <w:t>四</w:t>
      </w:r>
      <w:r>
        <w:rPr>
          <w:rFonts w:hint="eastAsia" w:ascii="宋体" w:hAnsi="Times New Roman"/>
          <w:color w:val="auto"/>
          <w:szCs w:val="21"/>
          <w:highlight w:val="none"/>
        </w:rPr>
        <w:t>）替补机制：</w:t>
      </w:r>
      <w:r>
        <w:rPr>
          <w:rFonts w:hint="eastAsia" w:ascii="宋体" w:hAnsi="Times New Roman"/>
          <w:color w:val="auto"/>
          <w:szCs w:val="21"/>
          <w:highlight w:val="none"/>
          <w:lang w:val="en-US" w:eastAsia="zh-CN"/>
        </w:rPr>
        <w:t>成交</w:t>
      </w:r>
      <w:r>
        <w:rPr>
          <w:rFonts w:hint="eastAsia" w:ascii="宋体" w:hAnsi="Times New Roman"/>
          <w:color w:val="auto"/>
          <w:szCs w:val="21"/>
          <w:highlight w:val="none"/>
        </w:rPr>
        <w:t>候选人的第2-3名（如有）为该项目替补供应商。报价供应商数量少于3个或者报价供应商须知前附表规定的人数的，采购人不得开标，应当重新采购。</w:t>
      </w:r>
    </w:p>
    <w:tbl>
      <w:tblPr>
        <w:tblStyle w:val="62"/>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17"/>
        <w:gridCol w:w="7598"/>
        <w:gridCol w:w="7"/>
        <w:gridCol w:w="709"/>
      </w:tblGrid>
      <w:tr w14:paraId="31E0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5" w:hRule="atLeast"/>
          <w:jc w:val="center"/>
        </w:trPr>
        <w:tc>
          <w:tcPr>
            <w:tcW w:w="9752" w:type="dxa"/>
            <w:gridSpan w:val="5"/>
            <w:shd w:val="clear" w:color="auto" w:fill="auto"/>
            <w:vAlign w:val="center"/>
          </w:tcPr>
          <w:p w14:paraId="25BC0718">
            <w:pPr>
              <w:spacing w:line="360" w:lineRule="auto"/>
              <w:ind w:left="439"/>
              <w:jc w:val="center"/>
              <w:rPr>
                <w:rFonts w:ascii="宋体" w:hAnsi="宋体" w:cs="宋体"/>
                <w:bCs/>
                <w:color w:val="auto"/>
                <w:szCs w:val="21"/>
                <w:highlight w:val="none"/>
              </w:rPr>
            </w:pPr>
            <w:bookmarkStart w:id="436" w:name="_Hlt86827122"/>
            <w:bookmarkEnd w:id="436"/>
            <w:bookmarkStart w:id="437" w:name="_Hlt520356241"/>
            <w:bookmarkEnd w:id="437"/>
            <w:bookmarkStart w:id="438" w:name="_Toc35421488"/>
            <w:r>
              <w:rPr>
                <w:color w:val="auto"/>
                <w:szCs w:val="21"/>
                <w:highlight w:val="none"/>
              </w:rPr>
              <w:br w:type="page"/>
            </w:r>
            <w:bookmarkEnd w:id="438"/>
            <w:r>
              <w:rPr>
                <w:color w:val="auto"/>
                <w:szCs w:val="21"/>
                <w:highlight w:val="none"/>
              </w:rPr>
              <w:br w:type="page"/>
            </w:r>
            <w:r>
              <w:rPr>
                <w:rFonts w:hint="eastAsia" w:ascii="宋体" w:hAnsi="宋体" w:cs="宋体"/>
                <w:b/>
                <w:color w:val="auto"/>
                <w:kern w:val="0"/>
                <w:szCs w:val="21"/>
                <w:highlight w:val="none"/>
              </w:rPr>
              <w:t>商务部分评分表</w:t>
            </w:r>
          </w:p>
        </w:tc>
      </w:tr>
      <w:tr w14:paraId="02DA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421" w:type="dxa"/>
            <w:shd w:val="clear" w:color="auto" w:fill="auto"/>
            <w:vAlign w:val="center"/>
          </w:tcPr>
          <w:p w14:paraId="5B2DFD43">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评审内容</w:t>
            </w:r>
          </w:p>
        </w:tc>
        <w:tc>
          <w:tcPr>
            <w:tcW w:w="7615" w:type="dxa"/>
            <w:gridSpan w:val="2"/>
            <w:shd w:val="clear" w:color="auto" w:fill="auto"/>
            <w:vAlign w:val="center"/>
          </w:tcPr>
          <w:p w14:paraId="486B239E">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评审标准</w:t>
            </w:r>
          </w:p>
        </w:tc>
        <w:tc>
          <w:tcPr>
            <w:tcW w:w="716" w:type="dxa"/>
            <w:gridSpan w:val="2"/>
            <w:shd w:val="clear" w:color="auto" w:fill="auto"/>
            <w:vAlign w:val="center"/>
          </w:tcPr>
          <w:p w14:paraId="52C95506">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分值</w:t>
            </w:r>
          </w:p>
        </w:tc>
      </w:tr>
      <w:tr w14:paraId="4574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421" w:type="dxa"/>
            <w:shd w:val="clear" w:color="auto" w:fill="auto"/>
            <w:vAlign w:val="center"/>
          </w:tcPr>
          <w:p w14:paraId="7F0A118A">
            <w:pPr>
              <w:pStyle w:val="1459"/>
              <w:spacing w:line="320" w:lineRule="exact"/>
              <w:jc w:val="center"/>
              <w:rPr>
                <w:rFonts w:hint="eastAsia" w:ascii="宋体" w:hAnsi="宋体" w:eastAsia="宋体" w:cs="宋体"/>
                <w:color w:val="auto"/>
                <w:highlight w:val="none"/>
                <w:lang w:val="en-US" w:eastAsia="zh-CN"/>
              </w:rPr>
            </w:pPr>
            <w:r>
              <w:rPr>
                <w:rFonts w:ascii="宋体" w:hAnsi="宋体" w:eastAsia="宋体" w:cs="宋体"/>
                <w:color w:val="auto"/>
                <w:highlight w:val="none"/>
              </w:rPr>
              <w:t xml:space="preserve">同类项目业绩 </w:t>
            </w:r>
          </w:p>
        </w:tc>
        <w:tc>
          <w:tcPr>
            <w:tcW w:w="7615" w:type="dxa"/>
            <w:gridSpan w:val="2"/>
            <w:shd w:val="clear" w:color="auto" w:fill="auto"/>
            <w:vAlign w:val="center"/>
          </w:tcPr>
          <w:p w14:paraId="4493E283">
            <w:pPr>
              <w:pStyle w:val="1459"/>
              <w:spacing w:line="320" w:lineRule="exact"/>
              <w:jc w:val="left"/>
              <w:rPr>
                <w:rFonts w:hint="default" w:ascii="宋体" w:hAnsi="宋体" w:eastAsia="宋体" w:cs="宋体"/>
                <w:color w:val="auto"/>
                <w:highlight w:val="none"/>
              </w:rPr>
            </w:pPr>
            <w:r>
              <w:rPr>
                <w:rFonts w:ascii="宋体" w:hAnsi="宋体" w:eastAsia="宋体" w:cs="宋体"/>
                <w:color w:val="auto"/>
                <w:highlight w:val="none"/>
              </w:rPr>
              <w:t>提供202</w:t>
            </w:r>
            <w:r>
              <w:rPr>
                <w:rFonts w:hint="eastAsia" w:ascii="宋体" w:hAnsi="宋体" w:eastAsia="宋体" w:cs="宋体"/>
                <w:color w:val="auto"/>
                <w:highlight w:val="none"/>
                <w:lang w:val="en-US" w:eastAsia="zh-CN"/>
              </w:rPr>
              <w:t>4</w:t>
            </w:r>
            <w:r>
              <w:rPr>
                <w:rFonts w:ascii="宋体" w:hAnsi="宋体" w:eastAsia="宋体" w:cs="宋体"/>
                <w:color w:val="auto"/>
                <w:highlight w:val="none"/>
              </w:rPr>
              <w:t>年1月1日至今（以合同签订时间为准）的同类（指含有本次采购服务的同类）项目业绩，每个得</w:t>
            </w:r>
            <w:r>
              <w:rPr>
                <w:rFonts w:hint="eastAsia" w:ascii="宋体" w:hAnsi="宋体" w:eastAsia="宋体" w:cs="宋体"/>
                <w:color w:val="auto"/>
                <w:highlight w:val="none"/>
                <w:lang w:val="en-US" w:eastAsia="zh-CN"/>
              </w:rPr>
              <w:t>2</w:t>
            </w:r>
            <w:r>
              <w:rPr>
                <w:rFonts w:ascii="宋体" w:hAnsi="宋体" w:eastAsia="宋体" w:cs="宋体"/>
                <w:color w:val="auto"/>
                <w:highlight w:val="none"/>
              </w:rPr>
              <w:t>分，最高得</w:t>
            </w:r>
            <w:r>
              <w:rPr>
                <w:rFonts w:hint="eastAsia" w:ascii="宋体" w:hAnsi="宋体" w:eastAsia="宋体" w:cs="宋体"/>
                <w:color w:val="auto"/>
                <w:highlight w:val="none"/>
                <w:lang w:val="en-US" w:eastAsia="zh-CN"/>
              </w:rPr>
              <w:t>6</w:t>
            </w:r>
            <w:r>
              <w:rPr>
                <w:rFonts w:ascii="宋体" w:hAnsi="宋体" w:eastAsia="宋体" w:cs="宋体"/>
                <w:color w:val="auto"/>
                <w:highlight w:val="none"/>
              </w:rPr>
              <w:t>分。</w:t>
            </w:r>
          </w:p>
          <w:p w14:paraId="702DA3D4">
            <w:pPr>
              <w:pStyle w:val="1459"/>
              <w:spacing w:line="320" w:lineRule="exact"/>
              <w:jc w:val="left"/>
              <w:rPr>
                <w:rFonts w:hint="eastAsia" w:ascii="宋体" w:hAnsi="宋体" w:eastAsia="宋体" w:cs="宋体"/>
                <w:color w:val="auto"/>
                <w:highlight w:val="none"/>
                <w:lang w:val="en-US" w:eastAsia="zh-CN"/>
              </w:rPr>
            </w:pPr>
            <w:r>
              <w:rPr>
                <w:rFonts w:ascii="宋体" w:hAnsi="宋体" w:eastAsia="宋体" w:cs="宋体"/>
                <w:color w:val="auto"/>
                <w:highlight w:val="none"/>
              </w:rPr>
              <w:t>注：提供项目的合同复印件加盖</w:t>
            </w:r>
            <w:r>
              <w:rPr>
                <w:rFonts w:hint="eastAsia" w:ascii="宋体" w:hAnsi="宋体" w:eastAsia="宋体" w:cs="宋体"/>
                <w:color w:val="auto"/>
                <w:highlight w:val="none"/>
                <w:lang w:eastAsia="zh-CN"/>
              </w:rPr>
              <w:t>供应商</w:t>
            </w:r>
            <w:r>
              <w:rPr>
                <w:rFonts w:ascii="宋体" w:hAnsi="宋体" w:eastAsia="宋体" w:cs="宋体"/>
                <w:color w:val="auto"/>
                <w:highlight w:val="none"/>
              </w:rPr>
              <w:t>公章，不提供不得分。</w:t>
            </w:r>
          </w:p>
        </w:tc>
        <w:tc>
          <w:tcPr>
            <w:tcW w:w="716" w:type="dxa"/>
            <w:gridSpan w:val="2"/>
            <w:shd w:val="clear" w:color="auto" w:fill="auto"/>
            <w:vAlign w:val="center"/>
          </w:tcPr>
          <w:p w14:paraId="5DF10586">
            <w:pPr>
              <w:pStyle w:val="1328"/>
              <w:spacing w:line="36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6分</w:t>
            </w:r>
          </w:p>
        </w:tc>
      </w:tr>
      <w:tr w14:paraId="200C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1" w:type="dxa"/>
            <w:shd w:val="clear" w:color="auto" w:fill="auto"/>
            <w:vAlign w:val="center"/>
          </w:tcPr>
          <w:p w14:paraId="31EC8A47">
            <w:pPr>
              <w:pStyle w:val="1459"/>
              <w:spacing w:line="320" w:lineRule="exact"/>
              <w:jc w:val="center"/>
              <w:rPr>
                <w:rFonts w:hint="eastAsia" w:ascii="宋体" w:hAnsi="宋体" w:eastAsia="宋体" w:cs="宋体"/>
                <w:color w:val="auto"/>
                <w:highlight w:val="none"/>
                <w:lang w:val="en-US" w:eastAsia="zh-CN"/>
              </w:rPr>
            </w:pPr>
            <w:r>
              <w:rPr>
                <w:rFonts w:ascii="宋体" w:hAnsi="宋体" w:eastAsia="宋体" w:cs="宋体"/>
                <w:color w:val="auto"/>
                <w:highlight w:val="none"/>
              </w:rPr>
              <w:t>项目团队人员实力</w:t>
            </w:r>
          </w:p>
        </w:tc>
        <w:tc>
          <w:tcPr>
            <w:tcW w:w="7615" w:type="dxa"/>
            <w:gridSpan w:val="2"/>
            <w:shd w:val="clear" w:color="auto" w:fill="auto"/>
            <w:vAlign w:val="center"/>
          </w:tcPr>
          <w:p w14:paraId="7283EB6A">
            <w:pPr>
              <w:pStyle w:val="1459"/>
              <w:spacing w:line="320" w:lineRule="exact"/>
              <w:jc w:val="left"/>
              <w:rPr>
                <w:rFonts w:hint="default" w:ascii="宋体" w:hAnsi="宋体" w:eastAsia="宋体" w:cs="宋体"/>
                <w:color w:val="auto"/>
                <w:highlight w:val="none"/>
              </w:rPr>
            </w:pPr>
            <w:r>
              <w:rPr>
                <w:rFonts w:ascii="宋体" w:hAnsi="宋体" w:eastAsia="宋体" w:cs="宋体"/>
                <w:color w:val="auto"/>
                <w:highlight w:val="none"/>
              </w:rPr>
              <w:t>提供食品安全管理员考试合格证明或食品安全管理人员考试合格证明的，得</w:t>
            </w:r>
            <w:r>
              <w:rPr>
                <w:rFonts w:hint="eastAsia" w:ascii="宋体" w:hAnsi="宋体" w:eastAsia="宋体" w:cs="宋体"/>
                <w:color w:val="auto"/>
                <w:highlight w:val="none"/>
                <w:lang w:val="en-US" w:eastAsia="zh-CN"/>
              </w:rPr>
              <w:t>2</w:t>
            </w:r>
            <w:r>
              <w:rPr>
                <w:rFonts w:ascii="宋体" w:hAnsi="宋体" w:eastAsia="宋体" w:cs="宋体"/>
                <w:color w:val="auto"/>
                <w:highlight w:val="none"/>
              </w:rPr>
              <w:t>分，本项最高得</w:t>
            </w:r>
            <w:r>
              <w:rPr>
                <w:rFonts w:hint="eastAsia" w:ascii="宋体" w:hAnsi="宋体" w:eastAsia="宋体" w:cs="宋体"/>
                <w:color w:val="auto"/>
                <w:highlight w:val="none"/>
                <w:lang w:val="en-US" w:eastAsia="zh-CN"/>
              </w:rPr>
              <w:t>8</w:t>
            </w:r>
            <w:r>
              <w:rPr>
                <w:rFonts w:ascii="宋体" w:hAnsi="宋体" w:eastAsia="宋体" w:cs="宋体"/>
                <w:color w:val="auto"/>
                <w:highlight w:val="none"/>
              </w:rPr>
              <w:t>分。</w:t>
            </w:r>
          </w:p>
          <w:p w14:paraId="685243B4">
            <w:pPr>
              <w:pStyle w:val="1459"/>
              <w:spacing w:line="320" w:lineRule="exact"/>
              <w:jc w:val="left"/>
              <w:rPr>
                <w:rFonts w:hint="eastAsia" w:ascii="宋体" w:hAnsi="宋体" w:eastAsia="宋体" w:cs="宋体"/>
                <w:color w:val="auto"/>
                <w:highlight w:val="none"/>
                <w:lang w:val="en-US" w:eastAsia="zh-CN"/>
              </w:rPr>
            </w:pPr>
            <w:r>
              <w:rPr>
                <w:rFonts w:ascii="宋体" w:hAnsi="宋体" w:eastAsia="宋体" w:cs="宋体"/>
                <w:color w:val="auto"/>
                <w:highlight w:val="none"/>
              </w:rPr>
              <w:t>注：提供证书复印件及投标截止日前6个月任意一个月的社保证明材料加盖</w:t>
            </w:r>
            <w:r>
              <w:rPr>
                <w:rFonts w:hint="eastAsia" w:ascii="宋体" w:hAnsi="宋体" w:eastAsia="宋体" w:cs="宋体"/>
                <w:color w:val="auto"/>
                <w:highlight w:val="none"/>
                <w:lang w:eastAsia="zh-CN"/>
              </w:rPr>
              <w:t>供应商</w:t>
            </w:r>
            <w:r>
              <w:rPr>
                <w:rFonts w:ascii="宋体" w:hAnsi="宋体" w:eastAsia="宋体" w:cs="宋体"/>
                <w:color w:val="auto"/>
                <w:highlight w:val="none"/>
              </w:rPr>
              <w:t>公章，不提供不得分。</w:t>
            </w:r>
          </w:p>
        </w:tc>
        <w:tc>
          <w:tcPr>
            <w:tcW w:w="716" w:type="dxa"/>
            <w:gridSpan w:val="2"/>
            <w:shd w:val="clear" w:color="auto" w:fill="auto"/>
            <w:vAlign w:val="center"/>
          </w:tcPr>
          <w:p w14:paraId="48BC657D">
            <w:pPr>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8分</w:t>
            </w:r>
          </w:p>
        </w:tc>
      </w:tr>
      <w:tr w14:paraId="0DDE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jc w:val="center"/>
        </w:trPr>
        <w:tc>
          <w:tcPr>
            <w:tcW w:w="1421" w:type="dxa"/>
            <w:shd w:val="clear" w:color="auto" w:fill="auto"/>
            <w:vAlign w:val="center"/>
          </w:tcPr>
          <w:p w14:paraId="6D04E608">
            <w:pPr>
              <w:pStyle w:val="1459"/>
              <w:spacing w:line="320" w:lineRule="exact"/>
              <w:jc w:val="center"/>
              <w:rPr>
                <w:rFonts w:hint="eastAsia" w:ascii="宋体" w:hAnsi="宋体" w:eastAsia="宋体" w:cs="宋体"/>
                <w:color w:val="auto"/>
                <w:highlight w:val="none"/>
                <w:lang w:val="en-US" w:eastAsia="zh-CN"/>
              </w:rPr>
            </w:pPr>
            <w:r>
              <w:rPr>
                <w:rFonts w:ascii="宋体" w:hAnsi="宋体" w:eastAsia="宋体" w:cs="宋体"/>
                <w:color w:val="auto"/>
                <w:highlight w:val="none"/>
              </w:rPr>
              <w:t>食品安全责任险保障</w:t>
            </w:r>
          </w:p>
        </w:tc>
        <w:tc>
          <w:tcPr>
            <w:tcW w:w="7615" w:type="dxa"/>
            <w:gridSpan w:val="2"/>
            <w:shd w:val="clear" w:color="auto" w:fill="auto"/>
            <w:vAlign w:val="center"/>
          </w:tcPr>
          <w:p w14:paraId="607F2708">
            <w:pPr>
              <w:pStyle w:val="1459"/>
              <w:spacing w:line="320" w:lineRule="exact"/>
              <w:jc w:val="left"/>
              <w:rPr>
                <w:rFonts w:hint="default" w:ascii="宋体" w:hAnsi="宋体" w:eastAsia="宋体" w:cs="宋体"/>
                <w:color w:val="auto"/>
                <w:highlight w:val="none"/>
              </w:rPr>
            </w:pPr>
            <w:r>
              <w:rPr>
                <w:rFonts w:ascii="宋体" w:hAnsi="宋体" w:eastAsia="宋体" w:cs="宋体"/>
                <w:color w:val="auto"/>
                <w:highlight w:val="none"/>
              </w:rPr>
              <w:t>提供食品安全责任险保障，保额壹仟万元及以上的，得</w:t>
            </w:r>
            <w:r>
              <w:rPr>
                <w:rFonts w:hint="eastAsia" w:ascii="宋体" w:hAnsi="宋体" w:eastAsia="宋体" w:cs="宋体"/>
                <w:color w:val="auto"/>
                <w:highlight w:val="none"/>
                <w:lang w:val="en-US" w:eastAsia="zh-CN"/>
              </w:rPr>
              <w:t>1</w:t>
            </w:r>
            <w:r>
              <w:rPr>
                <w:rFonts w:ascii="宋体" w:hAnsi="宋体" w:eastAsia="宋体" w:cs="宋体"/>
                <w:color w:val="auto"/>
                <w:highlight w:val="none"/>
              </w:rPr>
              <w:t>分；保额贰仟万元及以上的，得</w:t>
            </w:r>
            <w:r>
              <w:rPr>
                <w:rFonts w:hint="eastAsia" w:ascii="宋体" w:hAnsi="宋体" w:eastAsia="宋体" w:cs="宋体"/>
                <w:color w:val="auto"/>
                <w:highlight w:val="none"/>
                <w:lang w:val="en-US" w:eastAsia="zh-CN"/>
              </w:rPr>
              <w:t>3</w:t>
            </w:r>
            <w:r>
              <w:rPr>
                <w:rFonts w:ascii="宋体" w:hAnsi="宋体" w:eastAsia="宋体" w:cs="宋体"/>
                <w:color w:val="auto"/>
                <w:highlight w:val="none"/>
              </w:rPr>
              <w:t>分；保额伍仟万元及以上的，得</w:t>
            </w:r>
            <w:r>
              <w:rPr>
                <w:rFonts w:hint="eastAsia" w:ascii="宋体" w:hAnsi="宋体" w:eastAsia="宋体" w:cs="宋体"/>
                <w:color w:val="auto"/>
                <w:highlight w:val="none"/>
                <w:lang w:val="en-US" w:eastAsia="zh-CN"/>
              </w:rPr>
              <w:t>5</w:t>
            </w:r>
            <w:r>
              <w:rPr>
                <w:rFonts w:ascii="宋体" w:hAnsi="宋体" w:eastAsia="宋体" w:cs="宋体"/>
                <w:color w:val="auto"/>
                <w:highlight w:val="none"/>
              </w:rPr>
              <w:t>分，本项最高得</w:t>
            </w:r>
            <w:r>
              <w:rPr>
                <w:rFonts w:hint="eastAsia" w:ascii="宋体" w:hAnsi="宋体" w:eastAsia="宋体" w:cs="宋体"/>
                <w:color w:val="auto"/>
                <w:highlight w:val="none"/>
                <w:lang w:val="en-US" w:eastAsia="zh-CN"/>
              </w:rPr>
              <w:t>5</w:t>
            </w:r>
            <w:r>
              <w:rPr>
                <w:rFonts w:ascii="宋体" w:hAnsi="宋体" w:eastAsia="宋体" w:cs="宋体"/>
                <w:color w:val="auto"/>
                <w:highlight w:val="none"/>
              </w:rPr>
              <w:t>分。</w:t>
            </w:r>
          </w:p>
          <w:p w14:paraId="7630BB91">
            <w:pPr>
              <w:pStyle w:val="1459"/>
              <w:spacing w:line="320" w:lineRule="exact"/>
              <w:jc w:val="left"/>
              <w:rPr>
                <w:rFonts w:hint="eastAsia" w:ascii="宋体" w:hAnsi="宋体" w:eastAsia="宋体" w:cs="宋体"/>
                <w:color w:val="auto"/>
                <w:highlight w:val="none"/>
                <w:lang w:val="en-US" w:eastAsia="zh-CN"/>
              </w:rPr>
            </w:pPr>
            <w:r>
              <w:rPr>
                <w:rFonts w:ascii="宋体" w:hAnsi="宋体" w:eastAsia="宋体" w:cs="宋体"/>
                <w:color w:val="auto"/>
                <w:highlight w:val="none"/>
              </w:rPr>
              <w:t>注：提供上述有效的食品安全责任险保险单、发票的复印件并加盖</w:t>
            </w:r>
            <w:r>
              <w:rPr>
                <w:rFonts w:hint="eastAsia" w:ascii="宋体" w:hAnsi="宋体" w:eastAsia="宋体" w:cs="宋体"/>
                <w:color w:val="auto"/>
                <w:highlight w:val="none"/>
                <w:lang w:eastAsia="zh-CN"/>
              </w:rPr>
              <w:t>供应商</w:t>
            </w:r>
            <w:r>
              <w:rPr>
                <w:rFonts w:ascii="宋体" w:hAnsi="宋体" w:eastAsia="宋体" w:cs="宋体"/>
                <w:color w:val="auto"/>
                <w:highlight w:val="none"/>
              </w:rPr>
              <w:t>公章，保险额均以人民币计算。如</w:t>
            </w:r>
            <w:r>
              <w:rPr>
                <w:rFonts w:hint="eastAsia" w:ascii="宋体" w:hAnsi="宋体" w:eastAsia="宋体" w:cs="宋体"/>
                <w:color w:val="auto"/>
                <w:highlight w:val="none"/>
                <w:lang w:val="en-US" w:eastAsia="zh-CN"/>
              </w:rPr>
              <w:t>响应</w:t>
            </w:r>
            <w:r>
              <w:rPr>
                <w:rFonts w:ascii="宋体" w:hAnsi="宋体" w:eastAsia="宋体" w:cs="宋体"/>
                <w:color w:val="auto"/>
                <w:highlight w:val="none"/>
              </w:rPr>
              <w:t>时未购买食品安全责任险，</w:t>
            </w:r>
            <w:r>
              <w:rPr>
                <w:rFonts w:hint="eastAsia" w:ascii="宋体" w:hAnsi="宋体" w:eastAsia="宋体" w:cs="宋体"/>
                <w:color w:val="auto"/>
                <w:highlight w:val="none"/>
                <w:lang w:eastAsia="zh-CN"/>
              </w:rPr>
              <w:t>供应商</w:t>
            </w:r>
            <w:r>
              <w:rPr>
                <w:rFonts w:ascii="宋体" w:hAnsi="宋体" w:eastAsia="宋体" w:cs="宋体"/>
                <w:color w:val="auto"/>
                <w:highlight w:val="none"/>
              </w:rPr>
              <w:t>须承诺</w:t>
            </w:r>
            <w:r>
              <w:rPr>
                <w:rFonts w:hint="eastAsia" w:ascii="宋体" w:hAnsi="宋体" w:eastAsia="宋体" w:cs="宋体"/>
                <w:color w:val="auto"/>
                <w:highlight w:val="none"/>
                <w:lang w:val="en-US" w:eastAsia="zh-CN"/>
              </w:rPr>
              <w:t>成交</w:t>
            </w:r>
            <w:r>
              <w:rPr>
                <w:rFonts w:ascii="宋体" w:hAnsi="宋体" w:eastAsia="宋体" w:cs="宋体"/>
                <w:color w:val="auto"/>
                <w:highlight w:val="none"/>
              </w:rPr>
              <w:t>后签合同前投保。评审时根据承诺投保的保额得相应的分值，提供《承诺函》，格式自拟，不提供不得分。</w:t>
            </w:r>
          </w:p>
        </w:tc>
        <w:tc>
          <w:tcPr>
            <w:tcW w:w="716" w:type="dxa"/>
            <w:gridSpan w:val="2"/>
            <w:shd w:val="clear" w:color="auto" w:fill="auto"/>
            <w:vAlign w:val="center"/>
          </w:tcPr>
          <w:p w14:paraId="1742AE74">
            <w:pPr>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5分</w:t>
            </w:r>
          </w:p>
        </w:tc>
      </w:tr>
      <w:tr w14:paraId="77A0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1421" w:type="dxa"/>
            <w:shd w:val="clear" w:color="auto" w:fill="auto"/>
            <w:vAlign w:val="center"/>
          </w:tcPr>
          <w:p w14:paraId="76F724CE">
            <w:pPr>
              <w:pStyle w:val="1459"/>
              <w:spacing w:line="320" w:lineRule="exact"/>
              <w:jc w:val="center"/>
              <w:rPr>
                <w:rFonts w:hint="eastAsia" w:ascii="宋体" w:hAnsi="宋体" w:eastAsia="宋体" w:cs="宋体"/>
                <w:color w:val="auto"/>
                <w:highlight w:val="none"/>
                <w:lang w:val="en-US" w:eastAsia="zh-CN"/>
              </w:rPr>
            </w:pPr>
            <w:r>
              <w:rPr>
                <w:rFonts w:ascii="宋体" w:hAnsi="宋体" w:eastAsia="宋体" w:cs="宋体"/>
                <w:color w:val="auto"/>
                <w:highlight w:val="none"/>
              </w:rPr>
              <w:t xml:space="preserve">冷藏配送车 </w:t>
            </w:r>
          </w:p>
        </w:tc>
        <w:tc>
          <w:tcPr>
            <w:tcW w:w="7615" w:type="dxa"/>
            <w:gridSpan w:val="2"/>
            <w:shd w:val="clear" w:color="auto" w:fill="auto"/>
            <w:vAlign w:val="center"/>
          </w:tcPr>
          <w:p w14:paraId="2B3A17C8">
            <w:pPr>
              <w:pStyle w:val="1459"/>
              <w:spacing w:line="320" w:lineRule="exact"/>
              <w:jc w:val="left"/>
              <w:rPr>
                <w:rFonts w:hint="default" w:ascii="宋体" w:hAnsi="宋体" w:eastAsia="宋体" w:cs="宋体"/>
                <w:color w:val="auto"/>
                <w:highlight w:val="none"/>
              </w:rPr>
            </w:pPr>
            <w:r>
              <w:rPr>
                <w:rFonts w:hint="eastAsia" w:ascii="宋体" w:hAnsi="宋体" w:eastAsia="宋体" w:cs="宋体"/>
                <w:color w:val="auto"/>
                <w:highlight w:val="none"/>
                <w:lang w:eastAsia="zh-CN"/>
              </w:rPr>
              <w:t>供应商</w:t>
            </w:r>
            <w:r>
              <w:rPr>
                <w:rFonts w:ascii="宋体" w:hAnsi="宋体" w:eastAsia="宋体" w:cs="宋体"/>
                <w:color w:val="auto"/>
                <w:highlight w:val="none"/>
              </w:rPr>
              <w:t>提供自有或租赁的冷藏配送车辆每台得</w:t>
            </w:r>
            <w:r>
              <w:rPr>
                <w:rFonts w:hint="eastAsia" w:ascii="宋体" w:hAnsi="宋体" w:eastAsia="宋体" w:cs="宋体"/>
                <w:color w:val="auto"/>
                <w:highlight w:val="none"/>
                <w:lang w:val="en-US" w:eastAsia="zh-CN"/>
              </w:rPr>
              <w:t>5</w:t>
            </w:r>
            <w:r>
              <w:rPr>
                <w:rFonts w:ascii="宋体" w:hAnsi="宋体" w:eastAsia="宋体" w:cs="宋体"/>
                <w:color w:val="auto"/>
                <w:highlight w:val="none"/>
              </w:rPr>
              <w:t>分，最高得</w:t>
            </w:r>
            <w:r>
              <w:rPr>
                <w:rFonts w:hint="eastAsia" w:ascii="宋体" w:hAnsi="宋体" w:eastAsia="宋体" w:cs="宋体"/>
                <w:color w:val="auto"/>
                <w:highlight w:val="none"/>
                <w:lang w:val="en-US" w:eastAsia="zh-CN"/>
              </w:rPr>
              <w:t>10</w:t>
            </w:r>
            <w:r>
              <w:rPr>
                <w:rFonts w:ascii="宋体" w:hAnsi="宋体" w:eastAsia="宋体" w:cs="宋体"/>
                <w:color w:val="auto"/>
                <w:highlight w:val="none"/>
              </w:rPr>
              <w:t>分。</w:t>
            </w:r>
          </w:p>
          <w:p w14:paraId="0493A732">
            <w:pPr>
              <w:pStyle w:val="1459"/>
              <w:spacing w:line="320" w:lineRule="exact"/>
              <w:jc w:val="left"/>
              <w:rPr>
                <w:rFonts w:ascii="宋体" w:hAnsi="宋体" w:eastAsia="宋体" w:cs="宋体"/>
                <w:color w:val="auto"/>
                <w:highlight w:val="none"/>
              </w:rPr>
            </w:pPr>
            <w:r>
              <w:rPr>
                <w:rFonts w:ascii="宋体" w:hAnsi="宋体" w:eastAsia="宋体" w:cs="宋体"/>
                <w:color w:val="auto"/>
                <w:highlight w:val="none"/>
              </w:rPr>
              <w:t>注：</w:t>
            </w:r>
          </w:p>
          <w:p w14:paraId="07F6CB3E">
            <w:pPr>
              <w:pStyle w:val="1459"/>
              <w:spacing w:line="320" w:lineRule="exact"/>
              <w:jc w:val="left"/>
              <w:rPr>
                <w:rFonts w:hint="eastAsia" w:ascii="宋体" w:hAnsi="宋体" w:eastAsia="宋体" w:cs="宋体"/>
                <w:color w:val="auto"/>
                <w:highlight w:val="none"/>
                <w:lang w:val="en-US" w:eastAsia="zh-CN"/>
              </w:rPr>
            </w:pPr>
            <w:r>
              <w:rPr>
                <w:rFonts w:ascii="宋体" w:hAnsi="宋体" w:eastAsia="宋体" w:cs="宋体"/>
                <w:color w:val="auto"/>
                <w:highlight w:val="none"/>
              </w:rPr>
              <w:t>1.</w:t>
            </w:r>
            <w:r>
              <w:rPr>
                <w:rFonts w:hint="eastAsia" w:ascii="宋体" w:hAnsi="宋体" w:eastAsia="宋体" w:cs="宋体"/>
                <w:color w:val="auto"/>
                <w:highlight w:val="none"/>
                <w:lang w:val="en-US" w:eastAsia="zh-CN"/>
              </w:rPr>
              <w:t>提供配送车辆的实物照片。（需显示到车牌号，未上牌需显示车架号）</w:t>
            </w:r>
          </w:p>
          <w:p w14:paraId="787EE2BF">
            <w:pPr>
              <w:pStyle w:val="1459"/>
              <w:spacing w:line="320" w:lineRule="exact"/>
              <w:jc w:val="left"/>
              <w:rPr>
                <w:rFonts w:hint="default" w:ascii="宋体" w:hAnsi="宋体" w:eastAsia="宋体" w:cs="宋体"/>
                <w:color w:val="auto"/>
                <w:highlight w:val="none"/>
              </w:rPr>
            </w:pPr>
            <w:r>
              <w:rPr>
                <w:rFonts w:ascii="宋体" w:hAnsi="宋体" w:eastAsia="宋体" w:cs="宋体"/>
                <w:color w:val="auto"/>
                <w:highlight w:val="none"/>
              </w:rPr>
              <w:t>2.所提供的车辆为租赁的还须提供以</w:t>
            </w:r>
            <w:r>
              <w:rPr>
                <w:rFonts w:hint="eastAsia" w:ascii="宋体" w:hAnsi="宋体" w:eastAsia="宋体" w:cs="宋体"/>
                <w:color w:val="auto"/>
                <w:highlight w:val="none"/>
                <w:lang w:eastAsia="zh-CN"/>
              </w:rPr>
              <w:t>供应商</w:t>
            </w:r>
            <w:r>
              <w:rPr>
                <w:rFonts w:ascii="宋体" w:hAnsi="宋体" w:eastAsia="宋体" w:cs="宋体"/>
                <w:color w:val="auto"/>
                <w:highlight w:val="none"/>
              </w:rPr>
              <w:t>名义（含法定代表人）签署的租赁合同复印件。</w:t>
            </w:r>
          </w:p>
          <w:p w14:paraId="757883F1">
            <w:pPr>
              <w:pStyle w:val="1459"/>
              <w:spacing w:line="320" w:lineRule="exact"/>
              <w:jc w:val="left"/>
              <w:rPr>
                <w:rFonts w:hint="eastAsia" w:ascii="宋体" w:hAnsi="宋体" w:eastAsia="宋体" w:cs="宋体"/>
                <w:color w:val="auto"/>
                <w:highlight w:val="none"/>
                <w:lang w:val="en-US" w:eastAsia="zh-CN"/>
              </w:rPr>
            </w:pPr>
            <w:r>
              <w:rPr>
                <w:rFonts w:ascii="宋体" w:hAnsi="宋体" w:eastAsia="宋体" w:cs="宋体"/>
                <w:color w:val="auto"/>
                <w:highlight w:val="none"/>
              </w:rPr>
              <w:t>3.所提供的资料应清晰可辨，加盖</w:t>
            </w:r>
            <w:r>
              <w:rPr>
                <w:rFonts w:hint="eastAsia" w:ascii="宋体" w:hAnsi="宋体" w:eastAsia="宋体" w:cs="宋体"/>
                <w:color w:val="auto"/>
                <w:highlight w:val="none"/>
                <w:lang w:eastAsia="zh-CN"/>
              </w:rPr>
              <w:t>供应商</w:t>
            </w:r>
            <w:r>
              <w:rPr>
                <w:rFonts w:ascii="宋体" w:hAnsi="宋体" w:eastAsia="宋体" w:cs="宋体"/>
                <w:color w:val="auto"/>
                <w:highlight w:val="none"/>
              </w:rPr>
              <w:t>公章，否则不予计分。</w:t>
            </w:r>
          </w:p>
        </w:tc>
        <w:tc>
          <w:tcPr>
            <w:tcW w:w="716" w:type="dxa"/>
            <w:gridSpan w:val="2"/>
            <w:shd w:val="clear" w:color="auto" w:fill="auto"/>
            <w:vAlign w:val="center"/>
          </w:tcPr>
          <w:p w14:paraId="69487959">
            <w:pPr>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10分</w:t>
            </w:r>
          </w:p>
        </w:tc>
      </w:tr>
      <w:tr w14:paraId="1875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trPr>
        <w:tc>
          <w:tcPr>
            <w:tcW w:w="1421" w:type="dxa"/>
            <w:shd w:val="clear" w:color="auto" w:fill="auto"/>
            <w:vAlign w:val="center"/>
          </w:tcPr>
          <w:p w14:paraId="2445BB26">
            <w:pPr>
              <w:pStyle w:val="1459"/>
              <w:spacing w:line="320" w:lineRule="exact"/>
              <w:jc w:val="center"/>
              <w:rPr>
                <w:rFonts w:hint="eastAsia" w:ascii="宋体" w:hAnsi="宋体" w:eastAsia="宋体" w:cs="宋体"/>
                <w:color w:val="auto"/>
                <w:highlight w:val="none"/>
                <w:lang w:val="en-US" w:eastAsia="zh-CN"/>
              </w:rPr>
            </w:pPr>
            <w:r>
              <w:rPr>
                <w:rFonts w:ascii="宋体" w:hAnsi="宋体" w:eastAsia="宋体" w:cs="宋体"/>
                <w:color w:val="auto"/>
                <w:highlight w:val="none"/>
              </w:rPr>
              <w:t xml:space="preserve">综合实力 </w:t>
            </w:r>
          </w:p>
        </w:tc>
        <w:tc>
          <w:tcPr>
            <w:tcW w:w="7615" w:type="dxa"/>
            <w:gridSpan w:val="2"/>
            <w:shd w:val="clear" w:color="auto" w:fill="auto"/>
            <w:vAlign w:val="center"/>
          </w:tcPr>
          <w:p w14:paraId="6DA7D375">
            <w:pPr>
              <w:pStyle w:val="1459"/>
              <w:spacing w:line="320" w:lineRule="exact"/>
              <w:jc w:val="left"/>
              <w:rPr>
                <w:rFonts w:hint="default" w:ascii="宋体" w:hAnsi="宋体" w:eastAsia="宋体" w:cs="宋体"/>
                <w:color w:val="auto"/>
                <w:highlight w:val="none"/>
              </w:rPr>
            </w:pPr>
            <w:r>
              <w:rPr>
                <w:rFonts w:ascii="宋体" w:hAnsi="宋体" w:eastAsia="宋体" w:cs="宋体"/>
                <w:color w:val="auto"/>
                <w:highlight w:val="none"/>
                <w:lang w:eastAsia="zh-CN"/>
              </w:rPr>
              <w:t>1.</w:t>
            </w:r>
            <w:r>
              <w:rPr>
                <w:rFonts w:hint="eastAsia" w:ascii="宋体" w:hAnsi="宋体" w:eastAsia="宋体" w:cs="宋体"/>
                <w:color w:val="auto"/>
                <w:highlight w:val="none"/>
                <w:lang w:eastAsia="zh-CN"/>
              </w:rPr>
              <w:t>供应商</w:t>
            </w:r>
            <w:r>
              <w:rPr>
                <w:rFonts w:ascii="宋体" w:hAnsi="宋体" w:eastAsia="宋体" w:cs="宋体"/>
                <w:color w:val="auto"/>
                <w:highlight w:val="none"/>
              </w:rPr>
              <w:t>提供自有或租赁的配送场地，得</w:t>
            </w:r>
            <w:r>
              <w:rPr>
                <w:rFonts w:hint="eastAsia" w:ascii="宋体" w:hAnsi="宋体" w:eastAsia="宋体" w:cs="宋体"/>
                <w:color w:val="auto"/>
                <w:highlight w:val="none"/>
                <w:lang w:val="en-US" w:eastAsia="zh-CN"/>
              </w:rPr>
              <w:t>3</w:t>
            </w:r>
            <w:r>
              <w:rPr>
                <w:rFonts w:ascii="宋体" w:hAnsi="宋体" w:eastAsia="宋体" w:cs="宋体"/>
                <w:color w:val="auto"/>
                <w:highlight w:val="none"/>
              </w:rPr>
              <w:t>分；</w:t>
            </w:r>
          </w:p>
          <w:p w14:paraId="32E70DFE">
            <w:pPr>
              <w:pStyle w:val="1459"/>
              <w:spacing w:line="320" w:lineRule="exact"/>
              <w:jc w:val="left"/>
              <w:rPr>
                <w:rFonts w:hint="default" w:ascii="宋体" w:hAnsi="宋体" w:eastAsia="宋体" w:cs="宋体"/>
                <w:color w:val="auto"/>
                <w:highlight w:val="none"/>
              </w:rPr>
            </w:pPr>
            <w:r>
              <w:rPr>
                <w:rFonts w:ascii="宋体" w:hAnsi="宋体" w:eastAsia="宋体" w:cs="宋体"/>
                <w:color w:val="auto"/>
                <w:highlight w:val="none"/>
                <w:lang w:eastAsia="zh-CN"/>
              </w:rPr>
              <w:t>2.</w:t>
            </w:r>
            <w:r>
              <w:rPr>
                <w:rFonts w:hint="eastAsia" w:ascii="宋体" w:hAnsi="宋体" w:eastAsia="宋体" w:cs="宋体"/>
                <w:color w:val="auto"/>
                <w:highlight w:val="none"/>
                <w:lang w:eastAsia="zh-CN"/>
              </w:rPr>
              <w:t>供应商</w:t>
            </w:r>
            <w:r>
              <w:rPr>
                <w:rFonts w:ascii="宋体" w:hAnsi="宋体" w:eastAsia="宋体" w:cs="宋体"/>
                <w:color w:val="auto"/>
                <w:highlight w:val="none"/>
              </w:rPr>
              <w:t>提供自有或租赁的冷藏库，得</w:t>
            </w:r>
            <w:r>
              <w:rPr>
                <w:rFonts w:hint="eastAsia" w:ascii="宋体" w:hAnsi="宋体" w:eastAsia="宋体" w:cs="宋体"/>
                <w:color w:val="auto"/>
                <w:highlight w:val="none"/>
                <w:lang w:val="en-US" w:eastAsia="zh-CN"/>
              </w:rPr>
              <w:t>3</w:t>
            </w:r>
            <w:r>
              <w:rPr>
                <w:rFonts w:ascii="宋体" w:hAnsi="宋体" w:eastAsia="宋体" w:cs="宋体"/>
                <w:color w:val="auto"/>
                <w:highlight w:val="none"/>
              </w:rPr>
              <w:t>分；</w:t>
            </w:r>
          </w:p>
          <w:p w14:paraId="162F447B">
            <w:pPr>
              <w:pStyle w:val="1459"/>
              <w:spacing w:line="320" w:lineRule="exact"/>
              <w:jc w:val="left"/>
              <w:rPr>
                <w:rFonts w:hint="eastAsia" w:ascii="宋体" w:hAnsi="宋体" w:eastAsia="宋体" w:cs="宋体"/>
                <w:color w:val="auto"/>
                <w:highlight w:val="none"/>
                <w:lang w:val="en-US" w:eastAsia="zh-CN"/>
              </w:rPr>
            </w:pPr>
            <w:r>
              <w:rPr>
                <w:rFonts w:ascii="宋体" w:hAnsi="宋体" w:eastAsia="宋体" w:cs="宋体"/>
                <w:color w:val="auto"/>
                <w:highlight w:val="none"/>
              </w:rPr>
              <w:t>注：须提供产权证明复印件加盖</w:t>
            </w:r>
            <w:r>
              <w:rPr>
                <w:rFonts w:hint="eastAsia" w:ascii="宋体" w:hAnsi="宋体" w:eastAsia="宋体" w:cs="宋体"/>
                <w:color w:val="auto"/>
                <w:highlight w:val="none"/>
                <w:lang w:eastAsia="zh-CN"/>
              </w:rPr>
              <w:t>供应商</w:t>
            </w:r>
            <w:r>
              <w:rPr>
                <w:rFonts w:ascii="宋体" w:hAnsi="宋体" w:eastAsia="宋体" w:cs="宋体"/>
                <w:color w:val="auto"/>
                <w:highlight w:val="none"/>
              </w:rPr>
              <w:t>公章；如是租赁的须提供以</w:t>
            </w:r>
            <w:r>
              <w:rPr>
                <w:rFonts w:hint="eastAsia" w:ascii="宋体" w:hAnsi="宋体" w:eastAsia="宋体" w:cs="宋体"/>
                <w:color w:val="auto"/>
                <w:highlight w:val="none"/>
                <w:lang w:eastAsia="zh-CN"/>
              </w:rPr>
              <w:t>供应商</w:t>
            </w:r>
            <w:r>
              <w:rPr>
                <w:rFonts w:ascii="宋体" w:hAnsi="宋体" w:eastAsia="宋体" w:cs="宋体"/>
                <w:color w:val="auto"/>
                <w:highlight w:val="none"/>
              </w:rPr>
              <w:t>名义（含法定代表人）签署的租赁合同复印件加盖</w:t>
            </w:r>
            <w:r>
              <w:rPr>
                <w:rFonts w:hint="eastAsia" w:ascii="宋体" w:hAnsi="宋体" w:eastAsia="宋体" w:cs="宋体"/>
                <w:color w:val="auto"/>
                <w:highlight w:val="none"/>
                <w:lang w:eastAsia="zh-CN"/>
              </w:rPr>
              <w:t>供应商</w:t>
            </w:r>
            <w:r>
              <w:rPr>
                <w:rFonts w:ascii="宋体" w:hAnsi="宋体" w:eastAsia="宋体" w:cs="宋体"/>
                <w:color w:val="auto"/>
                <w:highlight w:val="none"/>
              </w:rPr>
              <w:t>公章</w:t>
            </w:r>
            <w:r>
              <w:rPr>
                <w:rFonts w:ascii="宋体" w:hAnsi="宋体" w:eastAsia="宋体" w:cs="宋体"/>
                <w:color w:val="auto"/>
                <w:highlight w:val="none"/>
                <w:lang w:eastAsia="zh-CN"/>
              </w:rPr>
              <w:t>，</w:t>
            </w:r>
            <w:r>
              <w:rPr>
                <w:rFonts w:ascii="宋体" w:hAnsi="宋体" w:eastAsia="宋体" w:cs="宋体"/>
                <w:color w:val="auto"/>
                <w:highlight w:val="none"/>
              </w:rPr>
              <w:t>不提供不得分。</w:t>
            </w:r>
          </w:p>
        </w:tc>
        <w:tc>
          <w:tcPr>
            <w:tcW w:w="716" w:type="dxa"/>
            <w:gridSpan w:val="2"/>
            <w:shd w:val="clear" w:color="auto" w:fill="auto"/>
            <w:vAlign w:val="center"/>
          </w:tcPr>
          <w:p w14:paraId="2E570078">
            <w:pPr>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6分</w:t>
            </w:r>
          </w:p>
        </w:tc>
      </w:tr>
      <w:tr w14:paraId="335B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036" w:type="dxa"/>
            <w:gridSpan w:val="3"/>
            <w:shd w:val="clear" w:color="auto" w:fill="auto"/>
            <w:vAlign w:val="center"/>
          </w:tcPr>
          <w:p w14:paraId="0819D99B">
            <w:pPr>
              <w:autoSpaceDN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合计</w:t>
            </w:r>
          </w:p>
        </w:tc>
        <w:tc>
          <w:tcPr>
            <w:tcW w:w="716" w:type="dxa"/>
            <w:gridSpan w:val="2"/>
            <w:shd w:val="clear" w:color="auto" w:fill="auto"/>
            <w:vAlign w:val="center"/>
          </w:tcPr>
          <w:p w14:paraId="49C2E75D">
            <w:pPr>
              <w:pStyle w:val="1328"/>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lang w:val="en-US" w:eastAsia="zh-CN"/>
              </w:rPr>
              <w:t>35</w:t>
            </w:r>
            <w:r>
              <w:rPr>
                <w:rFonts w:hint="eastAsia" w:ascii="宋体" w:hAnsi="宋体" w:cs="宋体"/>
                <w:b/>
                <w:bCs/>
                <w:color w:val="auto"/>
                <w:szCs w:val="21"/>
                <w:highlight w:val="none"/>
              </w:rPr>
              <w:t>分</w:t>
            </w:r>
          </w:p>
        </w:tc>
      </w:tr>
      <w:tr w14:paraId="058C3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9752" w:type="dxa"/>
            <w:gridSpan w:val="5"/>
            <w:vAlign w:val="center"/>
          </w:tcPr>
          <w:p w14:paraId="322A60CC">
            <w:pPr>
              <w:spacing w:line="360" w:lineRule="auto"/>
              <w:jc w:val="center"/>
              <w:rPr>
                <w:rFonts w:ascii="宋体" w:hAnsi="宋体" w:cs="宋体"/>
                <w:b/>
                <w:color w:val="auto"/>
                <w:kern w:val="0"/>
                <w:szCs w:val="21"/>
                <w:highlight w:val="none"/>
              </w:rPr>
            </w:pPr>
            <w:r>
              <w:rPr>
                <w:rFonts w:ascii="宋体"/>
                <w:b/>
                <w:color w:val="auto"/>
                <w:kern w:val="0"/>
                <w:sz w:val="30"/>
                <w:szCs w:val="30"/>
                <w:highlight w:val="none"/>
              </w:rPr>
              <w:br w:type="page"/>
            </w:r>
            <w:r>
              <w:rPr>
                <w:rFonts w:hint="eastAsia" w:ascii="宋体" w:hAnsi="宋体" w:cs="宋体"/>
                <w:b/>
                <w:color w:val="auto"/>
                <w:kern w:val="0"/>
                <w:szCs w:val="21"/>
                <w:highlight w:val="none"/>
              </w:rPr>
              <w:t>技术部分评分表</w:t>
            </w:r>
          </w:p>
        </w:tc>
      </w:tr>
      <w:tr w14:paraId="11147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438" w:type="dxa"/>
            <w:gridSpan w:val="2"/>
            <w:vAlign w:val="center"/>
          </w:tcPr>
          <w:p w14:paraId="7B78F288">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评审内容</w:t>
            </w:r>
          </w:p>
        </w:tc>
        <w:tc>
          <w:tcPr>
            <w:tcW w:w="7605" w:type="dxa"/>
            <w:gridSpan w:val="2"/>
            <w:tcBorders>
              <w:left w:val="single" w:color="auto" w:sz="4" w:space="0"/>
            </w:tcBorders>
            <w:vAlign w:val="center"/>
          </w:tcPr>
          <w:p w14:paraId="71232C31">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评审标准</w:t>
            </w:r>
          </w:p>
        </w:tc>
        <w:tc>
          <w:tcPr>
            <w:tcW w:w="709" w:type="dxa"/>
            <w:tcBorders>
              <w:left w:val="single" w:color="auto" w:sz="4" w:space="0"/>
            </w:tcBorders>
            <w:vAlign w:val="center"/>
          </w:tcPr>
          <w:p w14:paraId="09548DC6">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分值</w:t>
            </w:r>
          </w:p>
        </w:tc>
      </w:tr>
      <w:tr w14:paraId="5AE3D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6" w:hRule="atLeast"/>
          <w:jc w:val="center"/>
        </w:trPr>
        <w:tc>
          <w:tcPr>
            <w:tcW w:w="1438" w:type="dxa"/>
            <w:gridSpan w:val="2"/>
            <w:tcBorders>
              <w:bottom w:val="single" w:color="auto" w:sz="4" w:space="0"/>
            </w:tcBorders>
            <w:shd w:val="clear" w:color="auto" w:fill="auto"/>
            <w:vAlign w:val="top"/>
          </w:tcPr>
          <w:p w14:paraId="6470D6F7">
            <w:pPr>
              <w:pStyle w:val="1459"/>
              <w:spacing w:line="320" w:lineRule="exact"/>
              <w:rPr>
                <w:rFonts w:hint="eastAsia" w:ascii="宋体" w:hAnsi="宋体" w:eastAsia="宋体" w:cs="宋体"/>
                <w:bCs/>
                <w:snapToGrid/>
                <w:color w:val="auto"/>
                <w:kern w:val="2"/>
                <w:sz w:val="21"/>
                <w:szCs w:val="21"/>
                <w:highlight w:val="none"/>
                <w:lang w:val="en-US" w:eastAsia="zh-CN" w:bidi="ar-SA"/>
              </w:rPr>
            </w:pPr>
            <w:r>
              <w:rPr>
                <w:rFonts w:ascii="宋体" w:hAnsi="宋体" w:eastAsia="宋体" w:cs="宋体"/>
                <w:color w:val="auto"/>
                <w:highlight w:val="none"/>
              </w:rPr>
              <w:t>食品质量保证方案 (10.0分)</w:t>
            </w:r>
          </w:p>
        </w:tc>
        <w:tc>
          <w:tcPr>
            <w:tcW w:w="7605" w:type="dxa"/>
            <w:gridSpan w:val="2"/>
            <w:tcBorders>
              <w:left w:val="single" w:color="auto" w:sz="4" w:space="0"/>
            </w:tcBorders>
            <w:shd w:val="clear" w:color="auto" w:fill="auto"/>
            <w:vAlign w:val="top"/>
          </w:tcPr>
          <w:p w14:paraId="1965E923">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对</w:t>
            </w:r>
            <w:r>
              <w:rPr>
                <w:rFonts w:hint="eastAsia" w:ascii="宋体" w:hAnsi="宋体" w:eastAsia="宋体" w:cs="宋体"/>
                <w:color w:val="auto"/>
                <w:highlight w:val="none"/>
                <w:lang w:val="en-US" w:eastAsia="zh-CN"/>
              </w:rPr>
              <w:t>响应</w:t>
            </w:r>
            <w:r>
              <w:rPr>
                <w:rFonts w:ascii="宋体" w:hAnsi="宋体" w:eastAsia="宋体" w:cs="宋体"/>
                <w:color w:val="auto"/>
                <w:highlight w:val="none"/>
              </w:rPr>
              <w:t>文件中的质量控制方案进行评分（根据货物的来源、加工、包装、保存、运输各环节的质量保证及食品安全措施进行评价）：</w:t>
            </w:r>
          </w:p>
          <w:p w14:paraId="1EB485BE">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lang w:eastAsia="zh-CN"/>
              </w:rPr>
              <w:t>1.</w:t>
            </w:r>
            <w:r>
              <w:rPr>
                <w:rFonts w:ascii="宋体" w:hAnsi="宋体" w:eastAsia="宋体" w:cs="宋体"/>
                <w:color w:val="auto"/>
                <w:highlight w:val="none"/>
              </w:rPr>
              <w:t xml:space="preserve">方案合理完整，内容有针对性，优于或完全满足采购需求的，得10分； </w:t>
            </w:r>
          </w:p>
          <w:p w14:paraId="20BFD562">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2</w:t>
            </w:r>
            <w:r>
              <w:rPr>
                <w:rFonts w:ascii="宋体" w:hAnsi="宋体" w:eastAsia="宋体" w:cs="宋体"/>
                <w:color w:val="auto"/>
                <w:highlight w:val="none"/>
                <w:lang w:eastAsia="zh-CN"/>
              </w:rPr>
              <w:t>.</w:t>
            </w:r>
            <w:r>
              <w:rPr>
                <w:rFonts w:ascii="宋体" w:hAnsi="宋体" w:eastAsia="宋体" w:cs="宋体"/>
                <w:color w:val="auto"/>
                <w:highlight w:val="none"/>
              </w:rPr>
              <w:t xml:space="preserve">方案较合理、较完整，内容有一定的针对性，基本满足采购需求的，得7分； </w:t>
            </w:r>
          </w:p>
          <w:p w14:paraId="5A15F4C1">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3.方案一般，部分满足采购需求的，得4分；</w:t>
            </w:r>
          </w:p>
          <w:p w14:paraId="58AB58E6">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4.方案简单，内容没有针对性，基本不能满足采购需求的，得1分</w:t>
            </w:r>
            <w:r>
              <w:rPr>
                <w:rFonts w:ascii="宋体" w:hAnsi="宋体" w:eastAsia="宋体" w:cs="宋体"/>
                <w:color w:val="auto"/>
                <w:highlight w:val="none"/>
                <w:lang w:eastAsia="zh-CN"/>
              </w:rPr>
              <w:t>；</w:t>
            </w:r>
            <w:r>
              <w:rPr>
                <w:rFonts w:ascii="宋体" w:hAnsi="宋体" w:eastAsia="宋体" w:cs="宋体"/>
                <w:color w:val="auto"/>
                <w:highlight w:val="none"/>
              </w:rPr>
              <w:t xml:space="preserve"> </w:t>
            </w:r>
          </w:p>
          <w:p w14:paraId="5C29812F">
            <w:pPr>
              <w:pStyle w:val="1459"/>
              <w:spacing w:line="320" w:lineRule="exact"/>
              <w:rPr>
                <w:rFonts w:hint="default" w:ascii="宋体" w:hAnsi="宋体" w:eastAsia="宋体" w:cs="宋体"/>
                <w:snapToGrid/>
                <w:color w:val="auto"/>
                <w:kern w:val="2"/>
                <w:sz w:val="21"/>
                <w:szCs w:val="21"/>
                <w:highlight w:val="none"/>
                <w:lang w:val="en-US" w:eastAsia="zh-CN" w:bidi="ar-SA"/>
              </w:rPr>
            </w:pPr>
            <w:r>
              <w:rPr>
                <w:rFonts w:ascii="宋体" w:hAnsi="宋体" w:eastAsia="宋体" w:cs="宋体"/>
                <w:color w:val="auto"/>
                <w:highlight w:val="none"/>
              </w:rPr>
              <w:t>不提供不得分。</w:t>
            </w:r>
          </w:p>
        </w:tc>
        <w:tc>
          <w:tcPr>
            <w:tcW w:w="709" w:type="dxa"/>
            <w:tcBorders>
              <w:left w:val="single" w:color="auto" w:sz="4" w:space="0"/>
            </w:tcBorders>
            <w:vAlign w:val="center"/>
          </w:tcPr>
          <w:p w14:paraId="3694EBC4">
            <w:pPr>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10分</w:t>
            </w:r>
          </w:p>
        </w:tc>
      </w:tr>
      <w:tr w14:paraId="56A92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1438" w:type="dxa"/>
            <w:gridSpan w:val="2"/>
            <w:tcBorders>
              <w:top w:val="single" w:color="auto" w:sz="4" w:space="0"/>
              <w:bottom w:val="single" w:color="auto" w:sz="4" w:space="0"/>
            </w:tcBorders>
            <w:shd w:val="clear" w:color="auto" w:fill="auto"/>
            <w:vAlign w:val="top"/>
          </w:tcPr>
          <w:p w14:paraId="63723280">
            <w:pPr>
              <w:pStyle w:val="1459"/>
              <w:spacing w:line="320" w:lineRule="exact"/>
              <w:rPr>
                <w:rFonts w:hint="eastAsia" w:ascii="宋体" w:hAnsi="宋体" w:eastAsia="宋体" w:cs="宋体"/>
                <w:snapToGrid/>
                <w:color w:val="auto"/>
                <w:kern w:val="2"/>
                <w:sz w:val="21"/>
                <w:szCs w:val="24"/>
                <w:highlight w:val="none"/>
                <w:lang w:val="en-US" w:eastAsia="zh-CN" w:bidi="ar-SA"/>
              </w:rPr>
            </w:pPr>
            <w:r>
              <w:rPr>
                <w:rFonts w:ascii="宋体" w:hAnsi="宋体" w:eastAsia="宋体" w:cs="宋体"/>
                <w:color w:val="auto"/>
                <w:highlight w:val="none"/>
              </w:rPr>
              <w:t>配送方案 (10.0分)</w:t>
            </w:r>
          </w:p>
        </w:tc>
        <w:tc>
          <w:tcPr>
            <w:tcW w:w="7605" w:type="dxa"/>
            <w:gridSpan w:val="2"/>
            <w:tcBorders>
              <w:left w:val="single" w:color="auto" w:sz="4" w:space="0"/>
            </w:tcBorders>
            <w:shd w:val="clear" w:color="auto" w:fill="auto"/>
            <w:vAlign w:val="top"/>
          </w:tcPr>
          <w:p w14:paraId="36475C52">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从配送方案的全面性，可实施性，配送物流保障性，供应时效响应性等进行对比评价：</w:t>
            </w:r>
          </w:p>
          <w:p w14:paraId="7296B5D6">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lang w:eastAsia="zh-CN"/>
              </w:rPr>
              <w:t>1.</w:t>
            </w:r>
            <w:r>
              <w:rPr>
                <w:rFonts w:ascii="宋体" w:hAnsi="宋体" w:eastAsia="宋体" w:cs="宋体"/>
                <w:color w:val="auto"/>
                <w:highlight w:val="none"/>
              </w:rPr>
              <w:t xml:space="preserve">配送方案全面，可实施性强，配送物流有保障，供应时效性高，优于或完全满足采购需求的，得10分； </w:t>
            </w:r>
          </w:p>
          <w:p w14:paraId="48005B93">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lang w:eastAsia="zh-CN"/>
              </w:rPr>
              <w:t>2.</w:t>
            </w:r>
            <w:r>
              <w:rPr>
                <w:rFonts w:ascii="宋体" w:hAnsi="宋体" w:eastAsia="宋体" w:cs="宋体"/>
                <w:color w:val="auto"/>
                <w:highlight w:val="none"/>
              </w:rPr>
              <w:t xml:space="preserve">配送方案较全面，可实施性较强，配送物流有保障，供应时效性符合要求，基本满足采购需求的，得7分； </w:t>
            </w:r>
          </w:p>
          <w:p w14:paraId="02883F07">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3.配送方案较全面，可实施性不强，配送物流有保障，供应时效性一般，部分满足采购需求的，得4分；</w:t>
            </w:r>
          </w:p>
          <w:p w14:paraId="2F9ADBFC">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 xml:space="preserve">4.配送方案不够全面，可实施性不强，配送物流有保障，供应时效性不符合要求，基本不能满足采购需求的，得1分； </w:t>
            </w:r>
          </w:p>
          <w:p w14:paraId="200896D6">
            <w:pPr>
              <w:pStyle w:val="1459"/>
              <w:spacing w:line="320" w:lineRule="exact"/>
              <w:rPr>
                <w:rFonts w:hint="eastAsia" w:ascii="宋体" w:hAnsi="宋体" w:eastAsia="宋体" w:cs="宋体"/>
                <w:snapToGrid/>
                <w:color w:val="auto"/>
                <w:kern w:val="2"/>
                <w:sz w:val="21"/>
                <w:szCs w:val="21"/>
                <w:highlight w:val="none"/>
                <w:lang w:val="en-US" w:eastAsia="zh-CN" w:bidi="ar-SA"/>
              </w:rPr>
            </w:pPr>
            <w:r>
              <w:rPr>
                <w:rFonts w:ascii="宋体" w:hAnsi="宋体" w:eastAsia="宋体" w:cs="宋体"/>
                <w:color w:val="auto"/>
                <w:highlight w:val="none"/>
              </w:rPr>
              <w:t>不提供不得分。</w:t>
            </w:r>
          </w:p>
        </w:tc>
        <w:tc>
          <w:tcPr>
            <w:tcW w:w="709" w:type="dxa"/>
            <w:tcBorders>
              <w:left w:val="single" w:color="auto" w:sz="4" w:space="0"/>
            </w:tcBorders>
            <w:vAlign w:val="center"/>
          </w:tcPr>
          <w:p w14:paraId="70CCC849">
            <w:pPr>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10分</w:t>
            </w:r>
          </w:p>
        </w:tc>
      </w:tr>
      <w:tr w14:paraId="061A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1" w:hRule="atLeast"/>
          <w:jc w:val="center"/>
        </w:trPr>
        <w:tc>
          <w:tcPr>
            <w:tcW w:w="1438" w:type="dxa"/>
            <w:gridSpan w:val="2"/>
            <w:tcBorders>
              <w:top w:val="single" w:color="auto" w:sz="4" w:space="0"/>
              <w:bottom w:val="single" w:color="auto" w:sz="4" w:space="0"/>
            </w:tcBorders>
            <w:shd w:val="clear" w:color="auto" w:fill="auto"/>
            <w:vAlign w:val="top"/>
          </w:tcPr>
          <w:p w14:paraId="79BA2995">
            <w:pPr>
              <w:pStyle w:val="1459"/>
              <w:spacing w:line="320" w:lineRule="exact"/>
              <w:rPr>
                <w:rFonts w:hint="eastAsia" w:ascii="宋体" w:hAnsi="宋体" w:eastAsia="宋体" w:cs="宋体"/>
                <w:bCs/>
                <w:snapToGrid/>
                <w:color w:val="auto"/>
                <w:kern w:val="2"/>
                <w:sz w:val="21"/>
                <w:szCs w:val="21"/>
                <w:highlight w:val="none"/>
                <w:lang w:val="en-US" w:eastAsia="zh-CN" w:bidi="ar-SA"/>
              </w:rPr>
            </w:pPr>
            <w:r>
              <w:rPr>
                <w:rFonts w:ascii="宋体" w:hAnsi="宋体" w:eastAsia="宋体" w:cs="宋体"/>
                <w:color w:val="auto"/>
                <w:highlight w:val="none"/>
              </w:rPr>
              <w:t>特殊情况应急方案（应含食物中毒应急预案） (10.0分)</w:t>
            </w:r>
          </w:p>
        </w:tc>
        <w:tc>
          <w:tcPr>
            <w:tcW w:w="7605" w:type="dxa"/>
            <w:gridSpan w:val="2"/>
            <w:tcBorders>
              <w:left w:val="single" w:color="auto" w:sz="4" w:space="0"/>
            </w:tcBorders>
            <w:shd w:val="clear" w:color="auto" w:fill="auto"/>
            <w:vAlign w:val="top"/>
          </w:tcPr>
          <w:p w14:paraId="6A607F7E">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对货物临时供应应急方案，特殊情况应急供应商方案，响应时间，方案全面度，应对措施详细度，是否可实施且能满足保障采购人要求等进行对比评价：</w:t>
            </w:r>
          </w:p>
          <w:p w14:paraId="7F4B459A">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lang w:eastAsia="zh-CN"/>
              </w:rPr>
              <w:t>1.</w:t>
            </w:r>
            <w:r>
              <w:rPr>
                <w:rFonts w:ascii="宋体" w:hAnsi="宋体" w:eastAsia="宋体" w:cs="宋体"/>
                <w:color w:val="auto"/>
                <w:highlight w:val="none"/>
              </w:rPr>
              <w:t xml:space="preserve">有完善的货物临时供应应急方案及特殊情况应急供应方案，承诺收到应急通知10分钟内响应，方案全面，应对措施详细，完全可实施且能完全保障采购人要求的，优于或完全满足采购需求的，得10分； </w:t>
            </w:r>
          </w:p>
          <w:p w14:paraId="58337539">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lang w:eastAsia="zh-CN"/>
              </w:rPr>
              <w:t>2.</w:t>
            </w:r>
            <w:r>
              <w:rPr>
                <w:rFonts w:ascii="宋体" w:hAnsi="宋体" w:eastAsia="宋体" w:cs="宋体"/>
                <w:color w:val="auto"/>
                <w:highlight w:val="none"/>
              </w:rPr>
              <w:t xml:space="preserve">有较完善的货物临时供应应急方案及特殊情况应急供应方案，承诺收到应急通知20分钟内响应，方案能满足保障采购人要求的，基本满足采购需求的，得7分； </w:t>
            </w:r>
          </w:p>
          <w:p w14:paraId="6E1408F0">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lang w:eastAsia="zh-CN"/>
              </w:rPr>
              <w:t>3.</w:t>
            </w:r>
            <w:r>
              <w:rPr>
                <w:rFonts w:ascii="宋体" w:hAnsi="宋体" w:eastAsia="宋体" w:cs="宋体"/>
                <w:color w:val="auto"/>
                <w:highlight w:val="none"/>
              </w:rPr>
              <w:t xml:space="preserve">有货物临时供应应急方案及特殊情况应急供应方案，承诺收到应急通知30分钟内响应，方案基本能满足保障采购人要求的，部分满足采购需求的，得4分； </w:t>
            </w:r>
          </w:p>
          <w:p w14:paraId="3AB76AAF">
            <w:pPr>
              <w:pStyle w:val="1459"/>
              <w:spacing w:line="320" w:lineRule="exact"/>
              <w:rPr>
                <w:rFonts w:hint="default" w:ascii="宋体" w:hAnsi="宋体" w:eastAsia="宋体" w:cs="宋体"/>
                <w:color w:val="auto"/>
                <w:highlight w:val="none"/>
              </w:rPr>
            </w:pPr>
            <w:r>
              <w:rPr>
                <w:rFonts w:ascii="宋体" w:hAnsi="宋体" w:eastAsia="宋体" w:cs="宋体"/>
                <w:color w:val="auto"/>
                <w:highlight w:val="none"/>
              </w:rPr>
              <w:t xml:space="preserve">4.货物临时供应应急方案及特殊情况应急供应方案一般，应急响应时间超过30分钟，基本不能满足保障采购人要求的，基本不能满足采购需求的，得1分； </w:t>
            </w:r>
          </w:p>
          <w:p w14:paraId="0B917601">
            <w:pPr>
              <w:pStyle w:val="1459"/>
              <w:spacing w:line="320" w:lineRule="exact"/>
              <w:rPr>
                <w:rFonts w:hint="eastAsia" w:ascii="宋体" w:hAnsi="宋体" w:eastAsia="宋体" w:cs="宋体"/>
                <w:snapToGrid/>
                <w:color w:val="auto"/>
                <w:kern w:val="2"/>
                <w:sz w:val="21"/>
                <w:szCs w:val="21"/>
                <w:highlight w:val="none"/>
                <w:lang w:val="en-US" w:eastAsia="zh-CN" w:bidi="ar-SA"/>
              </w:rPr>
            </w:pPr>
            <w:r>
              <w:rPr>
                <w:rFonts w:ascii="宋体" w:hAnsi="宋体" w:eastAsia="宋体" w:cs="宋体"/>
                <w:color w:val="auto"/>
                <w:highlight w:val="none"/>
              </w:rPr>
              <w:t>不提供不得分。</w:t>
            </w:r>
          </w:p>
        </w:tc>
        <w:tc>
          <w:tcPr>
            <w:tcW w:w="709" w:type="dxa"/>
            <w:tcBorders>
              <w:left w:val="single" w:color="auto" w:sz="4" w:space="0"/>
            </w:tcBorders>
            <w:vAlign w:val="center"/>
          </w:tcPr>
          <w:p w14:paraId="0C06067C">
            <w:pPr>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10分</w:t>
            </w:r>
          </w:p>
        </w:tc>
      </w:tr>
      <w:tr w14:paraId="3C1ED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 w:hRule="atLeast"/>
          <w:jc w:val="center"/>
        </w:trPr>
        <w:tc>
          <w:tcPr>
            <w:tcW w:w="1438" w:type="dxa"/>
            <w:gridSpan w:val="2"/>
            <w:tcBorders>
              <w:bottom w:val="single" w:color="auto" w:sz="4" w:space="0"/>
            </w:tcBorders>
            <w:shd w:val="clear" w:color="auto" w:fill="auto"/>
            <w:vAlign w:val="top"/>
          </w:tcPr>
          <w:p w14:paraId="0836B0B6">
            <w:pPr>
              <w:pStyle w:val="1459"/>
              <w:spacing w:line="320" w:lineRule="exact"/>
              <w:rPr>
                <w:rFonts w:hint="eastAsia" w:ascii="宋体" w:hAnsi="宋体" w:eastAsia="宋体" w:cs="宋体"/>
                <w:snapToGrid/>
                <w:color w:val="auto"/>
                <w:kern w:val="2"/>
                <w:sz w:val="21"/>
                <w:szCs w:val="24"/>
                <w:highlight w:val="none"/>
                <w:lang w:val="en-US" w:eastAsia="zh-CN" w:bidi="ar-SA"/>
              </w:rPr>
            </w:pPr>
            <w:r>
              <w:rPr>
                <w:rFonts w:ascii="宋体" w:hAnsi="宋体" w:eastAsia="宋体" w:cs="宋体"/>
                <w:color w:val="auto"/>
                <w:highlight w:val="none"/>
              </w:rPr>
              <w:t>出现问题退换货承诺 (5.0分)</w:t>
            </w:r>
          </w:p>
        </w:tc>
        <w:tc>
          <w:tcPr>
            <w:tcW w:w="7605" w:type="dxa"/>
            <w:gridSpan w:val="2"/>
            <w:tcBorders>
              <w:left w:val="single" w:color="auto" w:sz="4" w:space="0"/>
            </w:tcBorders>
            <w:shd w:val="clear" w:color="auto" w:fill="auto"/>
            <w:vAlign w:val="top"/>
          </w:tcPr>
          <w:p w14:paraId="7FE61221">
            <w:pPr>
              <w:pStyle w:val="1459"/>
              <w:spacing w:line="320" w:lineRule="exact"/>
              <w:rPr>
                <w:rFonts w:hint="default" w:ascii="宋体" w:hAnsi="宋体" w:eastAsia="宋体" w:cs="宋体"/>
                <w:color w:val="auto"/>
                <w:highlight w:val="none"/>
              </w:rPr>
            </w:pPr>
            <w:r>
              <w:rPr>
                <w:rFonts w:hint="eastAsia" w:ascii="宋体" w:hAnsi="宋体" w:eastAsia="宋体" w:cs="宋体"/>
                <w:color w:val="auto"/>
                <w:highlight w:val="none"/>
                <w:lang w:eastAsia="zh-CN"/>
              </w:rPr>
              <w:t>供应商</w:t>
            </w:r>
            <w:r>
              <w:rPr>
                <w:rFonts w:ascii="宋体" w:hAnsi="宋体" w:eastAsia="宋体" w:cs="宋体"/>
                <w:color w:val="auto"/>
                <w:highlight w:val="none"/>
              </w:rPr>
              <w:t xml:space="preserve">须承诺服务期内如提供不符合采购人质量或重量要求的货物，须按采购人要求以不影响伙食供应为前提，无条件尽快补送或退换货。 </w:t>
            </w:r>
          </w:p>
          <w:p w14:paraId="7A6A5335">
            <w:pPr>
              <w:pStyle w:val="1459"/>
              <w:spacing w:line="320" w:lineRule="exact"/>
              <w:rPr>
                <w:rFonts w:hint="eastAsia" w:ascii="宋体" w:hAnsi="宋体" w:eastAsia="宋体" w:cs="宋体"/>
                <w:snapToGrid/>
                <w:color w:val="auto"/>
                <w:kern w:val="2"/>
                <w:sz w:val="21"/>
                <w:szCs w:val="21"/>
                <w:highlight w:val="none"/>
                <w:lang w:val="en-US" w:eastAsia="zh-CN" w:bidi="ar-SA"/>
              </w:rPr>
            </w:pPr>
            <w:r>
              <w:rPr>
                <w:rFonts w:ascii="宋体" w:hAnsi="宋体" w:eastAsia="宋体" w:cs="宋体"/>
                <w:color w:val="auto"/>
                <w:highlight w:val="none"/>
              </w:rPr>
              <w:t>注：提供《承诺函》承诺，不提供不得分。</w:t>
            </w:r>
          </w:p>
        </w:tc>
        <w:tc>
          <w:tcPr>
            <w:tcW w:w="709" w:type="dxa"/>
            <w:tcBorders>
              <w:left w:val="single" w:color="auto" w:sz="4" w:space="0"/>
            </w:tcBorders>
            <w:vAlign w:val="center"/>
          </w:tcPr>
          <w:p w14:paraId="73D37E59">
            <w:pPr>
              <w:pStyle w:val="1328"/>
              <w:spacing w:line="36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w:t>
            </w:r>
          </w:p>
        </w:tc>
      </w:tr>
      <w:tr w14:paraId="5D9E8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9043" w:type="dxa"/>
            <w:gridSpan w:val="4"/>
            <w:tcBorders>
              <w:top w:val="single" w:color="auto" w:sz="4" w:space="0"/>
              <w:bottom w:val="single" w:color="auto" w:sz="4" w:space="0"/>
            </w:tcBorders>
            <w:vAlign w:val="center"/>
          </w:tcPr>
          <w:p w14:paraId="15129E25">
            <w:pPr>
              <w:autoSpaceDN w:val="0"/>
              <w:spacing w:line="360" w:lineRule="exact"/>
              <w:jc w:val="center"/>
              <w:rPr>
                <w:rFonts w:ascii="宋体" w:hAnsi="宋体" w:cs="宋体"/>
                <w:b/>
                <w:bCs/>
                <w:color w:val="auto"/>
                <w:szCs w:val="21"/>
                <w:highlight w:val="none"/>
              </w:rPr>
            </w:pPr>
            <w:r>
              <w:rPr>
                <w:rFonts w:hint="eastAsia" w:ascii="宋体"/>
                <w:b/>
                <w:bCs/>
                <w:color w:val="auto"/>
                <w:szCs w:val="21"/>
                <w:highlight w:val="none"/>
              </w:rPr>
              <w:t>合计</w:t>
            </w:r>
          </w:p>
        </w:tc>
        <w:tc>
          <w:tcPr>
            <w:tcW w:w="709" w:type="dxa"/>
            <w:tcBorders>
              <w:left w:val="single" w:color="auto" w:sz="4" w:space="0"/>
            </w:tcBorders>
            <w:vAlign w:val="center"/>
          </w:tcPr>
          <w:p w14:paraId="2AC010B2">
            <w:pPr>
              <w:autoSpaceDN w:val="0"/>
              <w:spacing w:line="360" w:lineRule="exact"/>
              <w:jc w:val="center"/>
              <w:rPr>
                <w:rFonts w:ascii="宋体"/>
                <w:b/>
                <w:bCs/>
                <w:color w:val="auto"/>
                <w:szCs w:val="21"/>
                <w:highlight w:val="none"/>
              </w:rPr>
            </w:pPr>
            <w:r>
              <w:rPr>
                <w:rFonts w:hint="eastAsia" w:ascii="宋体"/>
                <w:b/>
                <w:bCs/>
                <w:color w:val="auto"/>
                <w:szCs w:val="21"/>
                <w:highlight w:val="none"/>
                <w:lang w:val="en-US" w:eastAsia="zh-CN"/>
              </w:rPr>
              <w:t>35</w:t>
            </w:r>
            <w:r>
              <w:rPr>
                <w:rFonts w:hint="eastAsia" w:ascii="宋体"/>
                <w:b/>
                <w:bCs/>
                <w:color w:val="auto"/>
                <w:szCs w:val="21"/>
                <w:highlight w:val="none"/>
              </w:rPr>
              <w:t>分</w:t>
            </w:r>
          </w:p>
        </w:tc>
      </w:tr>
      <w:tr w14:paraId="1E2F4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9043" w:type="dxa"/>
            <w:gridSpan w:val="4"/>
            <w:tcBorders>
              <w:top w:val="single" w:color="auto" w:sz="4" w:space="0"/>
              <w:bottom w:val="single" w:color="auto" w:sz="4" w:space="0"/>
            </w:tcBorders>
            <w:vAlign w:val="center"/>
          </w:tcPr>
          <w:p w14:paraId="4C828BBF">
            <w:pPr>
              <w:autoSpaceDN w:val="0"/>
              <w:spacing w:line="360" w:lineRule="exact"/>
              <w:jc w:val="center"/>
              <w:rPr>
                <w:rFonts w:hint="eastAsia" w:ascii="宋体"/>
                <w:b/>
                <w:bCs/>
                <w:color w:val="auto"/>
                <w:szCs w:val="21"/>
                <w:highlight w:val="none"/>
              </w:rPr>
            </w:pPr>
            <w:r>
              <w:rPr>
                <w:rFonts w:hint="eastAsia" w:ascii="宋体"/>
                <w:b/>
                <w:bCs/>
                <w:color w:val="auto"/>
                <w:szCs w:val="21"/>
                <w:highlight w:val="none"/>
                <w:lang w:val="en-US" w:eastAsia="zh-CN"/>
              </w:rPr>
              <w:t>响应</w:t>
            </w:r>
            <w:r>
              <w:rPr>
                <w:rFonts w:hint="eastAsia" w:ascii="宋体"/>
                <w:b/>
                <w:bCs/>
                <w:color w:val="auto"/>
                <w:szCs w:val="21"/>
                <w:highlight w:val="none"/>
              </w:rPr>
              <w:t>报价</w:t>
            </w:r>
          </w:p>
        </w:tc>
        <w:tc>
          <w:tcPr>
            <w:tcW w:w="709" w:type="dxa"/>
            <w:tcBorders>
              <w:left w:val="single" w:color="auto" w:sz="4" w:space="0"/>
            </w:tcBorders>
            <w:vAlign w:val="center"/>
          </w:tcPr>
          <w:p w14:paraId="513D82FB">
            <w:pPr>
              <w:autoSpaceDN w:val="0"/>
              <w:spacing w:line="360" w:lineRule="exact"/>
              <w:jc w:val="center"/>
              <w:rPr>
                <w:rFonts w:hint="eastAsia" w:ascii="宋体"/>
                <w:b/>
                <w:bCs/>
                <w:color w:val="auto"/>
                <w:szCs w:val="21"/>
                <w:highlight w:val="none"/>
                <w:lang w:val="en-US" w:eastAsia="zh-CN"/>
              </w:rPr>
            </w:pPr>
          </w:p>
        </w:tc>
      </w:tr>
      <w:tr w14:paraId="6CED5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438" w:type="dxa"/>
            <w:gridSpan w:val="2"/>
            <w:tcBorders>
              <w:top w:val="single" w:color="auto" w:sz="4" w:space="0"/>
              <w:bottom w:val="single" w:color="auto" w:sz="4" w:space="0"/>
              <w:right w:val="single" w:color="auto" w:sz="4" w:space="0"/>
            </w:tcBorders>
            <w:vAlign w:val="center"/>
          </w:tcPr>
          <w:p w14:paraId="0342C9F7">
            <w:pPr>
              <w:widowControl/>
              <w:jc w:val="center"/>
              <w:rPr>
                <w:rFonts w:hint="eastAsia" w:ascii="宋体"/>
                <w:b/>
                <w:bCs/>
                <w:color w:val="auto"/>
                <w:szCs w:val="21"/>
                <w:highlight w:val="none"/>
              </w:rPr>
            </w:pPr>
            <w:r>
              <w:rPr>
                <w:rFonts w:hint="eastAsia" w:ascii="宋体" w:hAnsi="宋体" w:cs="宋体"/>
                <w:b/>
                <w:color w:val="auto"/>
                <w:kern w:val="0"/>
                <w:szCs w:val="21"/>
                <w:highlight w:val="none"/>
              </w:rPr>
              <w:t>评审内容</w:t>
            </w:r>
          </w:p>
        </w:tc>
        <w:tc>
          <w:tcPr>
            <w:tcW w:w="7605" w:type="dxa"/>
            <w:gridSpan w:val="2"/>
            <w:tcBorders>
              <w:top w:val="single" w:color="auto" w:sz="4" w:space="0"/>
              <w:left w:val="single" w:color="auto" w:sz="4" w:space="0"/>
              <w:bottom w:val="single" w:color="auto" w:sz="4" w:space="0"/>
            </w:tcBorders>
            <w:vAlign w:val="center"/>
          </w:tcPr>
          <w:p w14:paraId="08AE9AAA">
            <w:pPr>
              <w:widowControl/>
              <w:jc w:val="center"/>
              <w:rPr>
                <w:rFonts w:hint="eastAsia" w:ascii="宋体"/>
                <w:b/>
                <w:bCs/>
                <w:color w:val="auto"/>
                <w:szCs w:val="21"/>
                <w:highlight w:val="none"/>
              </w:rPr>
            </w:pPr>
            <w:r>
              <w:rPr>
                <w:rFonts w:hint="eastAsia" w:ascii="宋体" w:hAnsi="宋体" w:cs="宋体"/>
                <w:b/>
                <w:color w:val="auto"/>
                <w:kern w:val="0"/>
                <w:szCs w:val="21"/>
                <w:highlight w:val="none"/>
              </w:rPr>
              <w:t>评审标准</w:t>
            </w:r>
          </w:p>
        </w:tc>
        <w:tc>
          <w:tcPr>
            <w:tcW w:w="709" w:type="dxa"/>
            <w:tcBorders>
              <w:left w:val="single" w:color="auto" w:sz="4" w:space="0"/>
            </w:tcBorders>
            <w:vAlign w:val="center"/>
          </w:tcPr>
          <w:p w14:paraId="560CF657">
            <w:pPr>
              <w:widowControl/>
              <w:jc w:val="center"/>
              <w:rPr>
                <w:rFonts w:hint="eastAsia" w:ascii="宋体"/>
                <w:b/>
                <w:bCs/>
                <w:color w:val="auto"/>
                <w:szCs w:val="21"/>
                <w:highlight w:val="none"/>
                <w:lang w:val="en-US" w:eastAsia="zh-CN"/>
              </w:rPr>
            </w:pPr>
            <w:r>
              <w:rPr>
                <w:rFonts w:hint="eastAsia" w:ascii="宋体" w:hAnsi="宋体" w:cs="宋体"/>
                <w:b/>
                <w:color w:val="auto"/>
                <w:kern w:val="0"/>
                <w:szCs w:val="21"/>
                <w:highlight w:val="none"/>
              </w:rPr>
              <w:t>分值</w:t>
            </w:r>
          </w:p>
        </w:tc>
      </w:tr>
      <w:tr w14:paraId="2ED89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438" w:type="dxa"/>
            <w:gridSpan w:val="2"/>
            <w:tcBorders>
              <w:top w:val="single" w:color="auto" w:sz="4" w:space="0"/>
              <w:bottom w:val="single" w:color="auto" w:sz="4" w:space="0"/>
              <w:right w:val="single" w:color="auto" w:sz="4" w:space="0"/>
            </w:tcBorders>
            <w:vAlign w:val="center"/>
          </w:tcPr>
          <w:p w14:paraId="42A5A784">
            <w:pPr>
              <w:autoSpaceDN w:val="0"/>
              <w:spacing w:line="360" w:lineRule="exact"/>
              <w:jc w:val="left"/>
              <w:rPr>
                <w:rFonts w:hint="eastAsia" w:ascii="宋体"/>
                <w:b/>
                <w:bCs/>
                <w:color w:val="auto"/>
                <w:szCs w:val="21"/>
                <w:highlight w:val="none"/>
              </w:rPr>
            </w:pPr>
            <w:r>
              <w:rPr>
                <w:rFonts w:hint="eastAsia" w:ascii="宋体"/>
                <w:b w:val="0"/>
                <w:bCs w:val="0"/>
                <w:color w:val="auto"/>
                <w:szCs w:val="21"/>
                <w:highlight w:val="none"/>
              </w:rPr>
              <w:t>报价得分 (</w:t>
            </w:r>
            <w:r>
              <w:rPr>
                <w:rFonts w:hint="eastAsia" w:ascii="宋体"/>
                <w:b w:val="0"/>
                <w:bCs w:val="0"/>
                <w:color w:val="auto"/>
                <w:szCs w:val="21"/>
                <w:highlight w:val="none"/>
                <w:lang w:val="en-US" w:eastAsia="zh-CN"/>
              </w:rPr>
              <w:t>3</w:t>
            </w:r>
            <w:r>
              <w:rPr>
                <w:rFonts w:hint="eastAsia" w:ascii="宋体"/>
                <w:b w:val="0"/>
                <w:bCs w:val="0"/>
                <w:color w:val="auto"/>
                <w:szCs w:val="21"/>
                <w:highlight w:val="none"/>
              </w:rPr>
              <w:t>0.0分)</w:t>
            </w:r>
          </w:p>
        </w:tc>
        <w:tc>
          <w:tcPr>
            <w:tcW w:w="7605" w:type="dxa"/>
            <w:gridSpan w:val="2"/>
            <w:tcBorders>
              <w:top w:val="single" w:color="auto" w:sz="4" w:space="0"/>
              <w:left w:val="single" w:color="auto" w:sz="4" w:space="0"/>
              <w:bottom w:val="single" w:color="auto" w:sz="4" w:space="0"/>
            </w:tcBorders>
            <w:vAlign w:val="center"/>
          </w:tcPr>
          <w:p w14:paraId="7C1AC03C">
            <w:pPr>
              <w:autoSpaceDN w:val="0"/>
              <w:spacing w:line="360" w:lineRule="exact"/>
              <w:jc w:val="left"/>
              <w:rPr>
                <w:rFonts w:hint="eastAsia" w:ascii="宋体"/>
                <w:b w:val="0"/>
                <w:bCs w:val="0"/>
                <w:color w:val="auto"/>
                <w:szCs w:val="21"/>
                <w:highlight w:val="none"/>
              </w:rPr>
            </w:pPr>
            <w:r>
              <w:rPr>
                <w:rFonts w:hint="eastAsia" w:ascii="宋体"/>
                <w:b w:val="0"/>
                <w:bCs w:val="0"/>
                <w:color w:val="auto"/>
                <w:szCs w:val="21"/>
                <w:highlight w:val="none"/>
              </w:rPr>
              <w:t>报价得分＝（评标基准价/</w:t>
            </w:r>
            <w:r>
              <w:rPr>
                <w:rFonts w:hint="eastAsia" w:ascii="宋体"/>
                <w:b w:val="0"/>
                <w:bCs w:val="0"/>
                <w:color w:val="auto"/>
                <w:szCs w:val="21"/>
                <w:highlight w:val="none"/>
                <w:lang w:val="en-US" w:eastAsia="zh-CN"/>
              </w:rPr>
              <w:t>响应</w:t>
            </w:r>
            <w:r>
              <w:rPr>
                <w:rFonts w:hint="eastAsia" w:ascii="宋体"/>
                <w:b w:val="0"/>
                <w:bCs w:val="0"/>
                <w:color w:val="auto"/>
                <w:szCs w:val="21"/>
                <w:highlight w:val="none"/>
              </w:rPr>
              <w:t>报价）×价格分值【注：满足</w:t>
            </w:r>
            <w:r>
              <w:rPr>
                <w:rFonts w:hint="eastAsia" w:ascii="宋体"/>
                <w:b w:val="0"/>
                <w:bCs w:val="0"/>
                <w:color w:val="auto"/>
                <w:szCs w:val="21"/>
                <w:highlight w:val="none"/>
                <w:lang w:val="en-US" w:eastAsia="zh-CN"/>
              </w:rPr>
              <w:t>磋商</w:t>
            </w:r>
            <w:r>
              <w:rPr>
                <w:rFonts w:hint="eastAsia" w:ascii="宋体"/>
                <w:b w:val="0"/>
                <w:bCs w:val="0"/>
                <w:color w:val="auto"/>
                <w:szCs w:val="21"/>
                <w:highlight w:val="none"/>
              </w:rPr>
              <w:t>文件要求且</w:t>
            </w:r>
            <w:r>
              <w:rPr>
                <w:rFonts w:hint="eastAsia" w:ascii="宋体"/>
                <w:b w:val="0"/>
                <w:bCs w:val="0"/>
                <w:color w:val="auto"/>
                <w:szCs w:val="21"/>
                <w:highlight w:val="none"/>
                <w:lang w:val="en-US" w:eastAsia="zh-CN"/>
              </w:rPr>
              <w:t>响应</w:t>
            </w:r>
            <w:r>
              <w:rPr>
                <w:rFonts w:hint="eastAsia" w:ascii="宋体"/>
                <w:b w:val="0"/>
                <w:bCs w:val="0"/>
                <w:color w:val="auto"/>
                <w:szCs w:val="21"/>
                <w:highlight w:val="none"/>
              </w:rPr>
              <w:t>价格最低的</w:t>
            </w:r>
            <w:r>
              <w:rPr>
                <w:rFonts w:hint="eastAsia" w:ascii="宋体"/>
                <w:b w:val="0"/>
                <w:bCs w:val="0"/>
                <w:color w:val="auto"/>
                <w:szCs w:val="21"/>
                <w:highlight w:val="none"/>
                <w:lang w:val="en-US" w:eastAsia="zh-CN"/>
              </w:rPr>
              <w:t>响应</w:t>
            </w:r>
            <w:r>
              <w:rPr>
                <w:rFonts w:hint="eastAsia" w:ascii="宋体"/>
                <w:b w:val="0"/>
                <w:bCs w:val="0"/>
                <w:color w:val="auto"/>
                <w:szCs w:val="21"/>
                <w:highlight w:val="none"/>
              </w:rPr>
              <w:t>报价为评标基准价。】最低报价不是</w:t>
            </w:r>
            <w:r>
              <w:rPr>
                <w:rFonts w:hint="eastAsia" w:ascii="宋体"/>
                <w:b w:val="0"/>
                <w:bCs w:val="0"/>
                <w:color w:val="auto"/>
                <w:szCs w:val="21"/>
                <w:highlight w:val="none"/>
                <w:lang w:val="en-US" w:eastAsia="zh-CN"/>
              </w:rPr>
              <w:t>成交</w:t>
            </w:r>
            <w:r>
              <w:rPr>
                <w:rFonts w:hint="eastAsia" w:ascii="宋体"/>
                <w:b w:val="0"/>
                <w:bCs w:val="0"/>
                <w:color w:val="auto"/>
                <w:szCs w:val="21"/>
                <w:highlight w:val="none"/>
              </w:rPr>
              <w:t>的唯一依据。因落实政府采购政策进行价格调整的，以调整后的价格计算评标基准价和</w:t>
            </w:r>
            <w:r>
              <w:rPr>
                <w:rFonts w:hint="eastAsia" w:ascii="宋体"/>
                <w:b w:val="0"/>
                <w:bCs w:val="0"/>
                <w:color w:val="auto"/>
                <w:szCs w:val="21"/>
                <w:highlight w:val="none"/>
                <w:lang w:val="en-US" w:eastAsia="zh-CN"/>
              </w:rPr>
              <w:t>响应</w:t>
            </w:r>
            <w:r>
              <w:rPr>
                <w:rFonts w:hint="eastAsia" w:ascii="宋体"/>
                <w:b w:val="0"/>
                <w:bCs w:val="0"/>
                <w:color w:val="auto"/>
                <w:szCs w:val="21"/>
                <w:highlight w:val="none"/>
              </w:rPr>
              <w:t>报价。</w:t>
            </w:r>
          </w:p>
        </w:tc>
        <w:tc>
          <w:tcPr>
            <w:tcW w:w="709" w:type="dxa"/>
            <w:tcBorders>
              <w:left w:val="single" w:color="auto" w:sz="4" w:space="0"/>
            </w:tcBorders>
            <w:vAlign w:val="center"/>
          </w:tcPr>
          <w:p w14:paraId="060B9FAB">
            <w:pPr>
              <w:autoSpaceDN w:val="0"/>
              <w:spacing w:line="360" w:lineRule="exact"/>
              <w:jc w:val="center"/>
              <w:rPr>
                <w:rFonts w:hint="default" w:ascii="宋体"/>
                <w:b w:val="0"/>
                <w:bCs w:val="0"/>
                <w:color w:val="auto"/>
                <w:szCs w:val="21"/>
                <w:highlight w:val="none"/>
                <w:lang w:val="en-US" w:eastAsia="zh-CN"/>
              </w:rPr>
            </w:pPr>
            <w:r>
              <w:rPr>
                <w:rFonts w:hint="eastAsia" w:ascii="宋体"/>
                <w:b/>
                <w:bCs/>
                <w:color w:val="auto"/>
                <w:szCs w:val="21"/>
                <w:highlight w:val="none"/>
                <w:lang w:val="en-US" w:eastAsia="zh-CN"/>
              </w:rPr>
              <w:t>30分</w:t>
            </w:r>
          </w:p>
        </w:tc>
      </w:tr>
    </w:tbl>
    <w:p w14:paraId="75662DF1">
      <w:pPr>
        <w:adjustRightInd w:val="0"/>
        <w:spacing w:before="240" w:beforeLines="100"/>
        <w:ind w:right="958"/>
        <w:jc w:val="center"/>
        <w:textAlignment w:val="baseline"/>
        <w:outlineLvl w:val="0"/>
        <w:rPr>
          <w:rFonts w:ascii="宋体"/>
          <w:b/>
          <w:color w:val="auto"/>
          <w:kern w:val="0"/>
          <w:sz w:val="30"/>
          <w:szCs w:val="30"/>
          <w:highlight w:val="none"/>
        </w:rPr>
      </w:pPr>
      <w:r>
        <w:rPr>
          <w:rFonts w:hint="eastAsia" w:ascii="宋体"/>
          <w:b/>
          <w:color w:val="auto"/>
          <w:kern w:val="0"/>
          <w:sz w:val="30"/>
          <w:szCs w:val="30"/>
          <w:highlight w:val="none"/>
        </w:rPr>
        <w:br w:type="page"/>
      </w:r>
      <w:bookmarkStart w:id="439" w:name="_Toc24342"/>
      <w:r>
        <w:rPr>
          <w:rFonts w:hint="eastAsia" w:ascii="宋体"/>
          <w:b/>
          <w:color w:val="auto"/>
          <w:kern w:val="0"/>
          <w:sz w:val="30"/>
          <w:szCs w:val="30"/>
          <w:highlight w:val="none"/>
        </w:rPr>
        <w:t>第六部分  响应文件格式</w:t>
      </w:r>
      <w:bookmarkEnd w:id="420"/>
      <w:bookmarkEnd w:id="439"/>
    </w:p>
    <w:bookmarkEnd w:id="421"/>
    <w:bookmarkEnd w:id="422"/>
    <w:p w14:paraId="1AE58769">
      <w:pPr>
        <w:adjustRightInd w:val="0"/>
        <w:spacing w:before="240" w:beforeLines="100"/>
        <w:ind w:right="958"/>
        <w:jc w:val="left"/>
        <w:textAlignment w:val="baseline"/>
        <w:outlineLvl w:val="1"/>
        <w:rPr>
          <w:rFonts w:ascii="宋体"/>
          <w:b/>
          <w:bCs/>
          <w:color w:val="auto"/>
          <w:sz w:val="28"/>
          <w:szCs w:val="28"/>
          <w:highlight w:val="none"/>
        </w:rPr>
      </w:pPr>
      <w:bookmarkStart w:id="440" w:name="_Hlt520355504"/>
      <w:bookmarkEnd w:id="440"/>
      <w:bookmarkStart w:id="441" w:name="_Toc232395223"/>
      <w:bookmarkStart w:id="442" w:name="_Toc230013639"/>
      <w:bookmarkStart w:id="443" w:name="_Toc230583553"/>
      <w:bookmarkStart w:id="444" w:name="_Toc230099804"/>
      <w:bookmarkStart w:id="445" w:name="_Toc249525251"/>
      <w:bookmarkStart w:id="446" w:name="_Toc415499900"/>
      <w:bookmarkStart w:id="447" w:name="_Toc249515370"/>
      <w:bookmarkStart w:id="448" w:name="_Toc256342153"/>
      <w:bookmarkStart w:id="449" w:name="_Toc232176283"/>
      <w:bookmarkStart w:id="450" w:name="_Toc177995484"/>
      <w:bookmarkStart w:id="451" w:name="_Toc500747234"/>
      <w:bookmarkStart w:id="452" w:name="_Toc503063459"/>
      <w:bookmarkStart w:id="453" w:name="_Toc53722866"/>
      <w:bookmarkStart w:id="454" w:name="_Toc499711088"/>
      <w:bookmarkStart w:id="455" w:name="_Toc385992402"/>
      <w:bookmarkStart w:id="456" w:name="_Toc184043059"/>
      <w:bookmarkStart w:id="457" w:name="_Toc177817345"/>
      <w:bookmarkStart w:id="458" w:name="_Toc177189246"/>
      <w:bookmarkStart w:id="459" w:name="_Toc492955460"/>
      <w:bookmarkStart w:id="460" w:name="_Toc499711929"/>
      <w:bookmarkStart w:id="461" w:name="_Toc176882553"/>
      <w:bookmarkStart w:id="462" w:name="_Toc70687203"/>
      <w:bookmarkStart w:id="463" w:name="_Toc389620242"/>
      <w:bookmarkStart w:id="464" w:name="_Toc496324624"/>
      <w:bookmarkStart w:id="465" w:name="_Toc500747107"/>
      <w:bookmarkStart w:id="466" w:name="_Toc500747011"/>
      <w:r>
        <w:rPr>
          <w:rFonts w:hint="eastAsia" w:ascii="宋体"/>
          <w:b/>
          <w:bCs/>
          <w:color w:val="auto"/>
          <w:kern w:val="0"/>
          <w:sz w:val="28"/>
          <w:szCs w:val="28"/>
          <w:highlight w:val="none"/>
        </w:rPr>
        <w:t xml:space="preserve"> </w:t>
      </w:r>
      <w:bookmarkEnd w:id="441"/>
      <w:bookmarkEnd w:id="442"/>
      <w:bookmarkEnd w:id="443"/>
      <w:bookmarkEnd w:id="444"/>
      <w:bookmarkEnd w:id="445"/>
      <w:bookmarkEnd w:id="446"/>
      <w:bookmarkEnd w:id="447"/>
      <w:bookmarkEnd w:id="448"/>
      <w:bookmarkEnd w:id="449"/>
    </w:p>
    <w:p w14:paraId="63B0C9A6">
      <w:pPr>
        <w:tabs>
          <w:tab w:val="left" w:pos="5580"/>
        </w:tabs>
        <w:spacing w:line="360" w:lineRule="auto"/>
        <w:rPr>
          <w:rFonts w:ascii="宋体"/>
          <w:color w:val="auto"/>
          <w:sz w:val="24"/>
          <w:highlight w:val="none"/>
        </w:rPr>
      </w:pPr>
    </w:p>
    <w:p w14:paraId="54B91E49">
      <w:pPr>
        <w:pStyle w:val="3"/>
        <w:numPr>
          <w:ilvl w:val="1"/>
          <w:numId w:val="0"/>
        </w:numPr>
        <w:jc w:val="center"/>
        <w:rPr>
          <w:rFonts w:ascii="宋体" w:hAnsi="宋体"/>
          <w:color w:val="auto"/>
          <w:sz w:val="24"/>
          <w:highlight w:val="none"/>
        </w:rPr>
      </w:pPr>
      <w:bookmarkStart w:id="467" w:name="_Toc333238644"/>
      <w:bookmarkStart w:id="468" w:name="_Toc12650"/>
      <w:bookmarkStart w:id="469" w:name="_Toc333935357"/>
      <w:bookmarkStart w:id="470" w:name="_Toc339020106"/>
      <w:bookmarkStart w:id="471" w:name="_Toc331684049"/>
      <w:bookmarkStart w:id="472" w:name="_Toc336681591"/>
      <w:bookmarkStart w:id="473" w:name="_Toc32052"/>
      <w:bookmarkStart w:id="474" w:name="_Toc340507453"/>
      <w:bookmarkStart w:id="475" w:name="_Toc339362311"/>
      <w:bookmarkStart w:id="476" w:name="_Toc365967083"/>
      <w:bookmarkStart w:id="477" w:name="_Toc332270357"/>
      <w:bookmarkStart w:id="478" w:name="_Toc342296771"/>
      <w:bookmarkStart w:id="479" w:name="_Toc340677081"/>
      <w:bookmarkStart w:id="480" w:name="_Toc341348349"/>
      <w:bookmarkStart w:id="481" w:name="_Toc339020244"/>
      <w:bookmarkStart w:id="482" w:name="_Toc339441098"/>
      <w:bookmarkStart w:id="483" w:name="_Toc332206719"/>
      <w:bookmarkStart w:id="484" w:name="_Toc365985189"/>
      <w:bookmarkStart w:id="485" w:name="_Toc336681946"/>
      <w:bookmarkStart w:id="486" w:name="_Toc350438760"/>
      <w:bookmarkStart w:id="487" w:name="_Toc330459996"/>
      <w:bookmarkStart w:id="488" w:name="_Toc340672880"/>
      <w:bookmarkStart w:id="489" w:name="_Toc366072540"/>
      <w:bookmarkStart w:id="490" w:name="_Toc349127637"/>
      <w:bookmarkStart w:id="491" w:name="_Toc333237688"/>
      <w:bookmarkStart w:id="492" w:name="_Toc333935698"/>
      <w:bookmarkStart w:id="493" w:name="_Toc349143600"/>
      <w:bookmarkStart w:id="494" w:name="_Toc350756461"/>
      <w:bookmarkStart w:id="495" w:name="_Toc337632369"/>
      <w:bookmarkStart w:id="496" w:name="_Toc339019900"/>
      <w:bookmarkStart w:id="497" w:name="_Toc339020026"/>
      <w:bookmarkStart w:id="498" w:name="_Toc331512909"/>
      <w:bookmarkStart w:id="499" w:name="_Toc333237799"/>
      <w:bookmarkStart w:id="500" w:name="_Toc342060385"/>
      <w:bookmarkStart w:id="501" w:name="_Toc345513912"/>
      <w:r>
        <w:rPr>
          <w:rFonts w:hint="eastAsia" w:ascii="宋体" w:hAnsi="宋体"/>
          <w:color w:val="auto"/>
          <w:sz w:val="24"/>
          <w:highlight w:val="none"/>
        </w:rPr>
        <w:t>封面格式</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0F09BF7A">
      <w:pPr>
        <w:pStyle w:val="21"/>
        <w:ind w:firstLine="420"/>
        <w:rPr>
          <w:rFonts w:hAnsi="宋体"/>
          <w:bCs/>
          <w:color w:val="auto"/>
          <w:sz w:val="21"/>
          <w:highlight w:val="none"/>
        </w:rPr>
      </w:pPr>
    </w:p>
    <w:p w14:paraId="4F5CA085">
      <w:pPr>
        <w:pStyle w:val="21"/>
        <w:ind w:firstLine="420"/>
        <w:rPr>
          <w:rFonts w:hAnsi="宋体"/>
          <w:bCs/>
          <w:color w:val="auto"/>
          <w:sz w:val="21"/>
          <w:highlight w:val="none"/>
        </w:rPr>
      </w:pPr>
      <w:r>
        <w:rPr>
          <w:rFonts w:hint="eastAsia" w:hAnsi="宋体"/>
          <w:bCs/>
          <w:color w:val="auto"/>
          <w:sz w:val="21"/>
          <w:highlight w:val="none"/>
          <w:lang w:val="en-US" w:eastAsia="zh-CN"/>
        </w:rPr>
        <w:t>响应</w:t>
      </w:r>
      <w:r>
        <w:rPr>
          <w:rFonts w:hint="eastAsia" w:hAnsi="宋体"/>
          <w:bCs/>
          <w:color w:val="auto"/>
          <w:sz w:val="21"/>
          <w:highlight w:val="none"/>
        </w:rPr>
        <w:t>内容应当编有目录、页码，按页码排序并装订成册；一切未装订成册的磋商响应文件在开标、评标过程中若出现缺页、漏页等现象可能影响</w:t>
      </w:r>
      <w:r>
        <w:rPr>
          <w:rFonts w:hint="eastAsia" w:hAnsi="宋体"/>
          <w:bCs/>
          <w:color w:val="auto"/>
          <w:sz w:val="21"/>
          <w:highlight w:val="none"/>
          <w:lang w:eastAsia="zh-CN"/>
        </w:rPr>
        <w:t>供应商</w:t>
      </w:r>
      <w:r>
        <w:rPr>
          <w:rFonts w:hint="eastAsia" w:hAnsi="宋体"/>
          <w:bCs/>
          <w:color w:val="auto"/>
          <w:sz w:val="21"/>
          <w:highlight w:val="none"/>
        </w:rPr>
        <w:t>评审结果的，后果将由</w:t>
      </w:r>
      <w:r>
        <w:rPr>
          <w:rFonts w:hint="eastAsia" w:hAnsi="宋体"/>
          <w:bCs/>
          <w:color w:val="auto"/>
          <w:sz w:val="21"/>
          <w:highlight w:val="none"/>
          <w:lang w:eastAsia="zh-CN"/>
        </w:rPr>
        <w:t>供应商</w:t>
      </w:r>
      <w:r>
        <w:rPr>
          <w:rFonts w:hint="eastAsia" w:hAnsi="宋体"/>
          <w:bCs/>
          <w:color w:val="auto"/>
          <w:sz w:val="21"/>
          <w:highlight w:val="none"/>
        </w:rPr>
        <w:t>本人负责。</w:t>
      </w:r>
    </w:p>
    <w:p w14:paraId="3E8B910D">
      <w:pPr>
        <w:pStyle w:val="21"/>
        <w:ind w:firstLine="420"/>
        <w:rPr>
          <w:rFonts w:hAnsi="宋体"/>
          <w:b/>
          <w:color w:val="auto"/>
          <w:sz w:val="21"/>
          <w:szCs w:val="21"/>
          <w:highlight w:val="none"/>
        </w:rPr>
      </w:pPr>
      <w:r>
        <w:rPr>
          <w:rFonts w:hint="eastAsia" w:hAnsi="宋体"/>
          <w:bCs/>
          <w:color w:val="auto"/>
          <w:sz w:val="21"/>
          <w:highlight w:val="none"/>
        </w:rPr>
        <w:t>文件的封面格式由</w:t>
      </w:r>
      <w:r>
        <w:rPr>
          <w:rFonts w:hint="eastAsia" w:hAnsi="宋体"/>
          <w:bCs/>
          <w:color w:val="auto"/>
          <w:sz w:val="21"/>
          <w:highlight w:val="none"/>
          <w:lang w:eastAsia="zh-CN"/>
        </w:rPr>
        <w:t>供应商</w:t>
      </w:r>
      <w:r>
        <w:rPr>
          <w:rFonts w:hint="eastAsia" w:hAnsi="宋体"/>
          <w:bCs/>
          <w:color w:val="auto"/>
          <w:sz w:val="21"/>
          <w:highlight w:val="none"/>
        </w:rPr>
        <w:t>自拟，并应注明“磋商响应文件、项目编号、项目名称、</w:t>
      </w:r>
      <w:r>
        <w:rPr>
          <w:rFonts w:hint="eastAsia" w:hAnsi="宋体"/>
          <w:bCs/>
          <w:color w:val="auto"/>
          <w:sz w:val="21"/>
          <w:highlight w:val="none"/>
          <w:lang w:eastAsia="zh-CN"/>
        </w:rPr>
        <w:t>供应商</w:t>
      </w:r>
      <w:r>
        <w:rPr>
          <w:rFonts w:hint="eastAsia" w:hAnsi="宋体"/>
          <w:bCs/>
          <w:color w:val="auto"/>
          <w:sz w:val="21"/>
          <w:highlight w:val="none"/>
        </w:rPr>
        <w:t>名称及地址、法定代表人（负责人）或授权代理人、联系电话、传真、邮编，并加盖</w:t>
      </w:r>
      <w:r>
        <w:rPr>
          <w:rFonts w:hint="eastAsia" w:hAnsi="宋体"/>
          <w:bCs/>
          <w:color w:val="auto"/>
          <w:sz w:val="21"/>
          <w:highlight w:val="none"/>
          <w:lang w:eastAsia="zh-CN"/>
        </w:rPr>
        <w:t>供应商</w:t>
      </w:r>
      <w:r>
        <w:rPr>
          <w:rFonts w:hint="eastAsia" w:hAnsi="宋体"/>
          <w:bCs/>
          <w:color w:val="auto"/>
          <w:sz w:val="21"/>
          <w:highlight w:val="none"/>
        </w:rPr>
        <w:t>公章。如：</w:t>
      </w:r>
      <w:r>
        <w:rPr>
          <w:rFonts w:hint="eastAsia" w:hAnsi="宋体"/>
          <w:b/>
          <w:color w:val="auto"/>
          <w:sz w:val="21"/>
          <w:szCs w:val="21"/>
          <w:highlight w:val="none"/>
        </w:rPr>
        <w:t xml:space="preserve"> </w:t>
      </w:r>
    </w:p>
    <w:p w14:paraId="18724BDA">
      <w:pPr>
        <w:pStyle w:val="21"/>
        <w:ind w:firstLine="420"/>
        <w:rPr>
          <w:rFonts w:hAnsi="宋体"/>
          <w:bCs/>
          <w:color w:val="auto"/>
          <w:sz w:val="21"/>
          <w:highlight w:val="none"/>
        </w:rPr>
      </w:pPr>
    </w:p>
    <w:p w14:paraId="00E8DB51">
      <w:pPr>
        <w:pStyle w:val="21"/>
        <w:ind w:firstLine="420"/>
        <w:rPr>
          <w:rFonts w:hAnsi="宋体"/>
          <w:bCs/>
          <w:color w:val="auto"/>
          <w:sz w:val="21"/>
          <w:highlight w:val="none"/>
        </w:rPr>
      </w:pPr>
    </w:p>
    <w:p w14:paraId="29E7042F">
      <w:pPr>
        <w:pStyle w:val="21"/>
        <w:ind w:firstLine="420"/>
        <w:rPr>
          <w:rFonts w:hAnsi="宋体"/>
          <w:bCs/>
          <w:color w:val="auto"/>
          <w:sz w:val="21"/>
          <w:highlight w:val="none"/>
        </w:rPr>
      </w:pPr>
    </w:p>
    <w:p w14:paraId="3E3CC61E">
      <w:pPr>
        <w:pStyle w:val="21"/>
        <w:spacing w:line="440" w:lineRule="exact"/>
        <w:ind w:firstLine="420"/>
        <w:jc w:val="center"/>
        <w:rPr>
          <w:rFonts w:hAnsi="宋体"/>
          <w:bCs/>
          <w:color w:val="auto"/>
          <w:sz w:val="21"/>
          <w:highlight w:val="none"/>
        </w:rPr>
      </w:pPr>
      <w:r>
        <w:rPr>
          <w:rFonts w:hint="eastAsia" w:hAnsi="宋体"/>
          <w:bCs/>
          <w:color w:val="auto"/>
          <w:sz w:val="21"/>
          <w:highlight w:val="none"/>
        </w:rPr>
        <w:t>磋商响应文件（□正本、□副本）</w:t>
      </w:r>
    </w:p>
    <w:p w14:paraId="6EA579CB">
      <w:pPr>
        <w:pStyle w:val="21"/>
        <w:spacing w:line="440" w:lineRule="exact"/>
        <w:ind w:firstLine="420"/>
        <w:rPr>
          <w:rFonts w:hAnsi="宋体"/>
          <w:bCs/>
          <w:color w:val="auto"/>
          <w:sz w:val="21"/>
          <w:highlight w:val="none"/>
        </w:rPr>
      </w:pPr>
      <w:r>
        <w:rPr>
          <w:rFonts w:hint="eastAsia" w:hAnsi="宋体"/>
          <w:bCs/>
          <w:color w:val="auto"/>
          <w:sz w:val="21"/>
          <w:highlight w:val="none"/>
        </w:rPr>
        <w:t>项目编号：</w:t>
      </w:r>
      <w:r>
        <w:rPr>
          <w:rFonts w:hint="eastAsia" w:hAnsi="宋体"/>
          <w:bCs/>
          <w:color w:val="auto"/>
          <w:sz w:val="21"/>
          <w:highlight w:val="none"/>
          <w:u w:val="single"/>
        </w:rPr>
        <w:t xml:space="preserve">                </w:t>
      </w:r>
      <w:r>
        <w:rPr>
          <w:rFonts w:hint="eastAsia" w:hAnsi="宋体"/>
          <w:bCs/>
          <w:color w:val="auto"/>
          <w:sz w:val="21"/>
          <w:highlight w:val="none"/>
        </w:rPr>
        <w:t xml:space="preserve">             </w:t>
      </w:r>
    </w:p>
    <w:p w14:paraId="6F513A75">
      <w:pPr>
        <w:pStyle w:val="21"/>
        <w:spacing w:line="440" w:lineRule="exact"/>
        <w:ind w:firstLine="420"/>
        <w:rPr>
          <w:rFonts w:hAnsi="宋体"/>
          <w:bCs/>
          <w:color w:val="auto"/>
          <w:sz w:val="21"/>
          <w:highlight w:val="none"/>
          <w:u w:val="single"/>
        </w:rPr>
      </w:pPr>
      <w:r>
        <w:rPr>
          <w:rFonts w:hint="eastAsia" w:hAnsi="宋体"/>
          <w:bCs/>
          <w:color w:val="auto"/>
          <w:sz w:val="21"/>
          <w:highlight w:val="none"/>
        </w:rPr>
        <w:t>项目名称：</w:t>
      </w:r>
      <w:r>
        <w:rPr>
          <w:rFonts w:hint="eastAsia" w:hAnsi="宋体"/>
          <w:bCs/>
          <w:color w:val="auto"/>
          <w:sz w:val="21"/>
          <w:highlight w:val="none"/>
          <w:u w:val="single"/>
        </w:rPr>
        <w:t xml:space="preserve">     </w:t>
      </w:r>
      <w:r>
        <w:rPr>
          <w:rFonts w:hint="eastAsia" w:hAnsi="宋体" w:cs="宋体"/>
          <w:color w:val="auto"/>
          <w:sz w:val="21"/>
          <w:szCs w:val="21"/>
          <w:highlight w:val="none"/>
          <w:u w:val="single"/>
        </w:rPr>
        <w:t>采购项目名称，由</w:t>
      </w:r>
      <w:r>
        <w:rPr>
          <w:rFonts w:hint="eastAsia" w:hAnsi="宋体" w:cs="宋体"/>
          <w:color w:val="auto"/>
          <w:sz w:val="21"/>
          <w:szCs w:val="21"/>
          <w:highlight w:val="none"/>
          <w:u w:val="single"/>
          <w:lang w:eastAsia="zh-CN"/>
        </w:rPr>
        <w:t>供应商</w:t>
      </w:r>
      <w:r>
        <w:rPr>
          <w:rFonts w:hint="eastAsia" w:hAnsi="宋体" w:cs="宋体"/>
          <w:color w:val="auto"/>
          <w:sz w:val="21"/>
          <w:szCs w:val="21"/>
          <w:highlight w:val="none"/>
          <w:u w:val="single"/>
        </w:rPr>
        <w:t>填写</w:t>
      </w:r>
      <w:r>
        <w:rPr>
          <w:rFonts w:hint="eastAsia" w:hAnsi="宋体" w:cs="宋体"/>
          <w:b/>
          <w:color w:val="auto"/>
          <w:sz w:val="21"/>
          <w:szCs w:val="21"/>
          <w:highlight w:val="none"/>
          <w:u w:val="single"/>
        </w:rPr>
        <w:t xml:space="preserve">                    </w:t>
      </w:r>
      <w:r>
        <w:rPr>
          <w:rFonts w:hint="eastAsia" w:hAnsi="宋体"/>
          <w:bCs/>
          <w:color w:val="auto"/>
          <w:sz w:val="21"/>
          <w:highlight w:val="none"/>
          <w:u w:val="single"/>
        </w:rPr>
        <w:t xml:space="preserve">            </w:t>
      </w:r>
    </w:p>
    <w:p w14:paraId="4F814AD2">
      <w:pPr>
        <w:pStyle w:val="21"/>
        <w:spacing w:line="440" w:lineRule="exact"/>
        <w:ind w:firstLine="420"/>
        <w:rPr>
          <w:rFonts w:hAnsi="宋体"/>
          <w:bCs/>
          <w:color w:val="auto"/>
          <w:sz w:val="21"/>
          <w:highlight w:val="none"/>
          <w:u w:val="single"/>
        </w:rPr>
      </w:pPr>
      <w:r>
        <w:rPr>
          <w:rFonts w:hint="eastAsia" w:hAnsi="宋体"/>
          <w:bCs/>
          <w:color w:val="auto"/>
          <w:sz w:val="21"/>
          <w:highlight w:val="none"/>
          <w:lang w:eastAsia="zh-CN"/>
        </w:rPr>
        <w:t>供应商</w:t>
      </w:r>
      <w:r>
        <w:rPr>
          <w:rFonts w:hint="eastAsia" w:hAnsi="宋体"/>
          <w:bCs/>
          <w:color w:val="auto"/>
          <w:sz w:val="21"/>
          <w:highlight w:val="none"/>
        </w:rPr>
        <w:t>名称（公章）：</w:t>
      </w:r>
      <w:r>
        <w:rPr>
          <w:rFonts w:hint="eastAsia" w:hAnsi="宋体"/>
          <w:bCs/>
          <w:color w:val="auto"/>
          <w:sz w:val="21"/>
          <w:highlight w:val="none"/>
          <w:u w:val="single"/>
        </w:rPr>
        <w:t xml:space="preserve">                                                      </w:t>
      </w:r>
    </w:p>
    <w:p w14:paraId="68E64336">
      <w:pPr>
        <w:pStyle w:val="21"/>
        <w:spacing w:line="440" w:lineRule="exact"/>
        <w:ind w:firstLine="420"/>
        <w:rPr>
          <w:rFonts w:hAnsi="宋体"/>
          <w:bCs/>
          <w:color w:val="auto"/>
          <w:sz w:val="21"/>
          <w:highlight w:val="none"/>
          <w:u w:val="single"/>
        </w:rPr>
      </w:pPr>
      <w:r>
        <w:rPr>
          <w:rFonts w:hint="eastAsia" w:hAnsi="宋体"/>
          <w:bCs/>
          <w:color w:val="auto"/>
          <w:sz w:val="21"/>
          <w:highlight w:val="none"/>
          <w:lang w:eastAsia="zh-CN"/>
        </w:rPr>
        <w:t>供应商</w:t>
      </w:r>
      <w:r>
        <w:rPr>
          <w:rFonts w:hint="eastAsia" w:hAnsi="宋体"/>
          <w:bCs/>
          <w:color w:val="auto"/>
          <w:sz w:val="21"/>
          <w:highlight w:val="none"/>
        </w:rPr>
        <w:t>地址：</w:t>
      </w:r>
      <w:r>
        <w:rPr>
          <w:rFonts w:hint="eastAsia" w:hAnsi="宋体"/>
          <w:bCs/>
          <w:color w:val="auto"/>
          <w:sz w:val="21"/>
          <w:highlight w:val="none"/>
          <w:u w:val="single"/>
        </w:rPr>
        <w:t xml:space="preserve">                                                             </w:t>
      </w:r>
    </w:p>
    <w:p w14:paraId="0AF77D6D">
      <w:pPr>
        <w:pStyle w:val="21"/>
        <w:spacing w:line="440" w:lineRule="exact"/>
        <w:ind w:firstLine="420"/>
        <w:rPr>
          <w:rFonts w:hAnsi="宋体"/>
          <w:bCs/>
          <w:color w:val="auto"/>
          <w:sz w:val="21"/>
          <w:highlight w:val="none"/>
          <w:u w:val="single"/>
        </w:rPr>
      </w:pPr>
      <w:r>
        <w:rPr>
          <w:rFonts w:hint="eastAsia" w:hAnsi="宋体"/>
          <w:bCs/>
          <w:color w:val="auto"/>
          <w:sz w:val="21"/>
          <w:highlight w:val="none"/>
        </w:rPr>
        <w:t>法定代表人（负责人）或授权代理人（签字）</w:t>
      </w:r>
      <w:r>
        <w:rPr>
          <w:rFonts w:hAnsi="宋体"/>
          <w:bCs/>
          <w:color w:val="auto"/>
          <w:sz w:val="21"/>
          <w:highlight w:val="none"/>
        </w:rPr>
        <w:t>：</w:t>
      </w:r>
      <w:r>
        <w:rPr>
          <w:rFonts w:hAnsi="宋体"/>
          <w:bCs/>
          <w:color w:val="auto"/>
          <w:sz w:val="21"/>
          <w:highlight w:val="none"/>
          <w:u w:val="single"/>
        </w:rPr>
        <w:t xml:space="preserve">           </w:t>
      </w:r>
      <w:r>
        <w:rPr>
          <w:rFonts w:hint="eastAsia" w:hAnsi="宋体"/>
          <w:bCs/>
          <w:color w:val="auto"/>
          <w:sz w:val="21"/>
          <w:highlight w:val="none"/>
          <w:u w:val="single"/>
        </w:rPr>
        <w:t xml:space="preserve">                     </w:t>
      </w:r>
    </w:p>
    <w:p w14:paraId="779B3275">
      <w:pPr>
        <w:pStyle w:val="21"/>
        <w:spacing w:line="440" w:lineRule="exact"/>
        <w:ind w:firstLine="420"/>
        <w:rPr>
          <w:rFonts w:hAnsi="宋体"/>
          <w:bCs/>
          <w:color w:val="auto"/>
          <w:sz w:val="21"/>
          <w:highlight w:val="none"/>
          <w:u w:val="single"/>
        </w:rPr>
      </w:pPr>
      <w:r>
        <w:rPr>
          <w:rFonts w:hint="eastAsia" w:hAnsi="宋体"/>
          <w:bCs/>
          <w:color w:val="auto"/>
          <w:sz w:val="21"/>
          <w:highlight w:val="none"/>
        </w:rPr>
        <w:t>联系</w:t>
      </w:r>
      <w:r>
        <w:rPr>
          <w:rFonts w:hAnsi="宋体"/>
          <w:bCs/>
          <w:color w:val="auto"/>
          <w:sz w:val="21"/>
          <w:highlight w:val="none"/>
        </w:rPr>
        <w:t>电话：</w:t>
      </w:r>
      <w:r>
        <w:rPr>
          <w:rFonts w:hint="eastAsia" w:hAnsi="宋体"/>
          <w:bCs/>
          <w:color w:val="auto"/>
          <w:sz w:val="21"/>
          <w:highlight w:val="none"/>
          <w:u w:val="single"/>
        </w:rPr>
        <w:t xml:space="preserve">                           </w:t>
      </w:r>
      <w:r>
        <w:rPr>
          <w:rFonts w:hAnsi="宋体"/>
          <w:bCs/>
          <w:color w:val="auto"/>
          <w:sz w:val="21"/>
          <w:highlight w:val="none"/>
        </w:rPr>
        <w:t xml:space="preserve">   </w:t>
      </w:r>
      <w:r>
        <w:rPr>
          <w:rFonts w:hint="eastAsia" w:hAnsi="宋体"/>
          <w:bCs/>
          <w:color w:val="auto"/>
          <w:sz w:val="21"/>
          <w:highlight w:val="none"/>
        </w:rPr>
        <w:t>传真：</w:t>
      </w:r>
      <w:r>
        <w:rPr>
          <w:rFonts w:hint="eastAsia" w:hAnsi="宋体"/>
          <w:bCs/>
          <w:color w:val="auto"/>
          <w:sz w:val="21"/>
          <w:highlight w:val="none"/>
          <w:u w:val="single"/>
        </w:rPr>
        <w:t xml:space="preserve">                           </w:t>
      </w:r>
    </w:p>
    <w:p w14:paraId="5BA03A91">
      <w:pPr>
        <w:pStyle w:val="21"/>
        <w:spacing w:line="440" w:lineRule="exact"/>
        <w:ind w:firstLine="420"/>
        <w:rPr>
          <w:rFonts w:hAnsi="宋体"/>
          <w:bCs/>
          <w:color w:val="auto"/>
          <w:sz w:val="21"/>
          <w:highlight w:val="none"/>
          <w:u w:val="single"/>
        </w:rPr>
      </w:pPr>
      <w:r>
        <w:rPr>
          <w:rFonts w:hAnsi="宋体"/>
          <w:bCs/>
          <w:color w:val="auto"/>
          <w:sz w:val="21"/>
          <w:highlight w:val="none"/>
        </w:rPr>
        <w:t>邮编：</w:t>
      </w:r>
      <w:r>
        <w:rPr>
          <w:rFonts w:hint="eastAsia" w:hAnsi="宋体"/>
          <w:bCs/>
          <w:color w:val="auto"/>
          <w:sz w:val="21"/>
          <w:highlight w:val="none"/>
          <w:u w:val="single"/>
        </w:rPr>
        <w:t xml:space="preserve">                               </w:t>
      </w:r>
    </w:p>
    <w:p w14:paraId="6C86279B">
      <w:pPr>
        <w:pStyle w:val="21"/>
        <w:spacing w:line="440" w:lineRule="exact"/>
        <w:ind w:firstLine="420"/>
        <w:rPr>
          <w:rFonts w:ascii="宋体"/>
          <w:color w:val="auto"/>
          <w:highlight w:val="none"/>
        </w:rPr>
      </w:pPr>
      <w:r>
        <w:rPr>
          <w:rFonts w:hint="eastAsia" w:hAnsi="宋体"/>
          <w:bCs/>
          <w:color w:val="auto"/>
          <w:sz w:val="21"/>
          <w:highlight w:val="none"/>
        </w:rPr>
        <w:t>编制日期：</w:t>
      </w:r>
      <w:r>
        <w:rPr>
          <w:rFonts w:hint="eastAsia" w:hAnsi="宋体"/>
          <w:bCs/>
          <w:color w:val="auto"/>
          <w:sz w:val="21"/>
          <w:highlight w:val="none"/>
          <w:u w:val="single"/>
        </w:rPr>
        <w:t xml:space="preserve">      </w:t>
      </w:r>
      <w:r>
        <w:rPr>
          <w:rFonts w:hint="eastAsia" w:hAnsi="宋体"/>
          <w:bCs/>
          <w:color w:val="auto"/>
          <w:sz w:val="21"/>
          <w:highlight w:val="none"/>
        </w:rPr>
        <w:t>年</w:t>
      </w:r>
      <w:r>
        <w:rPr>
          <w:rFonts w:hint="eastAsia" w:hAnsi="宋体"/>
          <w:bCs/>
          <w:color w:val="auto"/>
          <w:sz w:val="21"/>
          <w:highlight w:val="none"/>
          <w:u w:val="single"/>
        </w:rPr>
        <w:t xml:space="preserve">      </w:t>
      </w:r>
      <w:r>
        <w:rPr>
          <w:rFonts w:hint="eastAsia" w:hAnsi="宋体"/>
          <w:bCs/>
          <w:color w:val="auto"/>
          <w:sz w:val="21"/>
          <w:highlight w:val="none"/>
        </w:rPr>
        <w:t>月</w:t>
      </w:r>
      <w:r>
        <w:rPr>
          <w:rFonts w:hint="eastAsia" w:hAnsi="宋体"/>
          <w:bCs/>
          <w:color w:val="auto"/>
          <w:sz w:val="21"/>
          <w:highlight w:val="none"/>
          <w:u w:val="single"/>
        </w:rPr>
        <w:t xml:space="preserve">      </w:t>
      </w:r>
      <w:r>
        <w:rPr>
          <w:rFonts w:hint="eastAsia" w:hAnsi="宋体"/>
          <w:bCs/>
          <w:color w:val="auto"/>
          <w:sz w:val="21"/>
          <w:highlight w:val="none"/>
        </w:rPr>
        <w:t>日</w:t>
      </w:r>
    </w:p>
    <w:p w14:paraId="2E47B77D">
      <w:pPr>
        <w:tabs>
          <w:tab w:val="left" w:pos="5580"/>
        </w:tabs>
        <w:spacing w:line="360" w:lineRule="auto"/>
        <w:rPr>
          <w:rFonts w:ascii="宋体"/>
          <w:color w:val="auto"/>
          <w:sz w:val="24"/>
          <w:highlight w:val="none"/>
        </w:rPr>
      </w:pPr>
    </w:p>
    <w:p w14:paraId="4CF6B3D9">
      <w:pPr>
        <w:tabs>
          <w:tab w:val="left" w:pos="5580"/>
        </w:tabs>
        <w:spacing w:line="360" w:lineRule="auto"/>
        <w:rPr>
          <w:rFonts w:ascii="宋体"/>
          <w:color w:val="auto"/>
          <w:sz w:val="24"/>
          <w:highlight w:val="none"/>
        </w:rPr>
      </w:pPr>
    </w:p>
    <w:p w14:paraId="4E06282E">
      <w:pPr>
        <w:pStyle w:val="37"/>
        <w:rPr>
          <w:color w:val="auto"/>
          <w:highlight w:val="none"/>
        </w:rPr>
      </w:pPr>
    </w:p>
    <w:p w14:paraId="20F74220">
      <w:pPr>
        <w:pStyle w:val="37"/>
        <w:rPr>
          <w:color w:val="auto"/>
          <w:highlight w:val="none"/>
        </w:rPr>
      </w:pPr>
    </w:p>
    <w:p w14:paraId="7B771B33">
      <w:pPr>
        <w:pStyle w:val="37"/>
        <w:rPr>
          <w:color w:val="auto"/>
          <w:highlight w:val="none"/>
        </w:rPr>
      </w:pPr>
    </w:p>
    <w:p w14:paraId="32EF14BA">
      <w:pPr>
        <w:pStyle w:val="37"/>
        <w:rPr>
          <w:color w:val="auto"/>
          <w:highlight w:val="none"/>
        </w:rPr>
      </w:pPr>
    </w:p>
    <w:p w14:paraId="012054FF">
      <w:pPr>
        <w:pStyle w:val="37"/>
        <w:rPr>
          <w:color w:val="auto"/>
          <w:highlight w:val="none"/>
        </w:rPr>
      </w:pPr>
    </w:p>
    <w:p w14:paraId="18F38297">
      <w:pPr>
        <w:pStyle w:val="37"/>
        <w:rPr>
          <w:color w:val="auto"/>
          <w:highlight w:val="none"/>
        </w:rPr>
      </w:pPr>
    </w:p>
    <w:p w14:paraId="30FE39B2">
      <w:pPr>
        <w:pStyle w:val="37"/>
        <w:rPr>
          <w:color w:val="auto"/>
          <w:highlight w:val="none"/>
        </w:rPr>
      </w:pPr>
    </w:p>
    <w:p w14:paraId="78DF1220">
      <w:pPr>
        <w:tabs>
          <w:tab w:val="left" w:pos="5580"/>
        </w:tabs>
        <w:spacing w:line="360" w:lineRule="auto"/>
        <w:rPr>
          <w:rFonts w:ascii="宋体"/>
          <w:color w:val="auto"/>
          <w:sz w:val="24"/>
          <w:highlight w:val="none"/>
        </w:rPr>
      </w:pPr>
    </w:p>
    <w:p w14:paraId="596753E1">
      <w:pPr>
        <w:tabs>
          <w:tab w:val="left" w:pos="5580"/>
        </w:tabs>
        <w:spacing w:line="360" w:lineRule="auto"/>
        <w:rPr>
          <w:rFonts w:ascii="宋体"/>
          <w:color w:val="auto"/>
          <w:sz w:val="24"/>
          <w:highlight w:val="none"/>
        </w:rPr>
      </w:pPr>
      <w:r>
        <w:rPr>
          <w:rFonts w:hint="eastAsia" w:ascii="宋体"/>
          <w:color w:val="auto"/>
          <w:sz w:val="24"/>
          <w:highlight w:val="none"/>
        </w:rPr>
        <w:t>附件1</w:t>
      </w:r>
    </w:p>
    <w:p w14:paraId="667C7A3C">
      <w:pPr>
        <w:jc w:val="center"/>
        <w:outlineLvl w:val="1"/>
        <w:rPr>
          <w:rFonts w:ascii="宋体"/>
          <w:b/>
          <w:color w:val="auto"/>
          <w:sz w:val="24"/>
          <w:highlight w:val="none"/>
        </w:rPr>
      </w:pPr>
      <w:bookmarkStart w:id="502" w:name="_Toc327978573"/>
      <w:bookmarkStart w:id="503" w:name="_Toc321820611"/>
      <w:bookmarkStart w:id="504" w:name="_Toc323036845"/>
      <w:bookmarkStart w:id="505" w:name="_Toc327979114"/>
      <w:bookmarkStart w:id="506" w:name="_Toc249515483"/>
      <w:bookmarkStart w:id="507" w:name="_Toc321684678"/>
      <w:bookmarkStart w:id="508" w:name="_Toc321820691"/>
      <w:bookmarkStart w:id="509" w:name="_Toc321813030"/>
      <w:bookmarkStart w:id="510" w:name="_Toc321820520"/>
      <w:bookmarkStart w:id="511" w:name="_Toc214357458"/>
      <w:bookmarkStart w:id="512" w:name="_Toc327978983"/>
      <w:bookmarkStart w:id="513" w:name="_Toc10697"/>
      <w:bookmarkStart w:id="514" w:name="_Toc83547687"/>
      <w:r>
        <w:rPr>
          <w:rFonts w:hint="eastAsia" w:ascii="宋体"/>
          <w:b/>
          <w:bCs/>
          <w:color w:val="auto"/>
          <w:kern w:val="0"/>
          <w:sz w:val="24"/>
          <w:highlight w:val="none"/>
        </w:rPr>
        <w:t>磋商响应函</w:t>
      </w:r>
      <w:bookmarkEnd w:id="502"/>
      <w:bookmarkEnd w:id="503"/>
      <w:bookmarkEnd w:id="504"/>
      <w:bookmarkEnd w:id="505"/>
      <w:bookmarkEnd w:id="506"/>
      <w:bookmarkEnd w:id="507"/>
      <w:bookmarkEnd w:id="508"/>
      <w:bookmarkEnd w:id="509"/>
      <w:bookmarkEnd w:id="510"/>
      <w:bookmarkEnd w:id="511"/>
      <w:bookmarkEnd w:id="512"/>
      <w:bookmarkEnd w:id="513"/>
    </w:p>
    <w:p w14:paraId="28DC0EA3">
      <w:pPr>
        <w:spacing w:line="360" w:lineRule="auto"/>
        <w:rPr>
          <w:rFonts w:ascii="宋体"/>
          <w:color w:val="auto"/>
          <w:spacing w:val="13"/>
          <w:sz w:val="24"/>
          <w:highlight w:val="none"/>
          <w:u w:val="single"/>
        </w:rPr>
      </w:pPr>
      <w:r>
        <w:rPr>
          <w:rFonts w:hint="eastAsia" w:ascii="宋体"/>
          <w:color w:val="auto"/>
          <w:spacing w:val="13"/>
          <w:sz w:val="24"/>
          <w:highlight w:val="none"/>
        </w:rPr>
        <w:t>致（采购人）：</w:t>
      </w:r>
    </w:p>
    <w:p w14:paraId="35B38EAE">
      <w:pPr>
        <w:spacing w:line="360" w:lineRule="auto"/>
        <w:rPr>
          <w:rFonts w:ascii="宋体"/>
          <w:color w:val="auto"/>
          <w:spacing w:val="13"/>
          <w:sz w:val="24"/>
          <w:highlight w:val="none"/>
        </w:rPr>
      </w:pPr>
    </w:p>
    <w:p w14:paraId="0A47B409">
      <w:pPr>
        <w:spacing w:line="360" w:lineRule="auto"/>
        <w:ind w:firstLine="532" w:firstLineChars="200"/>
        <w:rPr>
          <w:rFonts w:ascii="宋体"/>
          <w:color w:val="auto"/>
          <w:spacing w:val="9"/>
          <w:sz w:val="24"/>
          <w:highlight w:val="none"/>
        </w:rPr>
      </w:pPr>
      <w:r>
        <w:rPr>
          <w:rFonts w:hint="eastAsia" w:ascii="宋体"/>
          <w:color w:val="auto"/>
          <w:spacing w:val="13"/>
          <w:sz w:val="24"/>
          <w:highlight w:val="none"/>
        </w:rPr>
        <w:t>根据贵方为</w:t>
      </w:r>
      <w:r>
        <w:rPr>
          <w:rFonts w:hint="eastAsia" w:ascii="宋体"/>
          <w:color w:val="auto"/>
          <w:spacing w:val="13"/>
          <w:sz w:val="24"/>
          <w:highlight w:val="none"/>
          <w:u w:val="single"/>
        </w:rPr>
        <w:t>（项目名称）</w:t>
      </w:r>
      <w:r>
        <w:rPr>
          <w:rFonts w:hint="eastAsia" w:ascii="宋体"/>
          <w:color w:val="auto"/>
          <w:spacing w:val="13"/>
          <w:sz w:val="24"/>
          <w:highlight w:val="none"/>
        </w:rPr>
        <w:t>项目采购货物及服务的磋商邀请</w:t>
      </w:r>
      <w:r>
        <w:rPr>
          <w:rFonts w:hint="eastAsia" w:ascii="宋体"/>
          <w:color w:val="auto"/>
          <w:spacing w:val="13"/>
          <w:sz w:val="24"/>
          <w:highlight w:val="none"/>
          <w:u w:val="single"/>
        </w:rPr>
        <w:t>（项目编号）</w:t>
      </w:r>
      <w:r>
        <w:rPr>
          <w:rFonts w:hint="eastAsia" w:ascii="宋体"/>
          <w:color w:val="auto"/>
          <w:spacing w:val="13"/>
          <w:sz w:val="24"/>
          <w:highlight w:val="none"/>
        </w:rPr>
        <w:t>，签字代表</w:t>
      </w:r>
      <w:r>
        <w:rPr>
          <w:rFonts w:hint="eastAsia" w:ascii="宋体"/>
          <w:color w:val="auto"/>
          <w:spacing w:val="13"/>
          <w:sz w:val="24"/>
          <w:highlight w:val="none"/>
          <w:u w:val="single"/>
        </w:rPr>
        <w:t>（姓名、职务）</w:t>
      </w:r>
      <w:r>
        <w:rPr>
          <w:rFonts w:hint="eastAsia" w:ascii="宋体"/>
          <w:color w:val="auto"/>
          <w:spacing w:val="13"/>
          <w:sz w:val="24"/>
          <w:highlight w:val="none"/>
        </w:rPr>
        <w:t>经正式授权并代表供应商</w:t>
      </w:r>
      <w:r>
        <w:rPr>
          <w:rFonts w:hint="eastAsia" w:ascii="宋体"/>
          <w:color w:val="auto"/>
          <w:spacing w:val="13"/>
          <w:sz w:val="24"/>
          <w:highlight w:val="none"/>
          <w:u w:val="single"/>
        </w:rPr>
        <w:t>（供应商名称、地址）</w:t>
      </w:r>
      <w:r>
        <w:rPr>
          <w:rFonts w:hint="eastAsia" w:ascii="宋体"/>
          <w:color w:val="auto"/>
          <w:spacing w:val="13"/>
          <w:sz w:val="24"/>
          <w:highlight w:val="none"/>
        </w:rPr>
        <w:t>参加贵方组织的本次采购活动，并对此项目进行响应。</w:t>
      </w:r>
    </w:p>
    <w:p w14:paraId="66B2DA22">
      <w:pPr>
        <w:spacing w:line="360" w:lineRule="auto"/>
        <w:rPr>
          <w:rFonts w:ascii="宋体"/>
          <w:color w:val="auto"/>
          <w:sz w:val="24"/>
          <w:highlight w:val="none"/>
        </w:rPr>
      </w:pPr>
      <w:r>
        <w:rPr>
          <w:rFonts w:hint="eastAsia" w:ascii="宋体"/>
          <w:color w:val="auto"/>
          <w:spacing w:val="9"/>
          <w:sz w:val="24"/>
          <w:highlight w:val="none"/>
        </w:rPr>
        <w:t xml:space="preserve">    </w:t>
      </w:r>
      <w:r>
        <w:rPr>
          <w:rFonts w:hint="eastAsia" w:ascii="宋体"/>
          <w:color w:val="auto"/>
          <w:sz w:val="24"/>
          <w:highlight w:val="none"/>
        </w:rPr>
        <w:t>在此，签字代表宣布同意如下：</w:t>
      </w:r>
    </w:p>
    <w:p w14:paraId="5F88290C">
      <w:pPr>
        <w:spacing w:line="360" w:lineRule="auto"/>
        <w:ind w:firstLine="480" w:firstLineChars="200"/>
        <w:rPr>
          <w:rFonts w:ascii="宋体"/>
          <w:color w:val="auto"/>
          <w:sz w:val="24"/>
          <w:highlight w:val="none"/>
        </w:rPr>
      </w:pPr>
      <w:r>
        <w:rPr>
          <w:rFonts w:hint="eastAsia" w:ascii="宋体"/>
          <w:color w:val="auto"/>
          <w:sz w:val="24"/>
          <w:highlight w:val="none"/>
        </w:rPr>
        <w:t>1、我方同意在本项目竞争性磋商文件中规定的响应文件递交截止时间起</w:t>
      </w:r>
      <w:r>
        <w:rPr>
          <w:rFonts w:hint="eastAsia" w:ascii="宋体"/>
          <w:color w:val="auto"/>
          <w:sz w:val="24"/>
          <w:highlight w:val="none"/>
          <w:u w:val="single"/>
          <w:lang w:val="en-US" w:eastAsia="zh-CN"/>
        </w:rPr>
        <w:t>90</w:t>
      </w:r>
      <w:r>
        <w:rPr>
          <w:rFonts w:hint="eastAsia" w:ascii="宋体"/>
          <w:color w:val="auto"/>
          <w:sz w:val="24"/>
          <w:highlight w:val="none"/>
          <w:u w:val="single"/>
        </w:rPr>
        <w:t>日历</w:t>
      </w:r>
      <w:r>
        <w:rPr>
          <w:rFonts w:hint="eastAsia" w:ascii="宋体"/>
          <w:color w:val="auto"/>
          <w:sz w:val="24"/>
          <w:highlight w:val="none"/>
        </w:rPr>
        <w:t>天内遵守本响应文件中的承诺且在此期限期满之前均具有约束力。</w:t>
      </w:r>
    </w:p>
    <w:p w14:paraId="56D5AAE6">
      <w:pPr>
        <w:spacing w:line="360" w:lineRule="auto"/>
        <w:ind w:firstLine="480" w:firstLineChars="200"/>
        <w:rPr>
          <w:rFonts w:ascii="宋体"/>
          <w:color w:val="auto"/>
          <w:sz w:val="24"/>
          <w:highlight w:val="none"/>
        </w:rPr>
      </w:pPr>
      <w:r>
        <w:rPr>
          <w:rFonts w:hint="eastAsia" w:ascii="宋体"/>
          <w:color w:val="auto"/>
          <w:sz w:val="24"/>
          <w:highlight w:val="none"/>
        </w:rPr>
        <w:t>2、我方承诺已经具备《中华人民共和国政府采购法》中规定的参加政府采购活动的供应商应当具备的条件：</w:t>
      </w:r>
    </w:p>
    <w:p w14:paraId="16E4DF53">
      <w:pPr>
        <w:numPr>
          <w:ilvl w:val="0"/>
          <w:numId w:val="11"/>
        </w:numPr>
        <w:adjustRightInd w:val="0"/>
        <w:spacing w:line="360" w:lineRule="auto"/>
        <w:ind w:left="1201"/>
        <w:jc w:val="left"/>
        <w:textAlignment w:val="baseline"/>
        <w:rPr>
          <w:rFonts w:ascii="宋体"/>
          <w:color w:val="auto"/>
          <w:sz w:val="24"/>
          <w:highlight w:val="none"/>
        </w:rPr>
      </w:pPr>
      <w:r>
        <w:rPr>
          <w:rFonts w:hint="eastAsia" w:ascii="宋体"/>
          <w:color w:val="auto"/>
          <w:sz w:val="24"/>
          <w:highlight w:val="none"/>
        </w:rPr>
        <w:t>具有独立承担民事责任的能力；</w:t>
      </w:r>
    </w:p>
    <w:p w14:paraId="00F9C9DC">
      <w:pPr>
        <w:numPr>
          <w:ilvl w:val="0"/>
          <w:numId w:val="11"/>
        </w:numPr>
        <w:adjustRightInd w:val="0"/>
        <w:spacing w:line="360" w:lineRule="auto"/>
        <w:ind w:left="1201"/>
        <w:jc w:val="left"/>
        <w:textAlignment w:val="baseline"/>
        <w:rPr>
          <w:rFonts w:ascii="宋体"/>
          <w:color w:val="auto"/>
          <w:sz w:val="24"/>
          <w:highlight w:val="none"/>
        </w:rPr>
      </w:pPr>
      <w:r>
        <w:rPr>
          <w:rFonts w:hint="eastAsia" w:ascii="宋体"/>
          <w:color w:val="auto"/>
          <w:sz w:val="24"/>
          <w:highlight w:val="none"/>
        </w:rPr>
        <w:t>具有良好的商业信誉和健全的财务会计制度；</w:t>
      </w:r>
    </w:p>
    <w:p w14:paraId="2D71F0DE">
      <w:pPr>
        <w:numPr>
          <w:ilvl w:val="0"/>
          <w:numId w:val="11"/>
        </w:numPr>
        <w:adjustRightInd w:val="0"/>
        <w:spacing w:line="360" w:lineRule="auto"/>
        <w:ind w:left="1201"/>
        <w:jc w:val="left"/>
        <w:textAlignment w:val="baseline"/>
        <w:rPr>
          <w:rFonts w:ascii="宋体"/>
          <w:color w:val="auto"/>
          <w:sz w:val="24"/>
          <w:highlight w:val="none"/>
        </w:rPr>
      </w:pPr>
      <w:r>
        <w:rPr>
          <w:rFonts w:hint="eastAsia" w:ascii="宋体"/>
          <w:color w:val="auto"/>
          <w:sz w:val="24"/>
          <w:highlight w:val="none"/>
        </w:rPr>
        <w:t>具有履行合同所必需的设备和专业技术能力；</w:t>
      </w:r>
    </w:p>
    <w:p w14:paraId="39FA4B9B">
      <w:pPr>
        <w:numPr>
          <w:ilvl w:val="0"/>
          <w:numId w:val="11"/>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有依法缴纳税收和社会保障资金的良好记录；</w:t>
      </w:r>
    </w:p>
    <w:p w14:paraId="2B349FAF">
      <w:pPr>
        <w:numPr>
          <w:ilvl w:val="0"/>
          <w:numId w:val="11"/>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参加此项采购活动前三年内，在经营活动中没有重大违法记录。</w:t>
      </w:r>
    </w:p>
    <w:p w14:paraId="5CBE63F6">
      <w:pPr>
        <w:spacing w:line="360" w:lineRule="auto"/>
        <w:ind w:firstLine="480" w:firstLineChars="200"/>
        <w:rPr>
          <w:rFonts w:ascii="宋体"/>
          <w:color w:val="auto"/>
          <w:sz w:val="24"/>
          <w:highlight w:val="none"/>
        </w:rPr>
      </w:pPr>
      <w:r>
        <w:rPr>
          <w:rFonts w:hint="eastAsia" w:ascii="宋体"/>
          <w:color w:val="auto"/>
          <w:sz w:val="24"/>
          <w:highlight w:val="none"/>
        </w:rPr>
        <w:t>3、我方承诺我单位法人及主要业务、技术人员均无犯罪记录。</w:t>
      </w:r>
    </w:p>
    <w:p w14:paraId="1A218AA6">
      <w:pPr>
        <w:spacing w:line="360" w:lineRule="auto"/>
        <w:ind w:firstLine="480" w:firstLineChars="200"/>
        <w:rPr>
          <w:rFonts w:ascii="宋体"/>
          <w:color w:val="auto"/>
          <w:sz w:val="24"/>
          <w:highlight w:val="none"/>
        </w:rPr>
      </w:pPr>
      <w:r>
        <w:rPr>
          <w:rFonts w:hint="eastAsia" w:ascii="宋体"/>
          <w:color w:val="auto"/>
          <w:sz w:val="24"/>
          <w:highlight w:val="none"/>
        </w:rPr>
        <w:t>4、提供供应商须知规定的全部响应文件，包括响应文件正本</w:t>
      </w:r>
      <w:r>
        <w:rPr>
          <w:rFonts w:hint="eastAsia" w:ascii="宋体"/>
          <w:color w:val="auto"/>
          <w:sz w:val="24"/>
          <w:highlight w:val="none"/>
          <w:u w:val="single"/>
        </w:rPr>
        <w:t>1</w:t>
      </w:r>
      <w:r>
        <w:rPr>
          <w:rFonts w:hint="eastAsia" w:ascii="宋体"/>
          <w:color w:val="auto"/>
          <w:sz w:val="24"/>
          <w:highlight w:val="none"/>
        </w:rPr>
        <w:t>份，副本</w:t>
      </w:r>
      <w:r>
        <w:rPr>
          <w:rFonts w:hint="eastAsia" w:ascii="宋体"/>
          <w:color w:val="auto"/>
          <w:sz w:val="24"/>
          <w:highlight w:val="none"/>
          <w:u w:val="single"/>
          <w:lang w:val="en-US" w:eastAsia="zh-CN"/>
        </w:rPr>
        <w:t>4</w:t>
      </w:r>
      <w:r>
        <w:rPr>
          <w:rFonts w:hint="eastAsia" w:ascii="宋体"/>
          <w:color w:val="auto"/>
          <w:sz w:val="24"/>
          <w:highlight w:val="none"/>
        </w:rPr>
        <w:t>份，以光盘形式提供包括响应文件全部内容的电子版</w:t>
      </w:r>
      <w:r>
        <w:rPr>
          <w:rFonts w:hint="eastAsia" w:ascii="宋体"/>
          <w:color w:val="auto"/>
          <w:sz w:val="24"/>
          <w:highlight w:val="none"/>
          <w:u w:val="single"/>
        </w:rPr>
        <w:t>1份</w:t>
      </w:r>
      <w:r>
        <w:rPr>
          <w:rFonts w:hint="eastAsia" w:ascii="宋体"/>
          <w:color w:val="auto"/>
          <w:sz w:val="24"/>
          <w:highlight w:val="none"/>
        </w:rPr>
        <w:t>。</w:t>
      </w:r>
    </w:p>
    <w:p w14:paraId="04515217">
      <w:pPr>
        <w:spacing w:line="360" w:lineRule="auto"/>
        <w:ind w:firstLine="480" w:firstLineChars="200"/>
        <w:rPr>
          <w:rFonts w:ascii="宋体"/>
          <w:color w:val="auto"/>
          <w:sz w:val="24"/>
          <w:highlight w:val="none"/>
        </w:rPr>
      </w:pPr>
      <w:r>
        <w:rPr>
          <w:rFonts w:hint="eastAsia" w:ascii="宋体"/>
          <w:color w:val="auto"/>
          <w:sz w:val="24"/>
          <w:highlight w:val="none"/>
        </w:rPr>
        <w:t>5、按竞争性磋商文件要求提供和交付的货物/服务的响应报价为</w:t>
      </w:r>
      <w:r>
        <w:rPr>
          <w:rFonts w:hint="eastAsia" w:ascii="宋体"/>
          <w:color w:val="auto"/>
          <w:sz w:val="24"/>
          <w:highlight w:val="none"/>
          <w:u w:val="single"/>
        </w:rPr>
        <w:t xml:space="preserve">          </w:t>
      </w:r>
      <w:r>
        <w:rPr>
          <w:rFonts w:hint="eastAsia" w:ascii="宋体"/>
          <w:color w:val="auto"/>
          <w:sz w:val="24"/>
          <w:highlight w:val="none"/>
        </w:rPr>
        <w:t>。</w:t>
      </w:r>
    </w:p>
    <w:p w14:paraId="6F62F800">
      <w:pPr>
        <w:spacing w:line="360" w:lineRule="auto"/>
        <w:ind w:firstLine="480" w:firstLineChars="200"/>
        <w:rPr>
          <w:rFonts w:ascii="宋体"/>
          <w:color w:val="auto"/>
          <w:sz w:val="24"/>
          <w:highlight w:val="none"/>
        </w:rPr>
      </w:pPr>
      <w:r>
        <w:rPr>
          <w:rFonts w:hint="eastAsia" w:ascii="宋体"/>
          <w:color w:val="auto"/>
          <w:sz w:val="24"/>
          <w:highlight w:val="none"/>
        </w:rPr>
        <w:t>6、保证忠实地执行双方所签订的合同，并承担合同规定的责任和义务。</w:t>
      </w:r>
    </w:p>
    <w:p w14:paraId="19D281D9">
      <w:pPr>
        <w:spacing w:line="360" w:lineRule="auto"/>
        <w:ind w:firstLine="480" w:firstLineChars="200"/>
        <w:rPr>
          <w:rFonts w:ascii="宋体"/>
          <w:color w:val="auto"/>
          <w:sz w:val="24"/>
          <w:highlight w:val="none"/>
        </w:rPr>
      </w:pPr>
      <w:r>
        <w:rPr>
          <w:rFonts w:hint="eastAsia" w:ascii="宋体"/>
          <w:color w:val="auto"/>
          <w:sz w:val="24"/>
          <w:highlight w:val="none"/>
        </w:rPr>
        <w:t>7、保证遵守竞争性磋商文件的各项规定。</w:t>
      </w:r>
    </w:p>
    <w:p w14:paraId="03798A9B">
      <w:pPr>
        <w:spacing w:line="360" w:lineRule="auto"/>
        <w:ind w:firstLine="480" w:firstLineChars="200"/>
        <w:rPr>
          <w:rFonts w:ascii="宋体"/>
          <w:color w:val="auto"/>
          <w:sz w:val="24"/>
          <w:highlight w:val="none"/>
        </w:rPr>
      </w:pPr>
      <w:r>
        <w:rPr>
          <w:rFonts w:hint="eastAsia" w:ascii="宋体"/>
          <w:color w:val="auto"/>
          <w:sz w:val="24"/>
          <w:highlight w:val="none"/>
        </w:rPr>
        <w:t>8、我方完全理解贵方不一定接受最低价的响应或收到的任何响应。</w:t>
      </w:r>
    </w:p>
    <w:p w14:paraId="54C28AD7">
      <w:pPr>
        <w:spacing w:line="360" w:lineRule="auto"/>
        <w:ind w:firstLine="480" w:firstLineChars="200"/>
        <w:rPr>
          <w:rFonts w:ascii="宋体"/>
          <w:color w:val="auto"/>
          <w:sz w:val="24"/>
          <w:highlight w:val="none"/>
        </w:rPr>
      </w:pPr>
      <w:r>
        <w:rPr>
          <w:rFonts w:hint="eastAsia" w:ascii="宋体"/>
          <w:color w:val="auto"/>
          <w:sz w:val="24"/>
          <w:highlight w:val="none"/>
        </w:rPr>
        <w:t>9、我方愿意向贵方提供任何与本项目有关的数据、情况和技术资料。若贵方需要，我方愿意提供我方做出的一切承诺的证明材料。</w:t>
      </w:r>
    </w:p>
    <w:p w14:paraId="048C5455">
      <w:pPr>
        <w:spacing w:line="360" w:lineRule="auto"/>
        <w:ind w:firstLine="480" w:firstLineChars="200"/>
        <w:rPr>
          <w:rFonts w:ascii="宋体"/>
          <w:color w:val="auto"/>
          <w:sz w:val="24"/>
          <w:highlight w:val="none"/>
        </w:rPr>
      </w:pPr>
      <w:r>
        <w:rPr>
          <w:rFonts w:hint="eastAsia" w:ascii="宋体"/>
          <w:color w:val="auto"/>
          <w:sz w:val="24"/>
          <w:highlight w:val="none"/>
        </w:rPr>
        <w:t>10、我方已详细审核全部响应文件，包括响应文件修改书（如有的话）、参考资料及有关附件，确认无误。</w:t>
      </w:r>
    </w:p>
    <w:p w14:paraId="053DC0F7">
      <w:pPr>
        <w:spacing w:line="360" w:lineRule="auto"/>
        <w:ind w:firstLine="480" w:firstLineChars="200"/>
        <w:rPr>
          <w:rFonts w:ascii="宋体"/>
          <w:color w:val="auto"/>
          <w:sz w:val="24"/>
          <w:highlight w:val="none"/>
        </w:rPr>
      </w:pPr>
      <w:r>
        <w:rPr>
          <w:rFonts w:hint="eastAsia" w:ascii="宋体"/>
          <w:color w:val="auto"/>
          <w:sz w:val="24"/>
          <w:highlight w:val="none"/>
        </w:rPr>
        <w:t>11、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组织机构代码证。构成犯罪的，依法追究刑事责任：</w:t>
      </w:r>
    </w:p>
    <w:p w14:paraId="0985046C">
      <w:pPr>
        <w:numPr>
          <w:ilvl w:val="0"/>
          <w:numId w:val="12"/>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提供虚假材料谋取成交的；</w:t>
      </w:r>
    </w:p>
    <w:p w14:paraId="15E7CD40">
      <w:pPr>
        <w:numPr>
          <w:ilvl w:val="0"/>
          <w:numId w:val="12"/>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采取不正当手段诋毁、排挤其他供应商的；</w:t>
      </w:r>
    </w:p>
    <w:p w14:paraId="3A30A06D">
      <w:pPr>
        <w:numPr>
          <w:ilvl w:val="0"/>
          <w:numId w:val="12"/>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与采购人、其它供应商或者采购机构工作人员恶意串通的；</w:t>
      </w:r>
    </w:p>
    <w:p w14:paraId="3913F161">
      <w:pPr>
        <w:numPr>
          <w:ilvl w:val="0"/>
          <w:numId w:val="12"/>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向采购人、采购机构工作人员行贿或者提供其他不正当利益的；</w:t>
      </w:r>
    </w:p>
    <w:p w14:paraId="3F20B9AA">
      <w:pPr>
        <w:numPr>
          <w:ilvl w:val="0"/>
          <w:numId w:val="12"/>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未经采购人同意，在采购过程中与采购人进行协商磋商的；</w:t>
      </w:r>
    </w:p>
    <w:p w14:paraId="4CE93D7A">
      <w:pPr>
        <w:numPr>
          <w:ilvl w:val="0"/>
          <w:numId w:val="12"/>
        </w:numPr>
        <w:adjustRightInd w:val="0"/>
        <w:spacing w:line="360" w:lineRule="auto"/>
        <w:jc w:val="left"/>
        <w:textAlignment w:val="baseline"/>
        <w:rPr>
          <w:rFonts w:ascii="宋体"/>
          <w:color w:val="auto"/>
          <w:sz w:val="24"/>
          <w:highlight w:val="none"/>
        </w:rPr>
      </w:pPr>
      <w:r>
        <w:rPr>
          <w:rFonts w:hint="eastAsia" w:ascii="宋体"/>
          <w:color w:val="auto"/>
          <w:sz w:val="24"/>
          <w:highlight w:val="none"/>
        </w:rPr>
        <w:t>拒绝有关部门监督检查或提供虚假情况的。</w:t>
      </w:r>
    </w:p>
    <w:p w14:paraId="423D98EE">
      <w:pPr>
        <w:spacing w:line="360" w:lineRule="auto"/>
        <w:ind w:firstLine="480" w:firstLineChars="200"/>
        <w:rPr>
          <w:rFonts w:ascii="宋体"/>
          <w:color w:val="auto"/>
          <w:sz w:val="24"/>
          <w:highlight w:val="none"/>
        </w:rPr>
      </w:pPr>
      <w:r>
        <w:rPr>
          <w:rFonts w:hint="eastAsia" w:ascii="宋体"/>
          <w:color w:val="auto"/>
          <w:sz w:val="24"/>
          <w:highlight w:val="none"/>
        </w:rPr>
        <w:t>与本项目有关的一切往来通讯请寄</w:t>
      </w:r>
    </w:p>
    <w:p w14:paraId="3EC711EA">
      <w:pPr>
        <w:spacing w:line="360" w:lineRule="auto"/>
        <w:rPr>
          <w:rFonts w:ascii="宋体"/>
          <w:color w:val="auto"/>
          <w:sz w:val="24"/>
          <w:highlight w:val="none"/>
        </w:rPr>
      </w:pPr>
    </w:p>
    <w:p w14:paraId="053FA05C">
      <w:pPr>
        <w:spacing w:line="360" w:lineRule="auto"/>
        <w:rPr>
          <w:rFonts w:ascii="宋体"/>
          <w:color w:val="auto"/>
          <w:sz w:val="24"/>
          <w:highlight w:val="none"/>
        </w:rPr>
      </w:pPr>
      <w:r>
        <w:rPr>
          <w:rFonts w:hint="eastAsia" w:ascii="宋体"/>
          <w:color w:val="auto"/>
          <w:sz w:val="24"/>
          <w:highlight w:val="none"/>
        </w:rPr>
        <w:t>地址</w:t>
      </w:r>
      <w:r>
        <w:rPr>
          <w:rFonts w:hint="eastAsia" w:ascii="宋体"/>
          <w:color w:val="auto"/>
          <w:sz w:val="24"/>
          <w:highlight w:val="none"/>
          <w:u w:val="single"/>
        </w:rPr>
        <w:t xml:space="preserve">                    </w:t>
      </w:r>
      <w:r>
        <w:rPr>
          <w:rFonts w:hint="eastAsia" w:ascii="宋体"/>
          <w:color w:val="auto"/>
          <w:sz w:val="24"/>
          <w:highlight w:val="none"/>
        </w:rPr>
        <w:t xml:space="preserve">    传真</w:t>
      </w:r>
      <w:r>
        <w:rPr>
          <w:rFonts w:hint="eastAsia" w:ascii="宋体"/>
          <w:color w:val="auto"/>
          <w:sz w:val="24"/>
          <w:highlight w:val="none"/>
          <w:u w:val="single"/>
        </w:rPr>
        <w:t xml:space="preserve">                        </w:t>
      </w:r>
    </w:p>
    <w:p w14:paraId="41D3C57B">
      <w:pPr>
        <w:spacing w:line="360" w:lineRule="auto"/>
        <w:rPr>
          <w:rFonts w:ascii="宋体"/>
          <w:color w:val="auto"/>
          <w:sz w:val="24"/>
          <w:highlight w:val="none"/>
        </w:rPr>
      </w:pPr>
      <w:r>
        <w:rPr>
          <w:rFonts w:hint="eastAsia" w:ascii="宋体"/>
          <w:color w:val="auto"/>
          <w:sz w:val="24"/>
          <w:highlight w:val="none"/>
        </w:rPr>
        <w:t>电话</w:t>
      </w:r>
      <w:r>
        <w:rPr>
          <w:rFonts w:hint="eastAsia" w:ascii="宋体"/>
          <w:color w:val="auto"/>
          <w:sz w:val="24"/>
          <w:highlight w:val="none"/>
          <w:u w:val="single"/>
        </w:rPr>
        <w:t xml:space="preserve">                    </w:t>
      </w:r>
      <w:r>
        <w:rPr>
          <w:rFonts w:hint="eastAsia" w:ascii="宋体"/>
          <w:color w:val="auto"/>
          <w:sz w:val="24"/>
          <w:highlight w:val="none"/>
        </w:rPr>
        <w:t xml:space="preserve">    电子函件</w:t>
      </w:r>
      <w:r>
        <w:rPr>
          <w:rFonts w:hint="eastAsia" w:ascii="宋体"/>
          <w:color w:val="auto"/>
          <w:sz w:val="24"/>
          <w:highlight w:val="none"/>
          <w:u w:val="single"/>
        </w:rPr>
        <w:t xml:space="preserve">                    </w:t>
      </w:r>
    </w:p>
    <w:p w14:paraId="2177D8FD">
      <w:pPr>
        <w:spacing w:line="360" w:lineRule="auto"/>
        <w:rPr>
          <w:rFonts w:ascii="宋体"/>
          <w:color w:val="auto"/>
          <w:spacing w:val="2"/>
          <w:sz w:val="24"/>
          <w:highlight w:val="none"/>
        </w:rPr>
      </w:pPr>
    </w:p>
    <w:p w14:paraId="3883DF92">
      <w:pPr>
        <w:spacing w:line="360" w:lineRule="auto"/>
        <w:rPr>
          <w:rFonts w:ascii="宋体"/>
          <w:color w:val="auto"/>
          <w:spacing w:val="2"/>
          <w:sz w:val="24"/>
          <w:highlight w:val="none"/>
        </w:rPr>
      </w:pPr>
      <w:r>
        <w:rPr>
          <w:rFonts w:hint="eastAsia" w:ascii="宋体"/>
          <w:color w:val="auto"/>
          <w:spacing w:val="2"/>
          <w:sz w:val="24"/>
          <w:highlight w:val="none"/>
        </w:rPr>
        <w:t>供应商代表签字</w:t>
      </w:r>
      <w:r>
        <w:rPr>
          <w:rFonts w:hint="eastAsia" w:ascii="宋体"/>
          <w:color w:val="auto"/>
          <w:spacing w:val="2"/>
          <w:sz w:val="24"/>
          <w:highlight w:val="none"/>
          <w:u w:val="single"/>
        </w:rPr>
        <w:t xml:space="preserve">                            </w:t>
      </w:r>
    </w:p>
    <w:p w14:paraId="2A5DFE30">
      <w:pPr>
        <w:spacing w:line="360" w:lineRule="auto"/>
        <w:rPr>
          <w:rFonts w:ascii="宋体"/>
          <w:color w:val="auto"/>
          <w:sz w:val="24"/>
          <w:highlight w:val="none"/>
        </w:rPr>
      </w:pPr>
      <w:r>
        <w:rPr>
          <w:rFonts w:hint="eastAsia" w:ascii="宋体"/>
          <w:color w:val="auto"/>
          <w:sz w:val="24"/>
          <w:highlight w:val="none"/>
        </w:rPr>
        <w:t>供应商名称：</w:t>
      </w:r>
      <w:r>
        <w:rPr>
          <w:rFonts w:hint="eastAsia" w:ascii="宋体"/>
          <w:color w:val="auto"/>
          <w:sz w:val="24"/>
          <w:highlight w:val="none"/>
          <w:u w:val="single"/>
        </w:rPr>
        <w:t xml:space="preserve">           （盖章）            </w:t>
      </w:r>
    </w:p>
    <w:p w14:paraId="168D8F27">
      <w:pPr>
        <w:spacing w:line="360" w:lineRule="auto"/>
        <w:rPr>
          <w:rFonts w:ascii="宋体"/>
          <w:color w:val="auto"/>
          <w:sz w:val="24"/>
          <w:highlight w:val="none"/>
        </w:rPr>
      </w:pPr>
      <w:r>
        <w:rPr>
          <w:rFonts w:hint="eastAsia" w:ascii="宋体"/>
          <w:color w:val="auto"/>
          <w:sz w:val="24"/>
          <w:highlight w:val="none"/>
        </w:rPr>
        <w:t>日期：</w:t>
      </w:r>
      <w:r>
        <w:rPr>
          <w:rFonts w:hint="eastAsia" w:ascii="宋体"/>
          <w:color w:val="auto"/>
          <w:spacing w:val="2"/>
          <w:sz w:val="24"/>
          <w:highlight w:val="none"/>
          <w:u w:val="single"/>
        </w:rPr>
        <w:t xml:space="preserve">                             </w:t>
      </w:r>
      <w:r>
        <w:rPr>
          <w:rFonts w:hint="eastAsia" w:ascii="宋体"/>
          <w:color w:val="auto"/>
          <w:sz w:val="24"/>
          <w:highlight w:val="none"/>
        </w:rPr>
        <w:t xml:space="preserve"> </w:t>
      </w:r>
      <w:bookmarkStart w:id="515" w:name="_Toc230583554"/>
      <w:bookmarkStart w:id="516" w:name="_Toc232176284"/>
      <w:bookmarkStart w:id="517" w:name="_Toc230013640"/>
      <w:bookmarkStart w:id="518" w:name="_Toc232395224"/>
      <w:bookmarkStart w:id="519" w:name="_Toc249525252"/>
      <w:bookmarkStart w:id="520" w:name="_Toc256342154"/>
      <w:bookmarkStart w:id="521" w:name="_Toc230099805"/>
      <w:bookmarkStart w:id="522" w:name="_Toc249515371"/>
    </w:p>
    <w:p w14:paraId="47252555">
      <w:pPr>
        <w:tabs>
          <w:tab w:val="left" w:pos="5580"/>
        </w:tabs>
        <w:spacing w:line="360" w:lineRule="auto"/>
        <w:rPr>
          <w:rFonts w:ascii="宋体"/>
          <w:color w:val="auto"/>
          <w:sz w:val="24"/>
          <w:highlight w:val="none"/>
        </w:rPr>
      </w:pPr>
      <w:bookmarkStart w:id="523" w:name="_Toc415499901"/>
      <w:r>
        <w:rPr>
          <w:rFonts w:ascii="宋体"/>
          <w:color w:val="auto"/>
          <w:sz w:val="24"/>
          <w:highlight w:val="none"/>
        </w:rPr>
        <w:br w:type="page"/>
      </w:r>
      <w:r>
        <w:rPr>
          <w:rFonts w:hint="eastAsia" w:ascii="宋体"/>
          <w:color w:val="auto"/>
          <w:sz w:val="24"/>
          <w:highlight w:val="none"/>
        </w:rPr>
        <w:t>附件2</w:t>
      </w:r>
    </w:p>
    <w:p w14:paraId="03207761">
      <w:pPr>
        <w:pStyle w:val="1445"/>
        <w:autoSpaceDN w:val="0"/>
        <w:spacing w:line="240" w:lineRule="auto"/>
        <w:jc w:val="center"/>
        <w:rPr>
          <w:rFonts w:ascii="Times New Roman" w:hAnsi="Times New Roman" w:cs="Times New Roman"/>
          <w:color w:val="auto"/>
          <w:szCs w:val="32"/>
          <w:highlight w:val="none"/>
          <w:lang w:eastAsia="zh-CN"/>
        </w:rPr>
      </w:pPr>
      <w:bookmarkStart w:id="524" w:name="_Toc12494"/>
      <w:r>
        <w:rPr>
          <w:rFonts w:ascii="Times New Roman" w:hAnsi="Times New Roman" w:cs="Times New Roman"/>
          <w:color w:val="auto"/>
          <w:szCs w:val="32"/>
          <w:highlight w:val="none"/>
          <w:lang w:eastAsia="zh-CN"/>
        </w:rPr>
        <w:t>报价</w:t>
      </w:r>
      <w:r>
        <w:rPr>
          <w:rFonts w:hint="eastAsia" w:ascii="Times New Roman" w:hAnsi="Times New Roman" w:cs="Times New Roman"/>
          <w:color w:val="auto"/>
          <w:szCs w:val="32"/>
          <w:highlight w:val="none"/>
          <w:lang w:eastAsia="zh-CN"/>
        </w:rPr>
        <w:t>一览表</w:t>
      </w:r>
      <w:bookmarkEnd w:id="524"/>
    </w:p>
    <w:p w14:paraId="38A34975">
      <w:pPr>
        <w:pStyle w:val="1447"/>
        <w:spacing w:line="360" w:lineRule="auto"/>
        <w:rPr>
          <w:rFonts w:ascii="Calibri" w:hAnsi="Calibri"/>
          <w:color w:val="auto"/>
          <w:sz w:val="24"/>
          <w:szCs w:val="24"/>
          <w:highlight w:val="none"/>
        </w:rPr>
      </w:pPr>
      <w:r>
        <w:rPr>
          <w:rFonts w:hint="eastAsia"/>
          <w:color w:val="auto"/>
          <w:highlight w:val="none"/>
        </w:rPr>
        <w:t>项目名称：</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项目</w:t>
      </w:r>
      <w:r>
        <w:rPr>
          <w:rFonts w:hint="eastAsia"/>
          <w:color w:val="auto"/>
          <w:highlight w:val="none"/>
        </w:rPr>
        <w:t>编号：</w:t>
      </w:r>
      <w:r>
        <w:rPr>
          <w:color w:val="auto"/>
          <w:highlight w:val="none"/>
          <w:u w:val="single"/>
        </w:rPr>
        <w:t xml:space="preserve">                      </w:t>
      </w:r>
      <w:r>
        <w:rPr>
          <w:rFonts w:hint="eastAsia" w:ascii="宋体"/>
          <w:color w:val="auto"/>
          <w:sz w:val="24"/>
          <w:szCs w:val="24"/>
          <w:highlight w:val="none"/>
        </w:rPr>
        <w:t xml:space="preserve"> </w:t>
      </w:r>
    </w:p>
    <w:p w14:paraId="6A601FCF">
      <w:pPr>
        <w:pStyle w:val="1447"/>
        <w:rPr>
          <w:rFonts w:ascii="宋体"/>
          <w:color w:val="auto"/>
          <w:sz w:val="24"/>
          <w:szCs w:val="24"/>
          <w:highlight w:val="none"/>
        </w:rPr>
      </w:pPr>
    </w:p>
    <w:tbl>
      <w:tblPr>
        <w:tblStyle w:val="62"/>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2916"/>
        <w:gridCol w:w="2171"/>
        <w:gridCol w:w="2771"/>
      </w:tblGrid>
      <w:tr w14:paraId="00F3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356" w:type="dxa"/>
            <w:tcBorders>
              <w:top w:val="single" w:color="auto" w:sz="4" w:space="0"/>
              <w:left w:val="single" w:color="auto" w:sz="4" w:space="0"/>
              <w:bottom w:val="single" w:color="auto" w:sz="4" w:space="0"/>
              <w:right w:val="single" w:color="auto" w:sz="4" w:space="0"/>
            </w:tcBorders>
            <w:vAlign w:val="center"/>
          </w:tcPr>
          <w:p w14:paraId="7E69DC98">
            <w:pPr>
              <w:pStyle w:val="1447"/>
              <w:adjustRightInd w:val="0"/>
              <w:spacing w:line="360" w:lineRule="atLeast"/>
              <w:jc w:val="center"/>
              <w:rPr>
                <w:rFonts w:ascii="宋体"/>
                <w:color w:val="auto"/>
                <w:sz w:val="24"/>
                <w:szCs w:val="24"/>
                <w:highlight w:val="none"/>
              </w:rPr>
            </w:pPr>
            <w:r>
              <w:rPr>
                <w:rFonts w:hint="eastAsia" w:ascii="宋体"/>
                <w:color w:val="auto"/>
                <w:sz w:val="24"/>
                <w:szCs w:val="24"/>
                <w:highlight w:val="none"/>
              </w:rPr>
              <w:t>采购内容</w:t>
            </w:r>
          </w:p>
        </w:tc>
        <w:tc>
          <w:tcPr>
            <w:tcW w:w="2916" w:type="dxa"/>
            <w:tcBorders>
              <w:top w:val="single" w:color="auto" w:sz="4" w:space="0"/>
              <w:left w:val="single" w:color="auto" w:sz="4" w:space="0"/>
              <w:bottom w:val="single" w:color="auto" w:sz="4" w:space="0"/>
              <w:right w:val="single" w:color="auto" w:sz="4" w:space="0"/>
            </w:tcBorders>
            <w:vAlign w:val="center"/>
          </w:tcPr>
          <w:p w14:paraId="6DA81697">
            <w:pPr>
              <w:pStyle w:val="1447"/>
              <w:adjustRightInd w:val="0"/>
              <w:spacing w:line="360" w:lineRule="atLeast"/>
              <w:jc w:val="center"/>
              <w:rPr>
                <w:rFonts w:ascii="宋体"/>
                <w:color w:val="auto"/>
                <w:sz w:val="24"/>
                <w:szCs w:val="24"/>
                <w:highlight w:val="none"/>
              </w:rPr>
            </w:pPr>
            <w:r>
              <w:rPr>
                <w:rFonts w:hint="eastAsia" w:ascii="宋体"/>
                <w:color w:val="auto"/>
                <w:sz w:val="24"/>
                <w:szCs w:val="24"/>
                <w:highlight w:val="none"/>
                <w:lang w:val="en-US" w:eastAsia="zh-CN"/>
              </w:rPr>
              <w:t>折扣率报价（%）</w:t>
            </w:r>
          </w:p>
        </w:tc>
        <w:tc>
          <w:tcPr>
            <w:tcW w:w="2171" w:type="dxa"/>
            <w:tcBorders>
              <w:top w:val="single" w:color="auto" w:sz="4" w:space="0"/>
              <w:left w:val="single" w:color="auto" w:sz="4" w:space="0"/>
              <w:bottom w:val="single" w:color="auto" w:sz="4" w:space="0"/>
              <w:right w:val="single" w:color="auto" w:sz="4" w:space="0"/>
            </w:tcBorders>
            <w:vAlign w:val="center"/>
          </w:tcPr>
          <w:p w14:paraId="6C00D8EC">
            <w:pPr>
              <w:pStyle w:val="1447"/>
              <w:tabs>
                <w:tab w:val="left" w:pos="5580"/>
              </w:tabs>
              <w:jc w:val="center"/>
              <w:rPr>
                <w:rFonts w:ascii="宋体"/>
                <w:bCs/>
                <w:color w:val="auto"/>
                <w:sz w:val="24"/>
                <w:szCs w:val="24"/>
                <w:highlight w:val="none"/>
              </w:rPr>
            </w:pPr>
            <w:r>
              <w:rPr>
                <w:rFonts w:hint="eastAsia" w:ascii="宋体"/>
                <w:bCs/>
                <w:color w:val="auto"/>
                <w:sz w:val="24"/>
                <w:szCs w:val="24"/>
                <w:highlight w:val="none"/>
              </w:rPr>
              <w:t>项目</w:t>
            </w:r>
          </w:p>
          <w:p w14:paraId="6E55CBE3">
            <w:pPr>
              <w:pStyle w:val="1447"/>
              <w:tabs>
                <w:tab w:val="left" w:pos="5580"/>
              </w:tabs>
              <w:jc w:val="center"/>
              <w:rPr>
                <w:rFonts w:ascii="宋体"/>
                <w:color w:val="auto"/>
                <w:sz w:val="24"/>
                <w:szCs w:val="24"/>
                <w:highlight w:val="none"/>
              </w:rPr>
            </w:pPr>
            <w:r>
              <w:rPr>
                <w:rFonts w:hint="eastAsia" w:ascii="宋体"/>
                <w:bCs/>
                <w:color w:val="auto"/>
                <w:sz w:val="24"/>
                <w:szCs w:val="24"/>
                <w:highlight w:val="none"/>
              </w:rPr>
              <w:t>服务期</w:t>
            </w:r>
          </w:p>
        </w:tc>
        <w:tc>
          <w:tcPr>
            <w:tcW w:w="2771" w:type="dxa"/>
            <w:tcBorders>
              <w:top w:val="single" w:color="auto" w:sz="4" w:space="0"/>
              <w:left w:val="single" w:color="auto" w:sz="4" w:space="0"/>
              <w:bottom w:val="single" w:color="auto" w:sz="4" w:space="0"/>
              <w:right w:val="single" w:color="auto" w:sz="4" w:space="0"/>
            </w:tcBorders>
            <w:vAlign w:val="center"/>
          </w:tcPr>
          <w:p w14:paraId="00867A3A">
            <w:pPr>
              <w:pStyle w:val="1447"/>
              <w:adjustRightInd w:val="0"/>
              <w:spacing w:line="360" w:lineRule="atLeast"/>
              <w:jc w:val="center"/>
              <w:rPr>
                <w:rFonts w:ascii="宋体"/>
                <w:color w:val="auto"/>
                <w:sz w:val="24"/>
                <w:szCs w:val="24"/>
                <w:highlight w:val="none"/>
              </w:rPr>
            </w:pPr>
            <w:r>
              <w:rPr>
                <w:rFonts w:hint="eastAsia" w:ascii="宋体"/>
                <w:color w:val="auto"/>
                <w:sz w:val="24"/>
                <w:szCs w:val="24"/>
                <w:highlight w:val="none"/>
              </w:rPr>
              <w:t>其他声明</w:t>
            </w:r>
          </w:p>
        </w:tc>
      </w:tr>
      <w:tr w14:paraId="56C8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56" w:type="dxa"/>
            <w:tcBorders>
              <w:top w:val="single" w:color="auto" w:sz="4" w:space="0"/>
              <w:left w:val="single" w:color="auto" w:sz="4" w:space="0"/>
              <w:bottom w:val="single" w:color="auto" w:sz="4" w:space="0"/>
              <w:right w:val="single" w:color="auto" w:sz="4" w:space="0"/>
            </w:tcBorders>
            <w:vAlign w:val="center"/>
          </w:tcPr>
          <w:p w14:paraId="115C0FAF">
            <w:pPr>
              <w:pStyle w:val="1447"/>
              <w:adjustRightInd w:val="0"/>
              <w:spacing w:line="360" w:lineRule="atLeast"/>
              <w:jc w:val="center"/>
              <w:rPr>
                <w:rFonts w:ascii="宋体"/>
                <w:color w:val="auto"/>
                <w:sz w:val="24"/>
                <w:szCs w:val="24"/>
                <w:highlight w:val="none"/>
              </w:rPr>
            </w:pPr>
          </w:p>
        </w:tc>
        <w:tc>
          <w:tcPr>
            <w:tcW w:w="2916" w:type="dxa"/>
            <w:tcBorders>
              <w:top w:val="single" w:color="auto" w:sz="4" w:space="0"/>
              <w:left w:val="single" w:color="auto" w:sz="4" w:space="0"/>
              <w:bottom w:val="single" w:color="auto" w:sz="4" w:space="0"/>
              <w:right w:val="single" w:color="auto" w:sz="4" w:space="0"/>
            </w:tcBorders>
            <w:vAlign w:val="center"/>
          </w:tcPr>
          <w:p w14:paraId="0B5B15CE">
            <w:pPr>
              <w:pStyle w:val="1447"/>
              <w:adjustRightInd w:val="0"/>
              <w:spacing w:line="360" w:lineRule="atLeast"/>
              <w:rPr>
                <w:rFonts w:ascii="宋体"/>
                <w:color w:val="auto"/>
                <w:sz w:val="24"/>
                <w:szCs w:val="24"/>
                <w:highlight w:val="none"/>
              </w:rPr>
            </w:pPr>
          </w:p>
        </w:tc>
        <w:tc>
          <w:tcPr>
            <w:tcW w:w="2171" w:type="dxa"/>
            <w:tcBorders>
              <w:top w:val="single" w:color="auto" w:sz="4" w:space="0"/>
              <w:left w:val="single" w:color="auto" w:sz="4" w:space="0"/>
              <w:bottom w:val="single" w:color="auto" w:sz="4" w:space="0"/>
              <w:right w:val="single" w:color="auto" w:sz="4" w:space="0"/>
            </w:tcBorders>
            <w:vAlign w:val="center"/>
          </w:tcPr>
          <w:p w14:paraId="5E1726ED">
            <w:pPr>
              <w:pStyle w:val="1447"/>
              <w:adjustRightInd w:val="0"/>
              <w:spacing w:line="360" w:lineRule="atLeast"/>
              <w:rPr>
                <w:rFonts w:ascii="宋体"/>
                <w:color w:val="auto"/>
                <w:sz w:val="24"/>
                <w:szCs w:val="24"/>
                <w:highlight w:val="none"/>
              </w:rPr>
            </w:pPr>
          </w:p>
        </w:tc>
        <w:tc>
          <w:tcPr>
            <w:tcW w:w="2771" w:type="dxa"/>
            <w:tcBorders>
              <w:top w:val="single" w:color="auto" w:sz="4" w:space="0"/>
              <w:left w:val="single" w:color="auto" w:sz="4" w:space="0"/>
              <w:bottom w:val="single" w:color="auto" w:sz="4" w:space="0"/>
              <w:right w:val="single" w:color="auto" w:sz="4" w:space="0"/>
            </w:tcBorders>
            <w:vAlign w:val="center"/>
          </w:tcPr>
          <w:p w14:paraId="5AF334F2">
            <w:pPr>
              <w:pStyle w:val="1447"/>
              <w:adjustRightInd w:val="0"/>
              <w:spacing w:line="360" w:lineRule="atLeast"/>
              <w:rPr>
                <w:rFonts w:ascii="宋体"/>
                <w:color w:val="auto"/>
                <w:sz w:val="24"/>
                <w:szCs w:val="24"/>
                <w:highlight w:val="none"/>
              </w:rPr>
            </w:pPr>
          </w:p>
        </w:tc>
      </w:tr>
    </w:tbl>
    <w:p w14:paraId="2622D615">
      <w:pPr>
        <w:pStyle w:val="1449"/>
        <w:autoSpaceDN w:val="0"/>
        <w:spacing w:line="360" w:lineRule="auto"/>
        <w:rPr>
          <w:color w:val="auto"/>
          <w:szCs w:val="21"/>
          <w:highlight w:val="none"/>
        </w:rPr>
      </w:pPr>
      <w:r>
        <w:rPr>
          <w:rFonts w:hint="eastAsia"/>
          <w:color w:val="auto"/>
          <w:szCs w:val="21"/>
          <w:highlight w:val="none"/>
        </w:rPr>
        <w:t>注：</w:t>
      </w:r>
      <w:r>
        <w:rPr>
          <w:color w:val="auto"/>
          <w:szCs w:val="21"/>
          <w:highlight w:val="none"/>
        </w:rPr>
        <w:t>1</w:t>
      </w:r>
      <w:r>
        <w:rPr>
          <w:rFonts w:hint="eastAsia"/>
          <w:color w:val="auto"/>
          <w:szCs w:val="21"/>
          <w:highlight w:val="none"/>
        </w:rPr>
        <w:t>、此表应按</w:t>
      </w:r>
      <w:r>
        <w:rPr>
          <w:color w:val="auto"/>
          <w:szCs w:val="21"/>
          <w:highlight w:val="none"/>
        </w:rPr>
        <w:t>“供应商</w:t>
      </w:r>
      <w:r>
        <w:rPr>
          <w:rFonts w:hint="eastAsia"/>
          <w:color w:val="auto"/>
          <w:szCs w:val="21"/>
          <w:highlight w:val="none"/>
        </w:rPr>
        <w:t>须知</w:t>
      </w:r>
      <w:r>
        <w:rPr>
          <w:color w:val="auto"/>
          <w:szCs w:val="21"/>
          <w:highlight w:val="none"/>
        </w:rPr>
        <w:t>”</w:t>
      </w:r>
      <w:r>
        <w:rPr>
          <w:rFonts w:hint="eastAsia"/>
          <w:color w:val="auto"/>
          <w:szCs w:val="21"/>
          <w:highlight w:val="none"/>
        </w:rPr>
        <w:t>的规定</w:t>
      </w:r>
      <w:r>
        <w:rPr>
          <w:rFonts w:hint="eastAsia"/>
          <w:bCs/>
          <w:color w:val="auto"/>
          <w:szCs w:val="21"/>
          <w:highlight w:val="none"/>
        </w:rPr>
        <w:t>按包</w:t>
      </w:r>
      <w:r>
        <w:rPr>
          <w:rFonts w:hint="eastAsia"/>
          <w:color w:val="auto"/>
          <w:szCs w:val="21"/>
          <w:highlight w:val="none"/>
        </w:rPr>
        <w:t>密封标记并单独提交，同时在装订成册的</w:t>
      </w:r>
      <w:r>
        <w:rPr>
          <w:color w:val="auto"/>
          <w:szCs w:val="21"/>
          <w:highlight w:val="none"/>
        </w:rPr>
        <w:t>磋商</w:t>
      </w:r>
      <w:r>
        <w:rPr>
          <w:rFonts w:hint="eastAsia"/>
          <w:color w:val="auto"/>
          <w:szCs w:val="21"/>
          <w:highlight w:val="none"/>
        </w:rPr>
        <w:t>文件中仍应提供本表。</w:t>
      </w:r>
    </w:p>
    <w:p w14:paraId="34CEB0BE">
      <w:pPr>
        <w:pStyle w:val="1449"/>
        <w:autoSpaceDN w:val="0"/>
        <w:spacing w:line="360" w:lineRule="auto"/>
        <w:ind w:firstLine="420"/>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项目</w:t>
      </w:r>
      <w:r>
        <w:rPr>
          <w:rFonts w:hint="eastAsia"/>
          <w:color w:val="auto"/>
          <w:szCs w:val="21"/>
          <w:highlight w:val="none"/>
        </w:rPr>
        <w:t>总价为</w:t>
      </w:r>
      <w:r>
        <w:rPr>
          <w:rFonts w:hint="eastAsia"/>
          <w:bCs/>
          <w:color w:val="auto"/>
          <w:szCs w:val="21"/>
          <w:highlight w:val="none"/>
        </w:rPr>
        <w:t>本包</w:t>
      </w:r>
      <w:r>
        <w:rPr>
          <w:rFonts w:hint="eastAsia"/>
          <w:color w:val="auto"/>
          <w:szCs w:val="21"/>
          <w:highlight w:val="none"/>
        </w:rPr>
        <w:t>货物现场完税价（交货地点为各海关现场），已包括与本次标</w:t>
      </w:r>
      <w:r>
        <w:rPr>
          <w:color w:val="auto"/>
          <w:szCs w:val="21"/>
          <w:highlight w:val="none"/>
        </w:rPr>
        <w:t>的</w:t>
      </w:r>
      <w:r>
        <w:rPr>
          <w:rFonts w:hint="eastAsia"/>
          <w:color w:val="auto"/>
          <w:szCs w:val="21"/>
          <w:highlight w:val="none"/>
        </w:rPr>
        <w:t>货物和伴随服务相关的所有税费以及</w:t>
      </w:r>
      <w:r>
        <w:rPr>
          <w:color w:val="auto"/>
          <w:szCs w:val="21"/>
          <w:highlight w:val="none"/>
        </w:rPr>
        <w:t>供应商</w:t>
      </w:r>
      <w:r>
        <w:rPr>
          <w:rFonts w:hint="eastAsia"/>
          <w:color w:val="auto"/>
          <w:szCs w:val="21"/>
          <w:highlight w:val="none"/>
        </w:rPr>
        <w:t>为完成本项目、达到</w:t>
      </w:r>
      <w:r>
        <w:rPr>
          <w:color w:val="auto"/>
          <w:szCs w:val="21"/>
          <w:highlight w:val="none"/>
        </w:rPr>
        <w:t>磋商</w:t>
      </w:r>
      <w:r>
        <w:rPr>
          <w:rFonts w:hint="eastAsia"/>
          <w:color w:val="auto"/>
          <w:szCs w:val="21"/>
          <w:highlight w:val="none"/>
        </w:rPr>
        <w:t>文件要求所需要的全部费用，</w:t>
      </w:r>
      <w:r>
        <w:rPr>
          <w:color w:val="auto"/>
          <w:szCs w:val="21"/>
          <w:highlight w:val="none"/>
        </w:rPr>
        <w:t>采购</w:t>
      </w:r>
      <w:r>
        <w:rPr>
          <w:rFonts w:hint="eastAsia"/>
          <w:color w:val="auto"/>
          <w:szCs w:val="21"/>
          <w:highlight w:val="none"/>
        </w:rPr>
        <w:t>机构不再另行支付其他任何费用。</w:t>
      </w:r>
    </w:p>
    <w:p w14:paraId="46A48DC5">
      <w:pPr>
        <w:pStyle w:val="1449"/>
        <w:autoSpaceDN w:val="0"/>
        <w:spacing w:line="360" w:lineRule="auto"/>
        <w:ind w:firstLine="420"/>
        <w:rPr>
          <w:color w:val="auto"/>
          <w:szCs w:val="21"/>
          <w:highlight w:val="none"/>
        </w:rPr>
      </w:pPr>
      <w:r>
        <w:rPr>
          <w:rFonts w:hint="eastAsia"/>
          <w:color w:val="auto"/>
          <w:szCs w:val="21"/>
          <w:highlight w:val="none"/>
          <w:lang w:val="en-US" w:eastAsia="zh-CN"/>
        </w:rPr>
        <w:t>3</w:t>
      </w:r>
      <w:r>
        <w:rPr>
          <w:rFonts w:hint="eastAsia"/>
          <w:color w:val="auto"/>
          <w:szCs w:val="21"/>
          <w:highlight w:val="none"/>
        </w:rPr>
        <w:t>、报价项应是标</w:t>
      </w:r>
      <w:r>
        <w:rPr>
          <w:color w:val="auto"/>
          <w:szCs w:val="21"/>
          <w:highlight w:val="none"/>
        </w:rPr>
        <w:t>的</w:t>
      </w:r>
      <w:r>
        <w:rPr>
          <w:rFonts w:hint="eastAsia"/>
          <w:color w:val="auto"/>
          <w:szCs w:val="21"/>
          <w:highlight w:val="none"/>
        </w:rPr>
        <w:t>货物及相关服务的全部费用的报价；价格应按照</w:t>
      </w:r>
      <w:r>
        <w:rPr>
          <w:color w:val="auto"/>
          <w:szCs w:val="21"/>
          <w:highlight w:val="none"/>
        </w:rPr>
        <w:t>供应商</w:t>
      </w:r>
      <w:r>
        <w:rPr>
          <w:rFonts w:hint="eastAsia"/>
          <w:color w:val="auto"/>
          <w:szCs w:val="21"/>
          <w:highlight w:val="none"/>
        </w:rPr>
        <w:t>须知第</w:t>
      </w:r>
      <w:r>
        <w:rPr>
          <w:color w:val="auto"/>
          <w:szCs w:val="21"/>
          <w:highlight w:val="none"/>
        </w:rPr>
        <w:t>12</w:t>
      </w:r>
      <w:r>
        <w:rPr>
          <w:rFonts w:hint="eastAsia"/>
          <w:color w:val="auto"/>
          <w:szCs w:val="21"/>
          <w:highlight w:val="none"/>
        </w:rPr>
        <w:t>条的要求报价。</w:t>
      </w:r>
    </w:p>
    <w:p w14:paraId="29FEB9AE">
      <w:pPr>
        <w:pStyle w:val="1447"/>
        <w:spacing w:line="360" w:lineRule="auto"/>
        <w:rPr>
          <w:rFonts w:ascii="Calibri" w:hAnsi="Calibri"/>
          <w:color w:val="auto"/>
          <w:szCs w:val="20"/>
          <w:highlight w:val="none"/>
        </w:rPr>
      </w:pPr>
    </w:p>
    <w:p w14:paraId="5742CED4">
      <w:pPr>
        <w:pStyle w:val="1447"/>
        <w:spacing w:line="360" w:lineRule="auto"/>
        <w:rPr>
          <w:rFonts w:ascii="Calibri" w:hAnsi="Calibri"/>
          <w:color w:val="auto"/>
          <w:szCs w:val="20"/>
          <w:highlight w:val="none"/>
        </w:rPr>
      </w:pPr>
    </w:p>
    <w:p w14:paraId="34FDEAC8">
      <w:pPr>
        <w:spacing w:line="360" w:lineRule="auto"/>
        <w:rPr>
          <w:rFonts w:ascii="宋体"/>
          <w:color w:val="auto"/>
          <w:sz w:val="24"/>
          <w:szCs w:val="24"/>
          <w:highlight w:val="none"/>
        </w:rPr>
      </w:pPr>
      <w:r>
        <w:rPr>
          <w:rFonts w:hint="eastAsia" w:ascii="宋体"/>
          <w:color w:val="auto"/>
          <w:sz w:val="24"/>
          <w:szCs w:val="24"/>
          <w:highlight w:val="none"/>
        </w:rPr>
        <w:t>供应商代表签字：</w:t>
      </w:r>
      <w:r>
        <w:rPr>
          <w:rFonts w:hint="eastAsia" w:ascii="宋体"/>
          <w:color w:val="auto"/>
          <w:sz w:val="24"/>
          <w:szCs w:val="24"/>
          <w:highlight w:val="none"/>
          <w:u w:val="single"/>
        </w:rPr>
        <w:t xml:space="preserve">                            </w:t>
      </w:r>
    </w:p>
    <w:p w14:paraId="6EAEFB3B">
      <w:pPr>
        <w:spacing w:line="360" w:lineRule="auto"/>
        <w:rPr>
          <w:rFonts w:ascii="宋体"/>
          <w:color w:val="auto"/>
          <w:sz w:val="24"/>
          <w:szCs w:val="24"/>
          <w:highlight w:val="none"/>
        </w:rPr>
      </w:pPr>
      <w:r>
        <w:rPr>
          <w:rFonts w:hint="eastAsia" w:ascii="宋体"/>
          <w:color w:val="auto"/>
          <w:sz w:val="24"/>
          <w:szCs w:val="24"/>
          <w:highlight w:val="none"/>
        </w:rPr>
        <w:t>供应商名称：</w:t>
      </w:r>
      <w:r>
        <w:rPr>
          <w:rFonts w:hint="eastAsia" w:ascii="宋体"/>
          <w:color w:val="auto"/>
          <w:sz w:val="24"/>
          <w:szCs w:val="24"/>
          <w:highlight w:val="none"/>
          <w:u w:val="single"/>
        </w:rPr>
        <w:t xml:space="preserve">         （盖章）                </w:t>
      </w:r>
    </w:p>
    <w:p w14:paraId="0DCDA68A">
      <w:pPr>
        <w:pStyle w:val="1447"/>
        <w:spacing w:line="360" w:lineRule="auto"/>
        <w:rPr>
          <w:rFonts w:ascii="Calibri" w:hAnsi="Calibri"/>
          <w:color w:val="auto"/>
          <w:highlight w:val="none"/>
          <w:u w:val="single"/>
        </w:rPr>
      </w:pPr>
      <w:r>
        <w:rPr>
          <w:rFonts w:hint="eastAsia"/>
          <w:color w:val="auto"/>
          <w:sz w:val="24"/>
          <w:szCs w:val="24"/>
          <w:highlight w:val="none"/>
        </w:rPr>
        <w:t>日       期</w:t>
      </w:r>
      <w:r>
        <w:rPr>
          <w:rFonts w:hint="eastAsia"/>
          <w:color w:val="auto"/>
          <w:sz w:val="24"/>
          <w:szCs w:val="24"/>
          <w:highlight w:val="none"/>
          <w:lang w:eastAsia="zh-CN"/>
        </w:rPr>
        <w:t>：</w:t>
      </w:r>
      <w:r>
        <w:rPr>
          <w:rFonts w:hint="eastAsia"/>
          <w:color w:val="auto"/>
          <w:sz w:val="24"/>
          <w:szCs w:val="24"/>
          <w:highlight w:val="none"/>
          <w:u w:val="single"/>
        </w:rPr>
        <w:t xml:space="preserve">                                 </w:t>
      </w:r>
    </w:p>
    <w:p w14:paraId="2716C1CD">
      <w:pPr>
        <w:pStyle w:val="1447"/>
        <w:spacing w:line="360" w:lineRule="auto"/>
        <w:rPr>
          <w:rFonts w:ascii="Calibri" w:hAnsi="Calibri"/>
          <w:color w:val="auto"/>
          <w:highlight w:val="none"/>
          <w:u w:val="single"/>
        </w:rPr>
      </w:pPr>
    </w:p>
    <w:p w14:paraId="4E082CB4">
      <w:pPr>
        <w:pStyle w:val="1447"/>
        <w:spacing w:line="360" w:lineRule="auto"/>
        <w:rPr>
          <w:rFonts w:ascii="Calibri" w:hAnsi="Calibri"/>
          <w:color w:val="auto"/>
          <w:highlight w:val="none"/>
          <w:u w:val="single"/>
        </w:rPr>
      </w:pPr>
    </w:p>
    <w:p w14:paraId="313B88E6">
      <w:pPr>
        <w:pStyle w:val="1447"/>
        <w:spacing w:line="360" w:lineRule="auto"/>
        <w:rPr>
          <w:rFonts w:ascii="Calibri" w:hAnsi="Calibri"/>
          <w:color w:val="auto"/>
          <w:highlight w:val="none"/>
          <w:u w:val="single"/>
        </w:rPr>
      </w:pPr>
    </w:p>
    <w:p w14:paraId="312A6165">
      <w:pPr>
        <w:pStyle w:val="1447"/>
        <w:spacing w:line="360" w:lineRule="auto"/>
        <w:rPr>
          <w:rFonts w:ascii="Calibri" w:hAnsi="Calibri"/>
          <w:color w:val="auto"/>
          <w:highlight w:val="none"/>
          <w:u w:val="single"/>
        </w:rPr>
      </w:pPr>
    </w:p>
    <w:p w14:paraId="71499E2C">
      <w:pPr>
        <w:pStyle w:val="1447"/>
        <w:spacing w:line="360" w:lineRule="auto"/>
        <w:rPr>
          <w:rFonts w:ascii="Calibri" w:hAnsi="Calibri"/>
          <w:color w:val="auto"/>
          <w:highlight w:val="none"/>
          <w:u w:val="single"/>
        </w:rPr>
      </w:pPr>
    </w:p>
    <w:p w14:paraId="2C9579BD">
      <w:pPr>
        <w:pStyle w:val="1447"/>
        <w:spacing w:line="360" w:lineRule="auto"/>
        <w:rPr>
          <w:rFonts w:ascii="Calibri" w:hAnsi="Calibri"/>
          <w:color w:val="auto"/>
          <w:highlight w:val="none"/>
          <w:u w:val="single"/>
        </w:rPr>
      </w:pPr>
    </w:p>
    <w:p w14:paraId="6EF1B703">
      <w:pPr>
        <w:pStyle w:val="1447"/>
        <w:spacing w:line="360" w:lineRule="auto"/>
        <w:rPr>
          <w:rFonts w:ascii="Calibri" w:hAnsi="Calibri"/>
          <w:color w:val="auto"/>
          <w:highlight w:val="none"/>
          <w:u w:val="single"/>
        </w:rPr>
      </w:pPr>
    </w:p>
    <w:p w14:paraId="66DF700A">
      <w:pPr>
        <w:pStyle w:val="1447"/>
        <w:spacing w:line="360" w:lineRule="auto"/>
        <w:rPr>
          <w:rFonts w:ascii="Calibri" w:hAnsi="Calibri"/>
          <w:color w:val="auto"/>
          <w:highlight w:val="none"/>
          <w:u w:val="single"/>
        </w:rPr>
      </w:pPr>
    </w:p>
    <w:p w14:paraId="6B42771E">
      <w:pPr>
        <w:pStyle w:val="1447"/>
        <w:spacing w:line="360" w:lineRule="auto"/>
        <w:rPr>
          <w:rFonts w:ascii="Calibri" w:hAnsi="Calibri"/>
          <w:color w:val="auto"/>
          <w:highlight w:val="none"/>
          <w:u w:val="single"/>
        </w:rPr>
      </w:pPr>
    </w:p>
    <w:p w14:paraId="34C08EAA">
      <w:pPr>
        <w:pStyle w:val="1447"/>
        <w:spacing w:line="360" w:lineRule="auto"/>
        <w:rPr>
          <w:rFonts w:ascii="Calibri" w:hAnsi="Calibri"/>
          <w:color w:val="auto"/>
          <w:highlight w:val="none"/>
          <w:u w:val="single"/>
        </w:rPr>
      </w:pPr>
    </w:p>
    <w:p w14:paraId="086A4129">
      <w:pPr>
        <w:pStyle w:val="1447"/>
        <w:spacing w:line="360" w:lineRule="auto"/>
        <w:rPr>
          <w:rFonts w:ascii="Calibri" w:hAnsi="Calibri"/>
          <w:color w:val="auto"/>
          <w:highlight w:val="none"/>
          <w:u w:val="single"/>
        </w:rPr>
      </w:pPr>
    </w:p>
    <w:p w14:paraId="29208BFA">
      <w:pPr>
        <w:pStyle w:val="1447"/>
        <w:spacing w:line="360" w:lineRule="auto"/>
        <w:rPr>
          <w:rFonts w:ascii="Calibri" w:hAnsi="Calibri"/>
          <w:color w:val="auto"/>
          <w:highlight w:val="none"/>
          <w:u w:val="single"/>
        </w:rPr>
      </w:pPr>
    </w:p>
    <w:p w14:paraId="6501D6DD">
      <w:pPr>
        <w:tabs>
          <w:tab w:val="left" w:pos="5580"/>
        </w:tabs>
        <w:spacing w:line="360" w:lineRule="auto"/>
        <w:rPr>
          <w:rFonts w:ascii="宋体"/>
          <w:color w:val="auto"/>
          <w:sz w:val="24"/>
          <w:highlight w:val="none"/>
        </w:rPr>
      </w:pPr>
      <w:r>
        <w:rPr>
          <w:rFonts w:hint="eastAsia" w:ascii="宋体"/>
          <w:color w:val="auto"/>
          <w:sz w:val="24"/>
          <w:highlight w:val="none"/>
        </w:rPr>
        <w:t>附件3</w:t>
      </w:r>
    </w:p>
    <w:p w14:paraId="1B6080CD">
      <w:pPr>
        <w:pStyle w:val="3"/>
        <w:numPr>
          <w:ilvl w:val="1"/>
          <w:numId w:val="0"/>
        </w:numPr>
        <w:spacing w:line="360" w:lineRule="auto"/>
        <w:jc w:val="center"/>
        <w:rPr>
          <w:rFonts w:ascii="宋体" w:hAnsi="宋体"/>
          <w:color w:val="auto"/>
          <w:kern w:val="0"/>
          <w:sz w:val="28"/>
          <w:szCs w:val="28"/>
          <w:highlight w:val="none"/>
        </w:rPr>
      </w:pPr>
      <w:bookmarkStart w:id="525" w:name="_Toc20678"/>
      <w:r>
        <w:rPr>
          <w:rFonts w:hint="eastAsia" w:ascii="宋体" w:hAnsi="宋体"/>
          <w:color w:val="auto"/>
          <w:kern w:val="0"/>
          <w:sz w:val="28"/>
          <w:szCs w:val="28"/>
          <w:highlight w:val="none"/>
        </w:rPr>
        <w:t>法定代表人（负责人）证明书</w:t>
      </w:r>
      <w:bookmarkEnd w:id="525"/>
    </w:p>
    <w:p w14:paraId="1D98E88B">
      <w:pPr>
        <w:pStyle w:val="21"/>
        <w:ind w:firstLine="480"/>
        <w:rPr>
          <w:rFonts w:hAnsi="宋体"/>
          <w:color w:val="auto"/>
          <w:highlight w:val="none"/>
        </w:rPr>
      </w:pPr>
    </w:p>
    <w:p w14:paraId="2A1BCBA6">
      <w:pPr>
        <w:spacing w:line="360" w:lineRule="auto"/>
        <w:ind w:firstLine="420" w:firstLineChars="200"/>
        <w:rPr>
          <w:rFonts w:ascii="宋体" w:hAnsi="宋体"/>
          <w:color w:val="auto"/>
          <w:highlight w:val="none"/>
        </w:rPr>
      </w:pPr>
      <w:r>
        <w:rPr>
          <w:rFonts w:hint="eastAsia" w:ascii="宋体" w:hAnsi="宋体"/>
          <w:color w:val="auto"/>
          <w:highlight w:val="none"/>
          <w:u w:val="single"/>
        </w:rPr>
        <w:t xml:space="preserve">      单位法定代表人（负责人）姓名     </w:t>
      </w:r>
      <w:r>
        <w:rPr>
          <w:rFonts w:hint="eastAsia" w:ascii="宋体" w:hAnsi="宋体"/>
          <w:color w:val="auto"/>
          <w:highlight w:val="none"/>
        </w:rPr>
        <w:t>同志，现任</w:t>
      </w:r>
      <w:r>
        <w:rPr>
          <w:rFonts w:hint="eastAsia" w:ascii="宋体" w:hAnsi="宋体"/>
          <w:color w:val="auto"/>
          <w:highlight w:val="none"/>
          <w:u w:val="single"/>
        </w:rPr>
        <w:t xml:space="preserve">       供应商名称                  </w:t>
      </w:r>
      <w:r>
        <w:rPr>
          <w:rFonts w:hint="eastAsia" w:ascii="宋体" w:hAnsi="宋体"/>
          <w:color w:val="auto"/>
          <w:highlight w:val="none"/>
        </w:rPr>
        <w:t xml:space="preserve">的   </w:t>
      </w:r>
      <w:r>
        <w:rPr>
          <w:rFonts w:hint="eastAsia" w:ascii="宋体" w:hAnsi="宋体"/>
          <w:color w:val="auto"/>
          <w:highlight w:val="none"/>
          <w:u w:val="single"/>
        </w:rPr>
        <w:t xml:space="preserve">职务    </w:t>
      </w:r>
      <w:r>
        <w:rPr>
          <w:rFonts w:hint="eastAsia" w:ascii="宋体" w:hAnsi="宋体"/>
          <w:color w:val="auto"/>
          <w:highlight w:val="none"/>
        </w:rPr>
        <w:t>，为法定代表人（负责人），特此证明。</w:t>
      </w:r>
    </w:p>
    <w:p w14:paraId="73CC590C">
      <w:pPr>
        <w:spacing w:line="360" w:lineRule="auto"/>
        <w:ind w:firstLine="420" w:firstLineChars="200"/>
        <w:rPr>
          <w:rFonts w:ascii="宋体" w:hAnsi="宋体"/>
          <w:color w:val="auto"/>
          <w:highlight w:val="none"/>
        </w:rPr>
      </w:pPr>
      <w:r>
        <w:rPr>
          <w:rFonts w:hint="eastAsia" w:ascii="宋体" w:hAnsi="宋体"/>
          <w:color w:val="auto"/>
          <w:highlight w:val="none"/>
        </w:rPr>
        <w:t xml:space="preserve">      </w:t>
      </w:r>
    </w:p>
    <w:p w14:paraId="2614ECAB">
      <w:pPr>
        <w:spacing w:line="360" w:lineRule="auto"/>
        <w:ind w:firstLine="420" w:firstLineChars="200"/>
        <w:rPr>
          <w:rFonts w:ascii="宋体" w:hAnsi="宋体"/>
          <w:color w:val="auto"/>
          <w:highlight w:val="none"/>
          <w:u w:val="single"/>
        </w:rPr>
      </w:pPr>
      <w:r>
        <w:rPr>
          <w:rFonts w:hint="eastAsia" w:ascii="宋体" w:hAnsi="宋体"/>
          <w:color w:val="auto"/>
          <w:highlight w:val="none"/>
        </w:rPr>
        <w:t>签发单位：</w:t>
      </w:r>
      <w:r>
        <w:rPr>
          <w:rFonts w:hint="eastAsia" w:ascii="宋体" w:hAnsi="宋体"/>
          <w:color w:val="auto"/>
          <w:highlight w:val="none"/>
          <w:u w:val="single"/>
        </w:rPr>
        <w:t xml:space="preserve">（名称并加盖公章）         </w:t>
      </w:r>
    </w:p>
    <w:p w14:paraId="2DEF8BD3">
      <w:pPr>
        <w:spacing w:line="360" w:lineRule="auto"/>
        <w:ind w:firstLine="420" w:firstLineChars="200"/>
        <w:rPr>
          <w:rFonts w:ascii="宋体" w:hAnsi="宋体"/>
          <w:color w:val="auto"/>
          <w:highlight w:val="none"/>
        </w:rPr>
      </w:pPr>
      <w:r>
        <w:rPr>
          <w:rFonts w:hint="eastAsia" w:ascii="宋体" w:hAnsi="宋体"/>
          <w:color w:val="auto"/>
          <w:highlight w:val="none"/>
        </w:rPr>
        <w:t xml:space="preserve">                          </w:t>
      </w:r>
    </w:p>
    <w:p w14:paraId="4628AFA6">
      <w:pPr>
        <w:spacing w:line="360" w:lineRule="auto"/>
        <w:ind w:firstLine="420" w:firstLineChars="200"/>
        <w:rPr>
          <w:rFonts w:ascii="宋体" w:hAnsi="宋体"/>
          <w:color w:val="auto"/>
          <w:highlight w:val="none"/>
        </w:rPr>
      </w:pPr>
      <w:r>
        <w:rPr>
          <w:rFonts w:hint="eastAsia" w:ascii="宋体" w:hAnsi="宋体"/>
          <w:color w:val="auto"/>
          <w:highlight w:val="none"/>
        </w:rPr>
        <w:t>签发日期：</w:t>
      </w:r>
      <w:r>
        <w:rPr>
          <w:rFonts w:hint="eastAsia" w:ascii="宋体" w:hAnsi="宋体"/>
          <w:color w:val="auto"/>
          <w:highlight w:val="none"/>
          <w:u w:val="single"/>
        </w:rPr>
        <w:t xml:space="preserve">                          </w:t>
      </w:r>
      <w:r>
        <w:rPr>
          <w:rFonts w:hint="eastAsia" w:ascii="宋体" w:hAnsi="宋体"/>
          <w:color w:val="auto"/>
          <w:highlight w:val="none"/>
        </w:rPr>
        <w:t>有效日期至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734BE02">
      <w:pPr>
        <w:spacing w:line="360" w:lineRule="auto"/>
        <w:ind w:firstLine="420" w:firstLineChars="200"/>
        <w:rPr>
          <w:rFonts w:ascii="宋体" w:hAnsi="宋体"/>
          <w:color w:val="auto"/>
          <w:highlight w:val="none"/>
        </w:rPr>
      </w:pPr>
    </w:p>
    <w:p w14:paraId="1475EF14">
      <w:pPr>
        <w:spacing w:line="360" w:lineRule="auto"/>
        <w:ind w:firstLine="420" w:firstLineChars="200"/>
        <w:rPr>
          <w:rFonts w:ascii="宋体" w:hAnsi="宋体"/>
          <w:color w:val="auto"/>
          <w:highlight w:val="none"/>
        </w:rPr>
      </w:pPr>
      <w:r>
        <w:rPr>
          <w:rFonts w:hint="eastAsia" w:ascii="宋体" w:hAnsi="宋体"/>
          <w:color w:val="auto"/>
          <w:highlight w:val="none"/>
        </w:rPr>
        <w:t>附：代表人性别：</w:t>
      </w:r>
      <w:r>
        <w:rPr>
          <w:rFonts w:hint="eastAsia" w:ascii="宋体" w:hAnsi="宋体"/>
          <w:color w:val="auto"/>
          <w:highlight w:val="none"/>
          <w:u w:val="single"/>
        </w:rPr>
        <w:t xml:space="preserve">              </w:t>
      </w:r>
      <w:r>
        <w:rPr>
          <w:rFonts w:hint="eastAsia" w:ascii="宋体" w:hAnsi="宋体"/>
          <w:color w:val="auto"/>
          <w:highlight w:val="none"/>
        </w:rPr>
        <w:t xml:space="preserve"> 年龄：</w:t>
      </w:r>
      <w:r>
        <w:rPr>
          <w:rFonts w:hint="eastAsia" w:ascii="宋体" w:hAnsi="宋体"/>
          <w:color w:val="auto"/>
          <w:highlight w:val="none"/>
          <w:u w:val="single"/>
        </w:rPr>
        <w:t xml:space="preserve">       </w:t>
      </w:r>
      <w:r>
        <w:rPr>
          <w:rFonts w:hint="eastAsia" w:ascii="宋体" w:hAnsi="宋体"/>
          <w:color w:val="auto"/>
          <w:highlight w:val="none"/>
        </w:rPr>
        <w:t xml:space="preserve">岁    </w:t>
      </w:r>
    </w:p>
    <w:p w14:paraId="6F1B9BCF">
      <w:pPr>
        <w:spacing w:line="360" w:lineRule="auto"/>
        <w:ind w:firstLine="420" w:firstLineChars="200"/>
        <w:rPr>
          <w:rFonts w:ascii="宋体" w:hAnsi="宋体"/>
          <w:color w:val="auto"/>
          <w:highlight w:val="none"/>
        </w:rPr>
      </w:pPr>
    </w:p>
    <w:p w14:paraId="5AB2609C">
      <w:pPr>
        <w:pStyle w:val="1253"/>
        <w:rPr>
          <w:rFonts w:ascii="宋体"/>
          <w:color w:val="auto"/>
          <w:sz w:val="21"/>
          <w:szCs w:val="21"/>
          <w:highlight w:val="none"/>
        </w:rPr>
      </w:pPr>
      <w:r>
        <w:rPr>
          <w:rFonts w:hint="eastAsia" w:ascii="宋体" w:hAnsi="宋体"/>
          <w:color w:val="auto"/>
          <w:sz w:val="21"/>
          <w:szCs w:val="21"/>
          <w:highlight w:val="none"/>
        </w:rPr>
        <w:t>说明： 内容必须填写真实、清楚，涂改无效，不得转让、买卖。</w:t>
      </w:r>
    </w:p>
    <w:p w14:paraId="4047D506">
      <w:pPr>
        <w:pStyle w:val="1378"/>
        <w:autoSpaceDN w:val="0"/>
        <w:spacing w:line="360" w:lineRule="auto"/>
        <w:rPr>
          <w:rFonts w:ascii="宋体"/>
          <w:b/>
          <w:bCs/>
          <w:color w:val="auto"/>
          <w:kern w:val="0"/>
          <w:sz w:val="28"/>
          <w:szCs w:val="28"/>
          <w:highlight w:val="none"/>
        </w:rPr>
      </w:pPr>
    </w:p>
    <w:bookmarkEnd w:id="515"/>
    <w:bookmarkEnd w:id="516"/>
    <w:bookmarkEnd w:id="517"/>
    <w:bookmarkEnd w:id="518"/>
    <w:bookmarkEnd w:id="519"/>
    <w:bookmarkEnd w:id="520"/>
    <w:bookmarkEnd w:id="521"/>
    <w:bookmarkEnd w:id="522"/>
    <w:bookmarkEnd w:id="523"/>
    <w:p w14:paraId="77BB9628">
      <w:pPr>
        <w:spacing w:line="360" w:lineRule="auto"/>
        <w:rPr>
          <w:rFonts w:ascii="宋体"/>
          <w:color w:val="auto"/>
          <w:sz w:val="24"/>
          <w:highlight w:val="none"/>
          <w:u w:val="single"/>
        </w:rPr>
      </w:pPr>
    </w:p>
    <w:p w14:paraId="4C642EAD">
      <w:pPr>
        <w:pStyle w:val="37"/>
        <w:rPr>
          <w:color w:val="auto"/>
          <w:highlight w:val="none"/>
          <w:u w:val="single"/>
        </w:rPr>
      </w:pPr>
    </w:p>
    <w:p w14:paraId="142F753F">
      <w:pPr>
        <w:pStyle w:val="37"/>
        <w:rPr>
          <w:color w:val="auto"/>
          <w:highlight w:val="none"/>
          <w:u w:val="single"/>
        </w:rPr>
        <w:sectPr>
          <w:footerReference r:id="rId8" w:type="default"/>
          <w:pgSz w:w="11907" w:h="16840"/>
          <w:pgMar w:top="1758" w:right="1361" w:bottom="1588" w:left="1361" w:header="851" w:footer="851" w:gutter="0"/>
          <w:cols w:space="720" w:num="1"/>
          <w:docGrid w:linePitch="462" w:charSpace="0"/>
        </w:sectPr>
      </w:pPr>
      <w:r>
        <w:rPr>
          <w:rFonts w:hAnsi="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868680</wp:posOffset>
                </wp:positionH>
                <wp:positionV relativeFrom="paragraph">
                  <wp:posOffset>-240665</wp:posOffset>
                </wp:positionV>
                <wp:extent cx="3502660" cy="1781810"/>
                <wp:effectExtent l="5080" t="4445" r="16510" b="23495"/>
                <wp:wrapNone/>
                <wp:docPr id="3" name="自选图形 193"/>
                <wp:cNvGraphicFramePr/>
                <a:graphic xmlns:a="http://schemas.openxmlformats.org/drawingml/2006/main">
                  <a:graphicData uri="http://schemas.microsoft.com/office/word/2010/wordprocessingShape">
                    <wps:wsp>
                      <wps:cNvSpPr>
                        <a:spLocks noChangeArrowheads="1"/>
                      </wps:cNvSpPr>
                      <wps:spPr bwMode="auto">
                        <a:xfrm>
                          <a:off x="0" y="0"/>
                          <a:ext cx="3502660" cy="1781810"/>
                        </a:xfrm>
                        <a:prstGeom prst="flowChartAlternateProcess">
                          <a:avLst/>
                        </a:prstGeom>
                        <a:solidFill>
                          <a:srgbClr val="FFFFFF"/>
                        </a:solidFill>
                        <a:ln w="9525">
                          <a:solidFill>
                            <a:srgbClr val="000000"/>
                          </a:solidFill>
                          <a:miter lim="800000"/>
                        </a:ln>
                        <a:effectLst/>
                      </wps:spPr>
                      <wps:txbx>
                        <w:txbxContent>
                          <w:p w14:paraId="5588A6E1">
                            <w:pPr>
                              <w:rPr>
                                <w:rFonts w:ascii="宋体" w:hAnsi="宋体"/>
                                <w:szCs w:val="21"/>
                              </w:rPr>
                            </w:pPr>
                          </w:p>
                          <w:p w14:paraId="2D580922">
                            <w:pPr>
                              <w:rPr>
                                <w:rFonts w:ascii="宋体" w:hAnsi="宋体"/>
                                <w:szCs w:val="21"/>
                              </w:rPr>
                            </w:pPr>
                          </w:p>
                          <w:p w14:paraId="2C4D97E1">
                            <w:pPr>
                              <w:rPr>
                                <w:rFonts w:ascii="宋体" w:hAnsi="宋体"/>
                                <w:szCs w:val="21"/>
                              </w:rPr>
                            </w:pPr>
                          </w:p>
                          <w:p w14:paraId="42551BC0">
                            <w:pPr>
                              <w:jc w:val="center"/>
                              <w:rPr>
                                <w:rFonts w:ascii="宋体" w:hAnsi="宋体"/>
                                <w:szCs w:val="21"/>
                              </w:rPr>
                            </w:pPr>
                            <w:r>
                              <w:rPr>
                                <w:rFonts w:hint="eastAsia" w:ascii="宋体" w:hAnsi="宋体"/>
                                <w:szCs w:val="21"/>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193" o:spid="_x0000_s1026" o:spt="176" type="#_x0000_t176" style="position:absolute;left:0pt;margin-left:68.4pt;margin-top:-18.95pt;height:140.3pt;width:275.8pt;z-index:251659264;mso-width-relative:page;mso-height-relative:page;" fillcolor="#FFFFFF" filled="t" stroked="t" coordsize="21600,21600" o:gfxdata="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LgV&#10;KdkAAAALAQAADwAAAAAAAAABACAAAAAiAAAAZHJzL2Rvd25yZXYueG1sUEsBAhQAFAAAAAgAh07i&#10;QEbF7pRaAgAApgQAAA4AAAAAAAAAAQAgAAAAKAEAAGRycy9lMm9Eb2MueG1sUEsFBgAAAAAGAAYA&#10;WQEAAPQFAAAAAA==&#10;">
                <v:fill on="t" focussize="0,0"/>
                <v:stroke color="#000000" miterlimit="8" joinstyle="miter"/>
                <v:imagedata o:title=""/>
                <o:lock v:ext="edit" aspectratio="f"/>
                <v:textbox>
                  <w:txbxContent>
                    <w:p w14:paraId="5588A6E1">
                      <w:pPr>
                        <w:rPr>
                          <w:rFonts w:ascii="宋体" w:hAnsi="宋体"/>
                          <w:szCs w:val="21"/>
                        </w:rPr>
                      </w:pPr>
                    </w:p>
                    <w:p w14:paraId="2D580922">
                      <w:pPr>
                        <w:rPr>
                          <w:rFonts w:ascii="宋体" w:hAnsi="宋体"/>
                          <w:szCs w:val="21"/>
                        </w:rPr>
                      </w:pPr>
                    </w:p>
                    <w:p w14:paraId="2C4D97E1">
                      <w:pPr>
                        <w:rPr>
                          <w:rFonts w:ascii="宋体" w:hAnsi="宋体"/>
                          <w:szCs w:val="21"/>
                        </w:rPr>
                      </w:pPr>
                    </w:p>
                    <w:p w14:paraId="42551BC0">
                      <w:pPr>
                        <w:jc w:val="center"/>
                        <w:rPr>
                          <w:rFonts w:ascii="宋体" w:hAnsi="宋体"/>
                          <w:szCs w:val="21"/>
                        </w:rPr>
                      </w:pPr>
                      <w:r>
                        <w:rPr>
                          <w:rFonts w:hint="eastAsia" w:ascii="宋体" w:hAnsi="宋体"/>
                          <w:szCs w:val="21"/>
                        </w:rPr>
                        <w:t>身份证正反面复印件</w:t>
                      </w:r>
                    </w:p>
                  </w:txbxContent>
                </v:textbox>
              </v:shape>
            </w:pict>
          </mc:Fallback>
        </mc:AlternateContent>
      </w:r>
    </w:p>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514"/>
    <w:p w14:paraId="17122B18">
      <w:pPr>
        <w:widowControl/>
        <w:jc w:val="left"/>
        <w:rPr>
          <w:rFonts w:ascii="宋体"/>
          <w:color w:val="auto"/>
          <w:kern w:val="0"/>
          <w:sz w:val="24"/>
          <w:highlight w:val="none"/>
        </w:rPr>
      </w:pPr>
      <w:bookmarkStart w:id="526" w:name="_Toc256342156"/>
      <w:bookmarkStart w:id="527" w:name="_Toc249525254"/>
      <w:bookmarkStart w:id="528" w:name="_Toc275099833"/>
      <w:bookmarkStart w:id="529" w:name="_Toc249515373"/>
      <w:bookmarkStart w:id="530" w:name="_Toc307848333"/>
      <w:bookmarkStart w:id="531" w:name="_Toc415499903"/>
      <w:r>
        <w:rPr>
          <w:rFonts w:hint="eastAsia" w:ascii="宋体"/>
          <w:color w:val="auto"/>
          <w:kern w:val="0"/>
          <w:sz w:val="24"/>
          <w:highlight w:val="none"/>
        </w:rPr>
        <w:t>附件</w:t>
      </w:r>
      <w:bookmarkEnd w:id="526"/>
      <w:bookmarkEnd w:id="527"/>
      <w:bookmarkEnd w:id="528"/>
      <w:bookmarkEnd w:id="529"/>
      <w:bookmarkEnd w:id="530"/>
      <w:r>
        <w:rPr>
          <w:rFonts w:hint="eastAsia" w:ascii="宋体"/>
          <w:color w:val="auto"/>
          <w:kern w:val="0"/>
          <w:sz w:val="24"/>
          <w:highlight w:val="none"/>
        </w:rPr>
        <w:t>4</w:t>
      </w:r>
      <w:bookmarkEnd w:id="531"/>
    </w:p>
    <w:p w14:paraId="2B13A454">
      <w:pPr>
        <w:spacing w:line="360" w:lineRule="auto"/>
        <w:ind w:firstLine="435"/>
        <w:rPr>
          <w:rFonts w:ascii="宋体"/>
          <w:color w:val="auto"/>
          <w:sz w:val="24"/>
          <w:highlight w:val="none"/>
        </w:rPr>
      </w:pPr>
    </w:p>
    <w:p w14:paraId="6E0AA031">
      <w:pPr>
        <w:jc w:val="center"/>
        <w:outlineLvl w:val="1"/>
        <w:rPr>
          <w:rFonts w:ascii="宋体"/>
          <w:b/>
          <w:bCs/>
          <w:color w:val="auto"/>
          <w:kern w:val="0"/>
          <w:sz w:val="24"/>
          <w:highlight w:val="none"/>
        </w:rPr>
      </w:pPr>
      <w:bookmarkStart w:id="532" w:name="_Toc374"/>
      <w:r>
        <w:rPr>
          <w:rFonts w:hint="eastAsia" w:ascii="宋体"/>
          <w:b/>
          <w:bCs/>
          <w:color w:val="auto"/>
          <w:kern w:val="0"/>
          <w:sz w:val="24"/>
          <w:highlight w:val="none"/>
        </w:rPr>
        <w:t>法定代表人授权书(格式)</w:t>
      </w:r>
      <w:bookmarkEnd w:id="532"/>
    </w:p>
    <w:p w14:paraId="6AB03BAD">
      <w:pPr>
        <w:spacing w:line="360" w:lineRule="auto"/>
        <w:rPr>
          <w:rFonts w:ascii="宋体"/>
          <w:color w:val="auto"/>
          <w:sz w:val="24"/>
          <w:highlight w:val="none"/>
        </w:rPr>
      </w:pPr>
    </w:p>
    <w:p w14:paraId="5FC41957">
      <w:pPr>
        <w:spacing w:line="360" w:lineRule="auto"/>
        <w:ind w:firstLine="435"/>
        <w:rPr>
          <w:rFonts w:ascii="宋体"/>
          <w:color w:val="auto"/>
          <w:sz w:val="24"/>
          <w:highlight w:val="none"/>
        </w:rPr>
      </w:pPr>
      <w:r>
        <w:rPr>
          <w:rFonts w:hint="eastAsia" w:ascii="宋体"/>
          <w:color w:val="auto"/>
          <w:sz w:val="24"/>
          <w:highlight w:val="none"/>
        </w:rPr>
        <w:t>本授权书声明：注册于中华人民共和国的</w:t>
      </w:r>
      <w:r>
        <w:rPr>
          <w:rFonts w:hint="eastAsia" w:ascii="宋体"/>
          <w:color w:val="auto"/>
          <w:sz w:val="24"/>
          <w:highlight w:val="none"/>
          <w:u w:val="single"/>
        </w:rPr>
        <w:t>（供应商名称）</w:t>
      </w:r>
      <w:r>
        <w:rPr>
          <w:rFonts w:hint="eastAsia" w:ascii="宋体"/>
          <w:color w:val="auto"/>
          <w:sz w:val="24"/>
          <w:highlight w:val="none"/>
        </w:rPr>
        <w:t>的在下面签字的</w:t>
      </w:r>
      <w:r>
        <w:rPr>
          <w:rFonts w:hint="eastAsia" w:ascii="宋体"/>
          <w:color w:val="auto"/>
          <w:sz w:val="24"/>
          <w:highlight w:val="none"/>
          <w:u w:val="single"/>
        </w:rPr>
        <w:t>（法定代表人姓名、职务）</w:t>
      </w:r>
      <w:r>
        <w:rPr>
          <w:rFonts w:hint="eastAsia" w:ascii="宋体"/>
          <w:color w:val="auto"/>
          <w:sz w:val="24"/>
          <w:highlight w:val="none"/>
        </w:rPr>
        <w:t>代表本公司授权的在下面签字的</w:t>
      </w:r>
      <w:r>
        <w:rPr>
          <w:rFonts w:hint="eastAsia" w:ascii="宋体"/>
          <w:color w:val="auto"/>
          <w:sz w:val="24"/>
          <w:highlight w:val="none"/>
          <w:u w:val="single"/>
        </w:rPr>
        <w:t>（被授权人的姓名、职务）</w:t>
      </w:r>
      <w:r>
        <w:rPr>
          <w:rFonts w:hint="eastAsia" w:ascii="宋体"/>
          <w:color w:val="auto"/>
          <w:sz w:val="24"/>
          <w:highlight w:val="none"/>
        </w:rPr>
        <w:t>为本公司的合法代理人，就项目编号为</w:t>
      </w:r>
      <w:r>
        <w:rPr>
          <w:rFonts w:hint="eastAsia" w:ascii="宋体"/>
          <w:color w:val="auto"/>
          <w:sz w:val="24"/>
          <w:highlight w:val="none"/>
          <w:u w:val="single"/>
        </w:rPr>
        <w:t xml:space="preserve">                </w:t>
      </w:r>
      <w:r>
        <w:rPr>
          <w:rFonts w:hint="eastAsia" w:ascii="宋体"/>
          <w:color w:val="auto"/>
          <w:sz w:val="24"/>
          <w:highlight w:val="none"/>
        </w:rPr>
        <w:t>的(</w:t>
      </w:r>
      <w:r>
        <w:rPr>
          <w:rFonts w:hint="eastAsia" w:ascii="宋体"/>
          <w:color w:val="auto"/>
          <w:sz w:val="24"/>
          <w:highlight w:val="none"/>
          <w:u w:val="single"/>
        </w:rPr>
        <w:t>采购项目名称)</w:t>
      </w:r>
      <w:r>
        <w:rPr>
          <w:rFonts w:hint="eastAsia" w:ascii="宋体"/>
          <w:color w:val="auto"/>
          <w:sz w:val="24"/>
          <w:highlight w:val="none"/>
        </w:rPr>
        <w:t>的响应（含转为其他方式），以本公司名义处理一切与之有关的事务。</w:t>
      </w:r>
    </w:p>
    <w:p w14:paraId="158813AA">
      <w:pPr>
        <w:spacing w:line="360" w:lineRule="auto"/>
        <w:ind w:firstLine="435"/>
        <w:rPr>
          <w:rFonts w:ascii="宋体"/>
          <w:color w:val="auto"/>
          <w:sz w:val="24"/>
          <w:highlight w:val="none"/>
        </w:rPr>
      </w:pPr>
      <w:r>
        <w:rPr>
          <w:rFonts w:hint="eastAsia" w:ascii="宋体"/>
          <w:color w:val="auto"/>
          <w:sz w:val="24"/>
          <w:highlight w:val="none"/>
        </w:rPr>
        <w:t>本授权书于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日签字生效，特此声明。</w:t>
      </w:r>
    </w:p>
    <w:p w14:paraId="5B682013">
      <w:pPr>
        <w:spacing w:line="360" w:lineRule="auto"/>
        <w:ind w:firstLine="435"/>
        <w:rPr>
          <w:rFonts w:ascii="宋体"/>
          <w:color w:val="auto"/>
          <w:sz w:val="24"/>
          <w:highlight w:val="none"/>
        </w:rPr>
      </w:pPr>
    </w:p>
    <w:p w14:paraId="61A213B9">
      <w:pPr>
        <w:spacing w:line="360" w:lineRule="auto"/>
        <w:ind w:firstLine="435"/>
        <w:rPr>
          <w:rFonts w:ascii="宋体"/>
          <w:color w:val="auto"/>
          <w:sz w:val="24"/>
          <w:highlight w:val="none"/>
        </w:rPr>
      </w:pPr>
    </w:p>
    <w:p w14:paraId="6C22525C">
      <w:pPr>
        <w:spacing w:line="360" w:lineRule="auto"/>
        <w:ind w:firstLine="435"/>
        <w:rPr>
          <w:rFonts w:ascii="宋体"/>
          <w:color w:val="auto"/>
          <w:sz w:val="24"/>
          <w:highlight w:val="none"/>
        </w:rPr>
      </w:pPr>
    </w:p>
    <w:p w14:paraId="2ECF586C">
      <w:pPr>
        <w:spacing w:line="360" w:lineRule="auto"/>
        <w:ind w:firstLine="435"/>
        <w:rPr>
          <w:rFonts w:ascii="宋体"/>
          <w:color w:val="auto"/>
          <w:sz w:val="24"/>
          <w:highlight w:val="none"/>
          <w:u w:val="single"/>
        </w:rPr>
      </w:pPr>
      <w:r>
        <w:rPr>
          <w:rFonts w:hint="eastAsia" w:ascii="宋体"/>
          <w:color w:val="auto"/>
          <w:sz w:val="24"/>
          <w:highlight w:val="none"/>
        </w:rPr>
        <w:t>法定代表人签字或签章</w:t>
      </w:r>
      <w:r>
        <w:rPr>
          <w:rFonts w:hint="eastAsia" w:ascii="宋体"/>
          <w:color w:val="auto"/>
          <w:sz w:val="24"/>
          <w:highlight w:val="none"/>
          <w:u w:val="single"/>
        </w:rPr>
        <w:t xml:space="preserve">                          </w:t>
      </w:r>
    </w:p>
    <w:p w14:paraId="51487660">
      <w:pPr>
        <w:spacing w:line="360" w:lineRule="auto"/>
        <w:ind w:firstLine="435"/>
        <w:rPr>
          <w:rFonts w:ascii="宋体"/>
          <w:color w:val="auto"/>
          <w:sz w:val="24"/>
          <w:highlight w:val="none"/>
          <w:u w:val="single"/>
        </w:rPr>
      </w:pPr>
      <w:r>
        <w:rPr>
          <w:rFonts w:hint="eastAsia" w:ascii="宋体"/>
          <w:color w:val="auto"/>
          <w:sz w:val="24"/>
          <w:highlight w:val="none"/>
        </w:rPr>
        <w:t>被授权人签字</w:t>
      </w:r>
      <w:r>
        <w:rPr>
          <w:rFonts w:hint="eastAsia" w:ascii="宋体"/>
          <w:color w:val="auto"/>
          <w:sz w:val="24"/>
          <w:highlight w:val="none"/>
          <w:u w:val="single"/>
        </w:rPr>
        <w:t xml:space="preserve">                            </w:t>
      </w:r>
    </w:p>
    <w:p w14:paraId="3A95B21D">
      <w:pPr>
        <w:spacing w:line="360" w:lineRule="auto"/>
        <w:ind w:firstLine="435"/>
        <w:rPr>
          <w:rFonts w:ascii="宋体"/>
          <w:color w:val="auto"/>
          <w:sz w:val="24"/>
          <w:highlight w:val="none"/>
          <w:u w:val="single"/>
        </w:rPr>
      </w:pPr>
      <w:r>
        <w:rPr>
          <w:rFonts w:hint="eastAsia" w:ascii="宋体"/>
          <w:color w:val="auto"/>
          <w:sz w:val="24"/>
          <w:highlight w:val="none"/>
        </w:rPr>
        <w:t>供应商盖章</w:t>
      </w:r>
      <w:r>
        <w:rPr>
          <w:rFonts w:hint="eastAsia" w:ascii="宋体"/>
          <w:color w:val="auto"/>
          <w:sz w:val="24"/>
          <w:highlight w:val="none"/>
          <w:u w:val="single"/>
        </w:rPr>
        <w:t xml:space="preserve">                              </w:t>
      </w:r>
    </w:p>
    <w:p w14:paraId="46E71FCB">
      <w:pPr>
        <w:spacing w:line="360" w:lineRule="auto"/>
        <w:ind w:firstLine="435"/>
        <w:rPr>
          <w:rFonts w:ascii="宋体"/>
          <w:color w:val="auto"/>
          <w:sz w:val="24"/>
          <w:highlight w:val="none"/>
        </w:rPr>
      </w:pPr>
      <w:r>
        <w:rPr>
          <w:rFonts w:hint="eastAsia" w:ascii="宋体"/>
          <w:color w:val="auto"/>
          <w:sz w:val="24"/>
          <w:highlight w:val="none"/>
        </w:rPr>
        <w:t>（附：被授权人身份证复印件）</w:t>
      </w:r>
    </w:p>
    <w:p w14:paraId="4B2D9855">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60C5B957">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564865D8">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162B525E">
      <w:pPr>
        <w:pStyle w:val="1412"/>
        <w:adjustRightInd w:val="0"/>
        <w:spacing w:before="240" w:beforeLines="100"/>
        <w:ind w:right="958"/>
        <w:jc w:val="left"/>
        <w:textAlignment w:val="baseline"/>
        <w:outlineLvl w:val="0"/>
        <w:rPr>
          <w:rFonts w:ascii="宋体"/>
          <w:b/>
          <w:bCs/>
          <w:color w:val="auto"/>
          <w:kern w:val="0"/>
          <w:sz w:val="28"/>
          <w:szCs w:val="28"/>
          <w:highlight w:val="none"/>
        </w:rPr>
      </w:pPr>
      <w:r>
        <w:rPr>
          <w:rFonts w:ascii="宋体" w:hAnsi="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1338580</wp:posOffset>
                </wp:positionH>
                <wp:positionV relativeFrom="paragraph">
                  <wp:posOffset>-483870</wp:posOffset>
                </wp:positionV>
                <wp:extent cx="3502660" cy="1781810"/>
                <wp:effectExtent l="5080" t="4445" r="16510" b="23495"/>
                <wp:wrapNone/>
                <wp:docPr id="2" name="自选图形 192"/>
                <wp:cNvGraphicFramePr/>
                <a:graphic xmlns:a="http://schemas.openxmlformats.org/drawingml/2006/main">
                  <a:graphicData uri="http://schemas.microsoft.com/office/word/2010/wordprocessingShape">
                    <wps:wsp>
                      <wps:cNvSpPr>
                        <a:spLocks noChangeArrowheads="1"/>
                      </wps:cNvSpPr>
                      <wps:spPr bwMode="auto">
                        <a:xfrm>
                          <a:off x="0" y="0"/>
                          <a:ext cx="3502660" cy="1781810"/>
                        </a:xfrm>
                        <a:prstGeom prst="flowChartAlternateProcess">
                          <a:avLst/>
                        </a:prstGeom>
                        <a:solidFill>
                          <a:srgbClr val="FFFFFF"/>
                        </a:solidFill>
                        <a:ln w="9525">
                          <a:solidFill>
                            <a:srgbClr val="000000"/>
                          </a:solidFill>
                          <a:miter lim="800000"/>
                        </a:ln>
                        <a:effectLst/>
                      </wps:spPr>
                      <wps:txbx>
                        <w:txbxContent>
                          <w:p w14:paraId="549ABB13">
                            <w:pPr>
                              <w:rPr>
                                <w:rFonts w:ascii="宋体" w:hAnsi="宋体"/>
                                <w:szCs w:val="21"/>
                              </w:rPr>
                            </w:pPr>
                          </w:p>
                          <w:p w14:paraId="0E16B575">
                            <w:pPr>
                              <w:rPr>
                                <w:rFonts w:ascii="宋体" w:hAnsi="宋体"/>
                                <w:szCs w:val="21"/>
                              </w:rPr>
                            </w:pPr>
                          </w:p>
                          <w:p w14:paraId="1340131A">
                            <w:pPr>
                              <w:rPr>
                                <w:rFonts w:ascii="宋体" w:hAnsi="宋体"/>
                                <w:szCs w:val="21"/>
                              </w:rPr>
                            </w:pPr>
                          </w:p>
                          <w:p w14:paraId="67607DF0">
                            <w:pPr>
                              <w:jc w:val="center"/>
                              <w:rPr>
                                <w:rFonts w:ascii="宋体" w:hAnsi="宋体"/>
                                <w:szCs w:val="21"/>
                              </w:rPr>
                            </w:pPr>
                            <w:r>
                              <w:rPr>
                                <w:rFonts w:hint="eastAsia" w:ascii="宋体" w:hAnsi="宋体"/>
                                <w:szCs w:val="21"/>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192" o:spid="_x0000_s1026" o:spt="176" type="#_x0000_t176" style="position:absolute;left:0pt;margin-left:105.4pt;margin-top:-38.1pt;height:140.3pt;width:275.8pt;z-index:251660288;mso-width-relative:page;mso-height-relative:page;" fillcolor="#FFFFFF" filled="t" stroked="t" coordsize="21600,21600" o:gfxdata="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7ge&#10;vNkAAAALAQAADwAAAAAAAAABACAAAAAiAAAAZHJzL2Rvd25yZXYueG1sUEsBAhQAFAAAAAgAh07i&#10;QHwIvQRaAgAApgQAAA4AAAAAAAAAAQAgAAAAKAEAAGRycy9lMm9Eb2MueG1sUEsFBgAAAAAGAAYA&#10;WQEAAPQFAAAAAA==&#10;">
                <v:fill on="t" focussize="0,0"/>
                <v:stroke color="#000000" miterlimit="8" joinstyle="miter"/>
                <v:imagedata o:title=""/>
                <o:lock v:ext="edit" aspectratio="f"/>
                <v:textbox>
                  <w:txbxContent>
                    <w:p w14:paraId="549ABB13">
                      <w:pPr>
                        <w:rPr>
                          <w:rFonts w:ascii="宋体" w:hAnsi="宋体"/>
                          <w:szCs w:val="21"/>
                        </w:rPr>
                      </w:pPr>
                    </w:p>
                    <w:p w14:paraId="0E16B575">
                      <w:pPr>
                        <w:rPr>
                          <w:rFonts w:ascii="宋体" w:hAnsi="宋体"/>
                          <w:szCs w:val="21"/>
                        </w:rPr>
                      </w:pPr>
                    </w:p>
                    <w:p w14:paraId="1340131A">
                      <w:pPr>
                        <w:rPr>
                          <w:rFonts w:ascii="宋体" w:hAnsi="宋体"/>
                          <w:szCs w:val="21"/>
                        </w:rPr>
                      </w:pPr>
                    </w:p>
                    <w:p w14:paraId="67607DF0">
                      <w:pPr>
                        <w:jc w:val="center"/>
                        <w:rPr>
                          <w:rFonts w:ascii="宋体" w:hAnsi="宋体"/>
                          <w:szCs w:val="21"/>
                        </w:rPr>
                      </w:pPr>
                      <w:r>
                        <w:rPr>
                          <w:rFonts w:hint="eastAsia" w:ascii="宋体" w:hAnsi="宋体"/>
                          <w:szCs w:val="21"/>
                        </w:rPr>
                        <w:t>身份证正反面复印件</w:t>
                      </w:r>
                    </w:p>
                  </w:txbxContent>
                </v:textbox>
              </v:shape>
            </w:pict>
          </mc:Fallback>
        </mc:AlternateContent>
      </w:r>
    </w:p>
    <w:p w14:paraId="4EA6A5B3">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6747F9C3">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1E63EB8D">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4458AF38">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6EA24244">
      <w:pPr>
        <w:pStyle w:val="1412"/>
        <w:adjustRightInd w:val="0"/>
        <w:spacing w:before="240" w:beforeLines="100"/>
        <w:ind w:right="958"/>
        <w:jc w:val="left"/>
        <w:textAlignment w:val="baseline"/>
        <w:outlineLvl w:val="0"/>
        <w:rPr>
          <w:rFonts w:ascii="宋体"/>
          <w:b/>
          <w:bCs/>
          <w:color w:val="auto"/>
          <w:kern w:val="0"/>
          <w:sz w:val="28"/>
          <w:szCs w:val="28"/>
          <w:highlight w:val="none"/>
        </w:rPr>
      </w:pPr>
    </w:p>
    <w:p w14:paraId="1E2C418A">
      <w:pPr>
        <w:pStyle w:val="1413"/>
        <w:adjustRightInd w:val="0"/>
        <w:spacing w:before="240" w:beforeLines="100"/>
        <w:ind w:right="958"/>
        <w:textAlignment w:val="baseline"/>
        <w:outlineLvl w:val="0"/>
        <w:rPr>
          <w:color w:val="auto"/>
          <w:highlight w:val="none"/>
        </w:rPr>
      </w:pPr>
    </w:p>
    <w:p w14:paraId="19B4BC14">
      <w:pPr>
        <w:pStyle w:val="1413"/>
        <w:adjustRightInd w:val="0"/>
        <w:spacing w:before="240" w:beforeLines="100"/>
        <w:ind w:right="958"/>
        <w:textAlignment w:val="baseline"/>
        <w:outlineLvl w:val="0"/>
        <w:rPr>
          <w:bCs/>
          <w:color w:val="auto"/>
          <w:highlight w:val="none"/>
        </w:rPr>
      </w:pPr>
    </w:p>
    <w:p w14:paraId="7C703B57">
      <w:pPr>
        <w:adjustRightInd w:val="0"/>
        <w:spacing w:before="240" w:beforeLines="100"/>
        <w:ind w:right="958"/>
        <w:jc w:val="left"/>
        <w:textAlignment w:val="baseline"/>
        <w:rPr>
          <w:rFonts w:ascii="宋体"/>
          <w:color w:val="auto"/>
          <w:kern w:val="0"/>
          <w:sz w:val="24"/>
          <w:highlight w:val="none"/>
        </w:rPr>
      </w:pPr>
      <w:r>
        <w:rPr>
          <w:rFonts w:hint="eastAsia" w:ascii="宋体"/>
          <w:color w:val="auto"/>
          <w:kern w:val="0"/>
          <w:sz w:val="24"/>
          <w:highlight w:val="none"/>
        </w:rPr>
        <w:t>附件5</w:t>
      </w:r>
    </w:p>
    <w:p w14:paraId="5E45CFD0">
      <w:pPr>
        <w:jc w:val="center"/>
        <w:outlineLvl w:val="1"/>
        <w:rPr>
          <w:rFonts w:ascii="宋体"/>
          <w:b/>
          <w:bCs/>
          <w:color w:val="auto"/>
          <w:kern w:val="0"/>
          <w:sz w:val="24"/>
          <w:highlight w:val="none"/>
        </w:rPr>
      </w:pPr>
      <w:bookmarkStart w:id="533" w:name="_Toc22261"/>
      <w:r>
        <w:rPr>
          <w:rFonts w:hint="eastAsia" w:ascii="宋体"/>
          <w:b/>
          <w:bCs/>
          <w:color w:val="auto"/>
          <w:kern w:val="0"/>
          <w:sz w:val="24"/>
          <w:highlight w:val="none"/>
        </w:rPr>
        <w:t>供应商资格声明文件</w:t>
      </w:r>
      <w:bookmarkEnd w:id="533"/>
    </w:p>
    <w:p w14:paraId="1781A356">
      <w:pPr>
        <w:pStyle w:val="1412"/>
        <w:spacing w:line="360" w:lineRule="auto"/>
        <w:rPr>
          <w:rFonts w:ascii="宋体"/>
          <w:color w:val="auto"/>
          <w:sz w:val="24"/>
          <w:highlight w:val="none"/>
        </w:rPr>
      </w:pPr>
      <w:r>
        <w:rPr>
          <w:rFonts w:hint="eastAsia" w:ascii="宋体"/>
          <w:color w:val="auto"/>
          <w:sz w:val="24"/>
          <w:highlight w:val="none"/>
        </w:rPr>
        <w:t>填写须知</w:t>
      </w:r>
    </w:p>
    <w:p w14:paraId="6B989D92">
      <w:pPr>
        <w:pStyle w:val="1412"/>
        <w:numPr>
          <w:ilvl w:val="0"/>
          <w:numId w:val="13"/>
        </w:numPr>
        <w:spacing w:line="360" w:lineRule="auto"/>
        <w:rPr>
          <w:rFonts w:ascii="宋体"/>
          <w:color w:val="auto"/>
          <w:sz w:val="24"/>
          <w:highlight w:val="none"/>
        </w:rPr>
      </w:pPr>
      <w:r>
        <w:rPr>
          <w:rFonts w:hint="eastAsia" w:ascii="宋体"/>
          <w:color w:val="auto"/>
          <w:sz w:val="24"/>
          <w:highlight w:val="none"/>
        </w:rPr>
        <w:t>供应商应填写和提交下述规定的全部格式以及其他有关资料；</w:t>
      </w:r>
    </w:p>
    <w:p w14:paraId="78B9436B">
      <w:pPr>
        <w:pStyle w:val="1412"/>
        <w:numPr>
          <w:ilvl w:val="0"/>
          <w:numId w:val="13"/>
        </w:numPr>
        <w:spacing w:line="360" w:lineRule="auto"/>
        <w:rPr>
          <w:rFonts w:ascii="宋体"/>
          <w:color w:val="auto"/>
          <w:sz w:val="24"/>
          <w:highlight w:val="none"/>
        </w:rPr>
      </w:pPr>
      <w:r>
        <w:rPr>
          <w:rFonts w:hint="eastAsia" w:ascii="宋体"/>
          <w:color w:val="auto"/>
          <w:sz w:val="24"/>
          <w:highlight w:val="none"/>
        </w:rPr>
        <w:t>所附格式中要求填写的全部问题和/或信息都必须填写；</w:t>
      </w:r>
    </w:p>
    <w:p w14:paraId="2B830D4D">
      <w:pPr>
        <w:pStyle w:val="1412"/>
        <w:numPr>
          <w:ilvl w:val="0"/>
          <w:numId w:val="13"/>
        </w:numPr>
        <w:spacing w:line="360" w:lineRule="auto"/>
        <w:rPr>
          <w:rFonts w:ascii="宋体"/>
          <w:color w:val="auto"/>
          <w:sz w:val="24"/>
          <w:highlight w:val="none"/>
        </w:rPr>
      </w:pPr>
      <w:r>
        <w:rPr>
          <w:rFonts w:hint="eastAsia" w:ascii="宋体"/>
          <w:color w:val="auto"/>
          <w:sz w:val="24"/>
          <w:highlight w:val="none"/>
        </w:rPr>
        <w:t>本资格声明的签字人应保证全部声明和填写的内容是真实的和正确的；</w:t>
      </w:r>
    </w:p>
    <w:p w14:paraId="0600C4B8">
      <w:pPr>
        <w:pStyle w:val="1412"/>
        <w:numPr>
          <w:ilvl w:val="0"/>
          <w:numId w:val="13"/>
        </w:numPr>
        <w:spacing w:line="360" w:lineRule="auto"/>
        <w:rPr>
          <w:rFonts w:ascii="宋体"/>
          <w:color w:val="auto"/>
          <w:sz w:val="24"/>
          <w:highlight w:val="none"/>
        </w:rPr>
      </w:pPr>
      <w:r>
        <w:rPr>
          <w:rFonts w:hint="eastAsia" w:ascii="宋体"/>
          <w:color w:val="auto"/>
          <w:sz w:val="24"/>
          <w:highlight w:val="none"/>
        </w:rPr>
        <w:t>采购人将应用供应商提交的资料根据自己的判断和考虑决定供应商履行合同的合格性及能力；</w:t>
      </w:r>
    </w:p>
    <w:p w14:paraId="57298D40">
      <w:pPr>
        <w:pStyle w:val="1412"/>
        <w:numPr>
          <w:ilvl w:val="0"/>
          <w:numId w:val="13"/>
        </w:numPr>
        <w:spacing w:line="360" w:lineRule="auto"/>
        <w:rPr>
          <w:rFonts w:ascii="宋体"/>
          <w:color w:val="auto"/>
          <w:sz w:val="24"/>
          <w:highlight w:val="none"/>
        </w:rPr>
      </w:pPr>
      <w:r>
        <w:rPr>
          <w:rFonts w:hint="eastAsia" w:ascii="宋体"/>
          <w:color w:val="auto"/>
          <w:sz w:val="24"/>
          <w:highlight w:val="none"/>
        </w:rPr>
        <w:t>供应商提交的材料将被保密，但不退还；</w:t>
      </w:r>
    </w:p>
    <w:p w14:paraId="04561E28">
      <w:pPr>
        <w:pStyle w:val="1412"/>
        <w:numPr>
          <w:ilvl w:val="0"/>
          <w:numId w:val="13"/>
        </w:numPr>
        <w:spacing w:line="360" w:lineRule="auto"/>
        <w:rPr>
          <w:rFonts w:ascii="宋体"/>
          <w:color w:val="auto"/>
          <w:sz w:val="24"/>
          <w:highlight w:val="none"/>
        </w:rPr>
      </w:pPr>
      <w:r>
        <w:rPr>
          <w:rFonts w:hint="eastAsia" w:ascii="宋体"/>
          <w:color w:val="auto"/>
          <w:sz w:val="24"/>
          <w:highlight w:val="none"/>
        </w:rPr>
        <w:t>全部文件应按规定的语言和份数提交。</w:t>
      </w:r>
    </w:p>
    <w:p w14:paraId="0454DB31">
      <w:pPr>
        <w:pStyle w:val="1412"/>
        <w:spacing w:line="360" w:lineRule="auto"/>
        <w:ind w:firstLine="630"/>
        <w:rPr>
          <w:rFonts w:ascii="宋体"/>
          <w:color w:val="auto"/>
          <w:sz w:val="24"/>
          <w:highlight w:val="none"/>
        </w:rPr>
      </w:pPr>
      <w:r>
        <w:rPr>
          <w:rFonts w:hint="eastAsia" w:ascii="宋体"/>
          <w:color w:val="auto"/>
          <w:kern w:val="0"/>
          <w:sz w:val="24"/>
          <w:highlight w:val="none"/>
        </w:rPr>
        <w:t>附件4-1 资格声明</w:t>
      </w:r>
    </w:p>
    <w:p w14:paraId="0589FBFF">
      <w:pPr>
        <w:pStyle w:val="1412"/>
        <w:spacing w:line="360" w:lineRule="auto"/>
        <w:ind w:firstLine="630"/>
        <w:rPr>
          <w:rFonts w:ascii="宋体"/>
          <w:color w:val="auto"/>
          <w:sz w:val="24"/>
          <w:highlight w:val="none"/>
        </w:rPr>
      </w:pPr>
      <w:r>
        <w:rPr>
          <w:rFonts w:hint="eastAsia" w:ascii="宋体"/>
          <w:color w:val="auto"/>
          <w:sz w:val="24"/>
          <w:highlight w:val="none"/>
        </w:rPr>
        <w:t>中华人民共和国阳江海关：</w:t>
      </w:r>
    </w:p>
    <w:p w14:paraId="5AB03BF7">
      <w:pPr>
        <w:pStyle w:val="1412"/>
        <w:spacing w:line="360" w:lineRule="auto"/>
        <w:ind w:firstLine="630"/>
        <w:rPr>
          <w:rFonts w:ascii="宋体"/>
          <w:color w:val="auto"/>
          <w:sz w:val="24"/>
          <w:highlight w:val="none"/>
        </w:rPr>
      </w:pPr>
      <w:r>
        <w:rPr>
          <w:rFonts w:hint="eastAsia" w:ascii="宋体"/>
          <w:color w:val="auto"/>
          <w:sz w:val="24"/>
          <w:highlight w:val="none"/>
        </w:rPr>
        <w:t>为响应你方20[</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]日的[</w:t>
      </w:r>
      <w:r>
        <w:rPr>
          <w:rFonts w:hint="eastAsia" w:ascii="宋体"/>
          <w:color w:val="auto"/>
          <w:sz w:val="24"/>
          <w:highlight w:val="none"/>
          <w:u w:val="single"/>
        </w:rPr>
        <w:t>项目编号</w:t>
      </w:r>
      <w:r>
        <w:rPr>
          <w:rFonts w:hint="eastAsia" w:ascii="宋体"/>
          <w:color w:val="auto"/>
          <w:sz w:val="24"/>
          <w:highlight w:val="none"/>
        </w:rPr>
        <w:t>]磋商邀请，下述签字人自愿参与本项目，提供磋商文件项目需求书中规定的[</w:t>
      </w:r>
      <w:r>
        <w:rPr>
          <w:rFonts w:hint="eastAsia" w:ascii="宋体"/>
          <w:color w:val="auto"/>
          <w:sz w:val="24"/>
          <w:highlight w:val="none"/>
          <w:u w:val="single"/>
        </w:rPr>
        <w:t>货物及服务名称]</w:t>
      </w:r>
      <w:r>
        <w:rPr>
          <w:rFonts w:hint="eastAsia" w:ascii="宋体"/>
          <w:color w:val="auto"/>
          <w:sz w:val="24"/>
          <w:highlight w:val="none"/>
        </w:rPr>
        <w:t>，提交下述文件并声明全部说明是真实的和正确的。下述签字人将就下述文件中存在的虚假或不真实内容对采购人和采购机构承担法律责任。</w:t>
      </w:r>
    </w:p>
    <w:p w14:paraId="0596DF73">
      <w:pPr>
        <w:pStyle w:val="1412"/>
        <w:numPr>
          <w:ilvl w:val="0"/>
          <w:numId w:val="14"/>
        </w:numPr>
        <w:spacing w:line="360" w:lineRule="auto"/>
        <w:rPr>
          <w:rFonts w:ascii="宋体"/>
          <w:color w:val="auto"/>
          <w:sz w:val="24"/>
          <w:highlight w:val="none"/>
        </w:rPr>
      </w:pPr>
      <w:r>
        <w:rPr>
          <w:rFonts w:hint="eastAsia" w:ascii="宋体"/>
          <w:color w:val="auto"/>
          <w:sz w:val="24"/>
          <w:highlight w:val="none"/>
        </w:rPr>
        <w:t>我方的资格声明，各有[</w:t>
      </w:r>
      <w:r>
        <w:rPr>
          <w:rFonts w:hint="eastAsia" w:ascii="宋体"/>
          <w:color w:val="auto"/>
          <w:sz w:val="24"/>
          <w:highlight w:val="none"/>
          <w:u w:val="single"/>
        </w:rPr>
        <w:t xml:space="preserve">  </w:t>
      </w:r>
      <w:r>
        <w:rPr>
          <w:rFonts w:hint="eastAsia" w:ascii="宋体"/>
          <w:color w:val="auto"/>
          <w:sz w:val="24"/>
          <w:highlight w:val="none"/>
        </w:rPr>
        <w:t>]份正本，[</w:t>
      </w:r>
      <w:r>
        <w:rPr>
          <w:rFonts w:hint="eastAsia" w:ascii="宋体"/>
          <w:color w:val="auto"/>
          <w:sz w:val="24"/>
          <w:highlight w:val="none"/>
          <w:u w:val="single"/>
        </w:rPr>
        <w:t xml:space="preserve">  </w:t>
      </w:r>
      <w:r>
        <w:rPr>
          <w:rFonts w:hint="eastAsia" w:ascii="宋体"/>
          <w:color w:val="auto"/>
          <w:sz w:val="24"/>
          <w:highlight w:val="none"/>
        </w:rPr>
        <w:t>]份副本。</w:t>
      </w:r>
    </w:p>
    <w:p w14:paraId="35769C09">
      <w:pPr>
        <w:pStyle w:val="1412"/>
        <w:numPr>
          <w:ilvl w:val="0"/>
          <w:numId w:val="14"/>
        </w:numPr>
        <w:spacing w:line="360" w:lineRule="auto"/>
        <w:rPr>
          <w:rFonts w:ascii="宋体"/>
          <w:color w:val="auto"/>
          <w:sz w:val="24"/>
          <w:highlight w:val="none"/>
        </w:rPr>
      </w:pPr>
      <w:r>
        <w:rPr>
          <w:rFonts w:hint="eastAsia" w:ascii="宋体"/>
          <w:color w:val="auto"/>
          <w:sz w:val="24"/>
          <w:highlight w:val="none"/>
        </w:rPr>
        <w:t>下述签字人证明本资格文件中的内容是真实的和正确的，同时附上我方银行[</w:t>
      </w:r>
      <w:r>
        <w:rPr>
          <w:rFonts w:hint="eastAsia" w:ascii="宋体"/>
          <w:color w:val="auto"/>
          <w:sz w:val="24"/>
          <w:highlight w:val="none"/>
          <w:u w:val="single"/>
        </w:rPr>
        <w:t>银行名称</w:t>
      </w:r>
      <w:r>
        <w:rPr>
          <w:rFonts w:hint="eastAsia" w:ascii="宋体"/>
          <w:color w:val="auto"/>
          <w:sz w:val="24"/>
          <w:highlight w:val="none"/>
        </w:rPr>
        <w:t>]出具的资信证明及我公司财务报表。</w:t>
      </w:r>
    </w:p>
    <w:p w14:paraId="60102F67">
      <w:pPr>
        <w:pStyle w:val="1412"/>
        <w:spacing w:line="360" w:lineRule="auto"/>
        <w:rPr>
          <w:rFonts w:ascii="宋体"/>
          <w:color w:val="auto"/>
          <w:sz w:val="24"/>
          <w:highlight w:val="none"/>
        </w:rPr>
      </w:pPr>
      <w:r>
        <w:rPr>
          <w:rFonts w:hint="eastAsia" w:ascii="宋体"/>
          <w:color w:val="auto"/>
          <w:sz w:val="24"/>
          <w:highlight w:val="none"/>
        </w:rPr>
        <w:t>下述签字人知道，采购人可能要求其提供进一步的资格材料并同意按采购人的要求提交</w:t>
      </w:r>
    </w:p>
    <w:p w14:paraId="23816EF9">
      <w:pPr>
        <w:pStyle w:val="1412"/>
        <w:spacing w:line="360" w:lineRule="auto"/>
        <w:rPr>
          <w:rFonts w:ascii="宋体"/>
          <w:color w:val="auto"/>
          <w:sz w:val="24"/>
          <w:highlight w:val="none"/>
        </w:rPr>
      </w:pPr>
      <w:r>
        <w:rPr>
          <w:rFonts w:hint="eastAsia" w:ascii="宋体"/>
          <w:color w:val="auto"/>
          <w:sz w:val="24"/>
          <w:highlight w:val="none"/>
        </w:rPr>
        <w:t>供应商                                 授权签署本资格文件</w:t>
      </w:r>
    </w:p>
    <w:p w14:paraId="4177DD72">
      <w:pPr>
        <w:pStyle w:val="1412"/>
        <w:spacing w:line="360" w:lineRule="auto"/>
        <w:rPr>
          <w:rFonts w:ascii="宋体"/>
          <w:color w:val="auto"/>
          <w:sz w:val="24"/>
          <w:highlight w:val="none"/>
        </w:rPr>
      </w:pPr>
      <w:r>
        <w:rPr>
          <w:rFonts w:hint="eastAsia" w:ascii="宋体"/>
          <w:color w:val="auto"/>
          <w:sz w:val="24"/>
          <w:highlight w:val="none"/>
        </w:rPr>
        <w:t>名称（盖章）</w:t>
      </w:r>
      <w:r>
        <w:rPr>
          <w:rFonts w:hint="eastAsia" w:ascii="宋体"/>
          <w:color w:val="auto"/>
          <w:sz w:val="24"/>
          <w:highlight w:val="none"/>
          <w:u w:val="single"/>
        </w:rPr>
        <w:t xml:space="preserve">                     </w:t>
      </w:r>
      <w:r>
        <w:rPr>
          <w:rFonts w:hint="eastAsia" w:ascii="宋体"/>
          <w:color w:val="auto"/>
          <w:sz w:val="24"/>
          <w:highlight w:val="none"/>
        </w:rPr>
        <w:t xml:space="preserve">      签字人姓名、职务（印刷字体）</w:t>
      </w:r>
    </w:p>
    <w:p w14:paraId="6E35EBDE">
      <w:pPr>
        <w:pStyle w:val="1412"/>
        <w:spacing w:line="360" w:lineRule="auto"/>
        <w:rPr>
          <w:rFonts w:ascii="宋体"/>
          <w:color w:val="auto"/>
          <w:sz w:val="24"/>
          <w:highlight w:val="none"/>
        </w:rPr>
      </w:pPr>
      <w:r>
        <w:rPr>
          <w:rFonts w:hint="eastAsia" w:ascii="宋体"/>
          <w:color w:val="auto"/>
          <w:sz w:val="24"/>
          <w:highlight w:val="none"/>
        </w:rPr>
        <w:t>地址</w:t>
      </w:r>
      <w:r>
        <w:rPr>
          <w:rFonts w:hint="eastAsia" w:ascii="宋体"/>
          <w:color w:val="auto"/>
          <w:sz w:val="24"/>
          <w:highlight w:val="none"/>
          <w:u w:val="single"/>
        </w:rPr>
        <w:t xml:space="preserve">                             </w:t>
      </w:r>
      <w:r>
        <w:rPr>
          <w:rFonts w:hint="eastAsia" w:ascii="宋体"/>
          <w:color w:val="auto"/>
          <w:sz w:val="24"/>
          <w:highlight w:val="none"/>
        </w:rPr>
        <w:t xml:space="preserve">      </w:t>
      </w:r>
      <w:r>
        <w:rPr>
          <w:rFonts w:hint="eastAsia" w:ascii="宋体"/>
          <w:color w:val="auto"/>
          <w:sz w:val="24"/>
          <w:highlight w:val="none"/>
          <w:u w:val="single"/>
        </w:rPr>
        <w:t xml:space="preserve">                            </w:t>
      </w:r>
    </w:p>
    <w:p w14:paraId="193C528B">
      <w:pPr>
        <w:pStyle w:val="1412"/>
        <w:spacing w:line="360" w:lineRule="auto"/>
        <w:rPr>
          <w:rFonts w:ascii="宋体"/>
          <w:color w:val="auto"/>
          <w:sz w:val="24"/>
          <w:highlight w:val="none"/>
          <w:u w:val="single"/>
        </w:rPr>
      </w:pPr>
      <w:r>
        <w:rPr>
          <w:rFonts w:hint="eastAsia" w:ascii="宋体"/>
          <w:color w:val="auto"/>
          <w:sz w:val="24"/>
          <w:highlight w:val="none"/>
        </w:rPr>
        <w:t>传真</w:t>
      </w:r>
      <w:r>
        <w:rPr>
          <w:rFonts w:hint="eastAsia" w:ascii="宋体"/>
          <w:color w:val="auto"/>
          <w:sz w:val="24"/>
          <w:highlight w:val="none"/>
          <w:u w:val="single"/>
        </w:rPr>
        <w:t xml:space="preserve">                             </w:t>
      </w:r>
      <w:r>
        <w:rPr>
          <w:rFonts w:hint="eastAsia" w:ascii="宋体"/>
          <w:color w:val="auto"/>
          <w:sz w:val="24"/>
          <w:highlight w:val="none"/>
        </w:rPr>
        <w:t xml:space="preserve">      签字</w:t>
      </w:r>
      <w:r>
        <w:rPr>
          <w:rFonts w:hint="eastAsia" w:ascii="宋体"/>
          <w:color w:val="auto"/>
          <w:sz w:val="24"/>
          <w:highlight w:val="none"/>
          <w:u w:val="single"/>
        </w:rPr>
        <w:t xml:space="preserve">                        </w:t>
      </w:r>
    </w:p>
    <w:p w14:paraId="79DE6484">
      <w:pPr>
        <w:pStyle w:val="1412"/>
        <w:spacing w:line="360" w:lineRule="auto"/>
        <w:rPr>
          <w:rFonts w:ascii="宋体"/>
          <w:color w:val="auto"/>
          <w:sz w:val="24"/>
          <w:highlight w:val="none"/>
        </w:rPr>
      </w:pPr>
      <w:r>
        <w:rPr>
          <w:rFonts w:hint="eastAsia" w:ascii="宋体"/>
          <w:color w:val="auto"/>
          <w:sz w:val="24"/>
          <w:highlight w:val="none"/>
        </w:rPr>
        <w:t>邮编</w:t>
      </w:r>
      <w:r>
        <w:rPr>
          <w:rFonts w:hint="eastAsia" w:ascii="宋体"/>
          <w:color w:val="auto"/>
          <w:sz w:val="24"/>
          <w:highlight w:val="none"/>
          <w:u w:val="single"/>
        </w:rPr>
        <w:t xml:space="preserve">                             </w:t>
      </w:r>
      <w:r>
        <w:rPr>
          <w:rFonts w:hint="eastAsia" w:ascii="宋体"/>
          <w:color w:val="auto"/>
          <w:sz w:val="24"/>
          <w:highlight w:val="none"/>
        </w:rPr>
        <w:t xml:space="preserve">      电话</w:t>
      </w:r>
      <w:r>
        <w:rPr>
          <w:rFonts w:hint="eastAsia" w:ascii="宋体"/>
          <w:color w:val="auto"/>
          <w:sz w:val="24"/>
          <w:highlight w:val="none"/>
          <w:u w:val="single"/>
        </w:rPr>
        <w:t xml:space="preserve">                        </w:t>
      </w:r>
    </w:p>
    <w:p w14:paraId="5BD8F28A">
      <w:pPr>
        <w:pStyle w:val="1412"/>
        <w:spacing w:line="360" w:lineRule="auto"/>
        <w:ind w:firstLine="630"/>
        <w:rPr>
          <w:rFonts w:ascii="宋体"/>
          <w:color w:val="auto"/>
          <w:sz w:val="24"/>
          <w:highlight w:val="none"/>
        </w:rPr>
      </w:pPr>
      <w:r>
        <w:rPr>
          <w:rFonts w:hint="eastAsia" w:ascii="宋体"/>
          <w:color w:val="auto"/>
          <w:kern w:val="0"/>
          <w:sz w:val="24"/>
          <w:highlight w:val="none"/>
        </w:rPr>
        <w:t>附件4-2 供应商的资格声明</w:t>
      </w:r>
      <w:r>
        <w:rPr>
          <w:rFonts w:hint="eastAsia" w:ascii="宋体"/>
          <w:color w:val="auto"/>
          <w:sz w:val="24"/>
          <w:highlight w:val="none"/>
        </w:rPr>
        <w:tab/>
      </w:r>
    </w:p>
    <w:p w14:paraId="6CEFEC86">
      <w:pPr>
        <w:pStyle w:val="1412"/>
        <w:spacing w:line="360" w:lineRule="auto"/>
        <w:ind w:firstLine="630"/>
        <w:rPr>
          <w:rFonts w:ascii="宋体"/>
          <w:color w:val="auto"/>
          <w:sz w:val="24"/>
          <w:highlight w:val="none"/>
        </w:rPr>
      </w:pPr>
      <w:r>
        <w:rPr>
          <w:rFonts w:hint="eastAsia" w:ascii="宋体"/>
          <w:color w:val="auto"/>
          <w:sz w:val="24"/>
          <w:highlight w:val="none"/>
        </w:rPr>
        <w:t>1、名称及概况：</w:t>
      </w:r>
    </w:p>
    <w:p w14:paraId="78282527">
      <w:pPr>
        <w:pStyle w:val="1412"/>
        <w:spacing w:line="360" w:lineRule="auto"/>
        <w:ind w:firstLine="630"/>
        <w:rPr>
          <w:rFonts w:ascii="宋体"/>
          <w:color w:val="auto"/>
          <w:sz w:val="24"/>
          <w:highlight w:val="none"/>
        </w:rPr>
      </w:pPr>
      <w:r>
        <w:rPr>
          <w:rFonts w:hint="eastAsia" w:ascii="宋体"/>
          <w:color w:val="auto"/>
          <w:sz w:val="24"/>
          <w:highlight w:val="none"/>
        </w:rPr>
        <w:t xml:space="preserve">（1）供应商名称：                                       </w:t>
      </w:r>
    </w:p>
    <w:p w14:paraId="5FFEB821">
      <w:pPr>
        <w:pStyle w:val="1412"/>
        <w:spacing w:line="360" w:lineRule="auto"/>
        <w:ind w:firstLine="630"/>
        <w:rPr>
          <w:rFonts w:ascii="宋体"/>
          <w:color w:val="auto"/>
          <w:sz w:val="24"/>
          <w:highlight w:val="none"/>
        </w:rPr>
      </w:pPr>
      <w:r>
        <w:rPr>
          <w:rFonts w:hint="eastAsia" w:ascii="宋体"/>
          <w:color w:val="auto"/>
          <w:sz w:val="24"/>
          <w:highlight w:val="none"/>
        </w:rPr>
        <w:t xml:space="preserve">（2）总部地址：                                         </w:t>
      </w:r>
    </w:p>
    <w:p w14:paraId="6F1987DB">
      <w:pPr>
        <w:pStyle w:val="1412"/>
        <w:spacing w:line="360" w:lineRule="auto"/>
        <w:ind w:firstLine="600" w:firstLineChars="250"/>
        <w:rPr>
          <w:rFonts w:ascii="宋体"/>
          <w:color w:val="auto"/>
          <w:sz w:val="24"/>
          <w:highlight w:val="none"/>
        </w:rPr>
      </w:pPr>
      <w:r>
        <w:rPr>
          <w:rFonts w:hint="eastAsia" w:ascii="宋体"/>
          <w:color w:val="auto"/>
          <w:sz w:val="24"/>
          <w:highlight w:val="none"/>
        </w:rPr>
        <w:t>电传/传真/电话号码：</w:t>
      </w:r>
      <w:r>
        <w:rPr>
          <w:rFonts w:hint="eastAsia" w:ascii="宋体"/>
          <w:color w:val="auto"/>
          <w:sz w:val="24"/>
          <w:highlight w:val="none"/>
          <w:u w:val="single"/>
        </w:rPr>
        <w:t xml:space="preserve">                                </w:t>
      </w:r>
      <w:r>
        <w:rPr>
          <w:rFonts w:hint="eastAsia" w:ascii="宋体"/>
          <w:color w:val="auto"/>
          <w:sz w:val="24"/>
          <w:highlight w:val="none"/>
        </w:rPr>
        <w:t xml:space="preserve">                         </w:t>
      </w:r>
    </w:p>
    <w:p w14:paraId="40233500">
      <w:pPr>
        <w:pStyle w:val="1412"/>
        <w:spacing w:line="360" w:lineRule="auto"/>
        <w:rPr>
          <w:rFonts w:ascii="宋体"/>
          <w:color w:val="auto"/>
          <w:sz w:val="24"/>
          <w:highlight w:val="none"/>
        </w:rPr>
      </w:pPr>
      <w:r>
        <w:rPr>
          <w:rFonts w:hint="eastAsia" w:ascii="宋体"/>
          <w:color w:val="auto"/>
          <w:sz w:val="24"/>
          <w:highlight w:val="none"/>
        </w:rPr>
        <w:t>（3）成立和/或注册日期：</w:t>
      </w:r>
      <w:r>
        <w:rPr>
          <w:rFonts w:hint="eastAsia" w:ascii="宋体"/>
          <w:color w:val="auto"/>
          <w:sz w:val="24"/>
          <w:highlight w:val="none"/>
          <w:u w:val="single"/>
        </w:rPr>
        <w:t xml:space="preserve">                                </w:t>
      </w:r>
    </w:p>
    <w:p w14:paraId="3F3BB7CF">
      <w:pPr>
        <w:pStyle w:val="1412"/>
        <w:spacing w:line="360" w:lineRule="auto"/>
        <w:rPr>
          <w:rFonts w:ascii="宋体"/>
          <w:color w:val="auto"/>
          <w:sz w:val="24"/>
          <w:highlight w:val="none"/>
        </w:rPr>
      </w:pPr>
      <w:r>
        <w:rPr>
          <w:rFonts w:hint="eastAsia" w:ascii="宋体"/>
          <w:color w:val="auto"/>
          <w:sz w:val="24"/>
          <w:highlight w:val="none"/>
        </w:rPr>
        <w:t>（4）实收资本：</w:t>
      </w:r>
      <w:r>
        <w:rPr>
          <w:rFonts w:hint="eastAsia" w:ascii="宋体"/>
          <w:color w:val="auto"/>
          <w:sz w:val="24"/>
          <w:highlight w:val="none"/>
          <w:u w:val="single"/>
        </w:rPr>
        <w:t xml:space="preserve">                                         </w:t>
      </w:r>
    </w:p>
    <w:p w14:paraId="1837D70D">
      <w:pPr>
        <w:pStyle w:val="1412"/>
        <w:spacing w:line="360" w:lineRule="auto"/>
        <w:rPr>
          <w:rFonts w:ascii="宋体"/>
          <w:color w:val="auto"/>
          <w:sz w:val="24"/>
          <w:highlight w:val="none"/>
        </w:rPr>
      </w:pPr>
      <w:r>
        <w:rPr>
          <w:rFonts w:hint="eastAsia" w:ascii="宋体"/>
          <w:color w:val="auto"/>
          <w:sz w:val="24"/>
          <w:highlight w:val="none"/>
        </w:rPr>
        <w:t>（5）近期资产负债表（到</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日止）</w:t>
      </w:r>
    </w:p>
    <w:p w14:paraId="19F836E4">
      <w:pPr>
        <w:pStyle w:val="1412"/>
        <w:spacing w:line="360" w:lineRule="auto"/>
        <w:ind w:firstLine="480" w:firstLineChars="200"/>
        <w:rPr>
          <w:rFonts w:ascii="宋体"/>
          <w:color w:val="auto"/>
          <w:sz w:val="24"/>
          <w:highlight w:val="none"/>
        </w:rPr>
      </w:pPr>
      <w:r>
        <w:rPr>
          <w:rFonts w:hint="eastAsia" w:ascii="宋体"/>
          <w:color w:val="auto"/>
          <w:sz w:val="24"/>
          <w:highlight w:val="none"/>
        </w:rPr>
        <w:t>1）固定资产：</w:t>
      </w:r>
      <w:r>
        <w:rPr>
          <w:rFonts w:hint="eastAsia" w:ascii="宋体"/>
          <w:color w:val="auto"/>
          <w:sz w:val="24"/>
          <w:highlight w:val="none"/>
          <w:u w:val="single"/>
        </w:rPr>
        <w:t xml:space="preserve">                  </w:t>
      </w:r>
    </w:p>
    <w:p w14:paraId="2D32B196">
      <w:pPr>
        <w:pStyle w:val="1412"/>
        <w:spacing w:line="360" w:lineRule="auto"/>
        <w:ind w:firstLine="480" w:firstLineChars="200"/>
        <w:rPr>
          <w:rFonts w:ascii="宋体"/>
          <w:color w:val="auto"/>
          <w:sz w:val="24"/>
          <w:highlight w:val="none"/>
        </w:rPr>
      </w:pPr>
      <w:r>
        <w:rPr>
          <w:rFonts w:hint="eastAsia" w:ascii="宋体"/>
          <w:color w:val="auto"/>
          <w:sz w:val="24"/>
          <w:highlight w:val="none"/>
        </w:rPr>
        <w:t>2）流动资产：</w:t>
      </w:r>
      <w:r>
        <w:rPr>
          <w:rFonts w:hint="eastAsia" w:ascii="宋体"/>
          <w:color w:val="auto"/>
          <w:sz w:val="24"/>
          <w:highlight w:val="none"/>
          <w:u w:val="single"/>
        </w:rPr>
        <w:t xml:space="preserve">                  </w:t>
      </w:r>
    </w:p>
    <w:p w14:paraId="565DA87D">
      <w:pPr>
        <w:pStyle w:val="1412"/>
        <w:spacing w:line="360" w:lineRule="auto"/>
        <w:ind w:firstLine="480" w:firstLineChars="200"/>
        <w:rPr>
          <w:rFonts w:ascii="宋体"/>
          <w:color w:val="auto"/>
          <w:sz w:val="24"/>
          <w:highlight w:val="none"/>
        </w:rPr>
      </w:pPr>
      <w:r>
        <w:rPr>
          <w:rFonts w:hint="eastAsia" w:ascii="宋体"/>
          <w:color w:val="auto"/>
          <w:sz w:val="24"/>
          <w:highlight w:val="none"/>
        </w:rPr>
        <w:t>3）长期负债：</w:t>
      </w:r>
      <w:r>
        <w:rPr>
          <w:rFonts w:hint="eastAsia" w:ascii="宋体"/>
          <w:color w:val="auto"/>
          <w:sz w:val="24"/>
          <w:highlight w:val="none"/>
          <w:u w:val="single"/>
        </w:rPr>
        <w:t xml:space="preserve">                  </w:t>
      </w:r>
    </w:p>
    <w:p w14:paraId="49759E3E">
      <w:pPr>
        <w:pStyle w:val="1412"/>
        <w:spacing w:line="360" w:lineRule="auto"/>
        <w:ind w:firstLine="480" w:firstLineChars="200"/>
        <w:rPr>
          <w:rFonts w:ascii="宋体"/>
          <w:color w:val="auto"/>
          <w:sz w:val="24"/>
          <w:highlight w:val="none"/>
        </w:rPr>
      </w:pPr>
      <w:r>
        <w:rPr>
          <w:rFonts w:hint="eastAsia" w:ascii="宋体"/>
          <w:color w:val="auto"/>
          <w:sz w:val="24"/>
          <w:highlight w:val="none"/>
        </w:rPr>
        <w:t>4）流动负债：</w:t>
      </w:r>
      <w:r>
        <w:rPr>
          <w:rFonts w:hint="eastAsia" w:ascii="宋体"/>
          <w:color w:val="auto"/>
          <w:sz w:val="24"/>
          <w:highlight w:val="none"/>
          <w:u w:val="single"/>
        </w:rPr>
        <w:t xml:space="preserve">                  </w:t>
      </w:r>
    </w:p>
    <w:p w14:paraId="6C5EBBAA">
      <w:pPr>
        <w:pStyle w:val="1412"/>
        <w:spacing w:line="360" w:lineRule="auto"/>
        <w:ind w:firstLine="480" w:firstLineChars="200"/>
        <w:rPr>
          <w:rFonts w:ascii="宋体"/>
          <w:color w:val="auto"/>
          <w:sz w:val="24"/>
          <w:highlight w:val="none"/>
        </w:rPr>
      </w:pPr>
      <w:r>
        <w:rPr>
          <w:rFonts w:hint="eastAsia" w:ascii="宋体"/>
          <w:color w:val="auto"/>
          <w:sz w:val="24"/>
          <w:highlight w:val="none"/>
        </w:rPr>
        <w:t>5）净值：</w:t>
      </w:r>
      <w:r>
        <w:rPr>
          <w:rFonts w:hint="eastAsia" w:ascii="宋体"/>
          <w:color w:val="auto"/>
          <w:sz w:val="24"/>
          <w:highlight w:val="none"/>
          <w:u w:val="single"/>
        </w:rPr>
        <w:t xml:space="preserve">                      </w:t>
      </w:r>
    </w:p>
    <w:p w14:paraId="1A136EDD">
      <w:pPr>
        <w:pStyle w:val="1412"/>
        <w:spacing w:line="360" w:lineRule="auto"/>
        <w:rPr>
          <w:rFonts w:ascii="宋体"/>
          <w:color w:val="auto"/>
          <w:sz w:val="24"/>
          <w:highlight w:val="none"/>
        </w:rPr>
      </w:pPr>
      <w:r>
        <w:rPr>
          <w:rFonts w:hint="eastAsia" w:ascii="宋体"/>
          <w:color w:val="auto"/>
          <w:sz w:val="24"/>
          <w:highlight w:val="none"/>
        </w:rPr>
        <w:t>（6）主要负责人名称：（可选填）</w:t>
      </w:r>
      <w:r>
        <w:rPr>
          <w:rFonts w:hint="eastAsia" w:ascii="宋体"/>
          <w:color w:val="auto"/>
          <w:sz w:val="24"/>
          <w:highlight w:val="none"/>
          <w:u w:val="single"/>
        </w:rPr>
        <w:t xml:space="preserve">                             </w:t>
      </w:r>
    </w:p>
    <w:p w14:paraId="1D379B63">
      <w:pPr>
        <w:pStyle w:val="1412"/>
        <w:rPr>
          <w:rFonts w:ascii="宋体"/>
          <w:color w:val="auto"/>
          <w:highlight w:val="none"/>
        </w:rPr>
      </w:pPr>
      <w:r>
        <w:rPr>
          <w:rFonts w:hint="eastAsia" w:ascii="宋体"/>
          <w:color w:val="auto"/>
          <w:sz w:val="24"/>
          <w:highlight w:val="none"/>
        </w:rPr>
        <w:t>2．近[  ]年的年营业额</w:t>
      </w:r>
    </w:p>
    <w:p w14:paraId="330D83B8">
      <w:pPr>
        <w:pStyle w:val="1412"/>
        <w:spacing w:line="360" w:lineRule="auto"/>
        <w:ind w:left="570"/>
        <w:rPr>
          <w:rFonts w:ascii="宋体"/>
          <w:color w:val="auto"/>
          <w:sz w:val="24"/>
          <w:highlight w:val="none"/>
        </w:rPr>
      </w:pPr>
      <w:r>
        <w:rPr>
          <w:rFonts w:hint="eastAsia" w:ascii="宋体"/>
          <w:color w:val="auto"/>
          <w:sz w:val="24"/>
          <w:highlight w:val="none"/>
        </w:rPr>
        <w:t>年份                总额</w:t>
      </w:r>
    </w:p>
    <w:p w14:paraId="3CC72161">
      <w:pPr>
        <w:pStyle w:val="1412"/>
        <w:spacing w:line="360" w:lineRule="auto"/>
        <w:ind w:left="570"/>
        <w:rPr>
          <w:rFonts w:ascii="宋体"/>
          <w:color w:val="auto"/>
          <w:sz w:val="24"/>
          <w:highlight w:val="none"/>
          <w:u w:val="single"/>
        </w:rPr>
      </w:pPr>
      <w:r>
        <w:rPr>
          <w:rFonts w:hint="eastAsia" w:ascii="宋体"/>
          <w:color w:val="auto"/>
          <w:sz w:val="24"/>
          <w:highlight w:val="none"/>
          <w:u w:val="single"/>
        </w:rPr>
        <w:t xml:space="preserve">            </w:t>
      </w:r>
      <w:r>
        <w:rPr>
          <w:rFonts w:hint="eastAsia" w:ascii="宋体"/>
          <w:color w:val="auto"/>
          <w:sz w:val="24"/>
          <w:highlight w:val="none"/>
        </w:rPr>
        <w:t xml:space="preserve">        </w:t>
      </w:r>
      <w:r>
        <w:rPr>
          <w:rFonts w:hint="eastAsia" w:ascii="宋体"/>
          <w:color w:val="auto"/>
          <w:sz w:val="24"/>
          <w:highlight w:val="none"/>
          <w:u w:val="single"/>
        </w:rPr>
        <w:t xml:space="preserve">            </w:t>
      </w:r>
    </w:p>
    <w:p w14:paraId="6C389D26">
      <w:pPr>
        <w:pStyle w:val="1412"/>
        <w:spacing w:line="360" w:lineRule="auto"/>
        <w:ind w:left="570"/>
        <w:rPr>
          <w:rFonts w:ascii="宋体"/>
          <w:color w:val="auto"/>
          <w:sz w:val="24"/>
          <w:highlight w:val="none"/>
          <w:u w:val="single"/>
        </w:rPr>
      </w:pPr>
      <w:r>
        <w:rPr>
          <w:rFonts w:hint="eastAsia" w:ascii="宋体"/>
          <w:color w:val="auto"/>
          <w:sz w:val="24"/>
          <w:highlight w:val="none"/>
          <w:u w:val="single"/>
        </w:rPr>
        <w:t xml:space="preserve">            </w:t>
      </w:r>
      <w:r>
        <w:rPr>
          <w:rFonts w:hint="eastAsia" w:ascii="宋体"/>
          <w:color w:val="auto"/>
          <w:sz w:val="24"/>
          <w:highlight w:val="none"/>
        </w:rPr>
        <w:t xml:space="preserve">        </w:t>
      </w:r>
      <w:r>
        <w:rPr>
          <w:rFonts w:hint="eastAsia" w:ascii="宋体"/>
          <w:color w:val="auto"/>
          <w:sz w:val="24"/>
          <w:highlight w:val="none"/>
          <w:u w:val="single"/>
        </w:rPr>
        <w:t xml:space="preserve">            </w:t>
      </w:r>
    </w:p>
    <w:p w14:paraId="623F4BCD">
      <w:pPr>
        <w:pStyle w:val="1412"/>
        <w:spacing w:line="360" w:lineRule="auto"/>
        <w:rPr>
          <w:rFonts w:ascii="宋体"/>
          <w:color w:val="auto"/>
          <w:sz w:val="24"/>
          <w:highlight w:val="none"/>
        </w:rPr>
      </w:pPr>
      <w:r>
        <w:rPr>
          <w:rFonts w:hint="eastAsia" w:ascii="宋体"/>
          <w:color w:val="auto"/>
          <w:sz w:val="24"/>
          <w:highlight w:val="none"/>
        </w:rPr>
        <w:t>3.近[</w:t>
      </w:r>
      <w:r>
        <w:rPr>
          <w:rFonts w:hint="eastAsia" w:ascii="宋体"/>
          <w:color w:val="auto"/>
          <w:sz w:val="24"/>
          <w:highlight w:val="none"/>
          <w:u w:val="single"/>
        </w:rPr>
        <w:t xml:space="preserve">  </w:t>
      </w:r>
      <w:r>
        <w:rPr>
          <w:rFonts w:hint="eastAsia" w:ascii="宋体"/>
          <w:color w:val="auto"/>
          <w:sz w:val="24"/>
          <w:highlight w:val="none"/>
        </w:rPr>
        <w:t>]年提供类似项目服务的主要客户的名称地址：</w:t>
      </w:r>
    </w:p>
    <w:p w14:paraId="41A655BB">
      <w:pPr>
        <w:pStyle w:val="1412"/>
        <w:spacing w:line="360" w:lineRule="auto"/>
        <w:ind w:firstLine="240" w:firstLineChars="100"/>
        <w:rPr>
          <w:rFonts w:ascii="宋体"/>
          <w:color w:val="auto"/>
          <w:sz w:val="24"/>
          <w:highlight w:val="none"/>
        </w:rPr>
      </w:pPr>
      <w:r>
        <w:rPr>
          <w:rFonts w:hint="eastAsia" w:ascii="宋体"/>
          <w:color w:val="auto"/>
          <w:sz w:val="24"/>
          <w:highlight w:val="none"/>
          <w:u w:val="single"/>
        </w:rPr>
        <w:t xml:space="preserve">（名称和地址）                     </w:t>
      </w:r>
      <w:r>
        <w:rPr>
          <w:rFonts w:hint="eastAsia" w:ascii="宋体"/>
          <w:color w:val="auto"/>
          <w:sz w:val="24"/>
          <w:highlight w:val="none"/>
        </w:rPr>
        <w:t xml:space="preserve">  </w:t>
      </w:r>
      <w:r>
        <w:rPr>
          <w:rFonts w:hint="eastAsia" w:ascii="宋体"/>
          <w:color w:val="auto"/>
          <w:sz w:val="24"/>
          <w:highlight w:val="none"/>
          <w:u w:val="single"/>
        </w:rPr>
        <w:t xml:space="preserve"> （项目名称）                         </w:t>
      </w:r>
    </w:p>
    <w:p w14:paraId="3EE635C7">
      <w:pPr>
        <w:pStyle w:val="1412"/>
        <w:spacing w:line="360" w:lineRule="auto"/>
        <w:ind w:firstLine="240" w:firstLineChars="100"/>
        <w:rPr>
          <w:rFonts w:ascii="宋体"/>
          <w:color w:val="auto"/>
          <w:sz w:val="24"/>
          <w:highlight w:val="none"/>
          <w:u w:val="single"/>
        </w:rPr>
      </w:pPr>
      <w:r>
        <w:rPr>
          <w:rFonts w:hint="eastAsia" w:ascii="宋体"/>
          <w:color w:val="auto"/>
          <w:sz w:val="24"/>
          <w:highlight w:val="none"/>
          <w:u w:val="single"/>
        </w:rPr>
        <w:t xml:space="preserve">（名称和地址）                       </w:t>
      </w:r>
      <w:r>
        <w:rPr>
          <w:rFonts w:hint="eastAsia" w:ascii="宋体"/>
          <w:color w:val="auto"/>
          <w:sz w:val="24"/>
          <w:highlight w:val="none"/>
        </w:rPr>
        <w:t xml:space="preserve"> </w:t>
      </w:r>
      <w:r>
        <w:rPr>
          <w:rFonts w:hint="eastAsia" w:ascii="宋体"/>
          <w:color w:val="auto"/>
          <w:sz w:val="24"/>
          <w:highlight w:val="none"/>
          <w:u w:val="single"/>
        </w:rPr>
        <w:t xml:space="preserve">（项目名称）                         </w:t>
      </w:r>
    </w:p>
    <w:p w14:paraId="2DDC0CC2">
      <w:pPr>
        <w:pStyle w:val="1412"/>
        <w:spacing w:line="360" w:lineRule="auto"/>
        <w:rPr>
          <w:rFonts w:ascii="宋体"/>
          <w:color w:val="auto"/>
          <w:sz w:val="24"/>
          <w:highlight w:val="none"/>
        </w:rPr>
      </w:pPr>
      <w:r>
        <w:rPr>
          <w:rFonts w:hint="eastAsia" w:ascii="宋体"/>
          <w:color w:val="auto"/>
          <w:sz w:val="24"/>
          <w:highlight w:val="none"/>
        </w:rPr>
        <w:t>4.有关开户银行的名称和地址：</w:t>
      </w:r>
      <w:r>
        <w:rPr>
          <w:rFonts w:hint="eastAsia" w:ascii="宋体"/>
          <w:color w:val="auto"/>
          <w:sz w:val="24"/>
          <w:highlight w:val="none"/>
          <w:u w:val="single"/>
        </w:rPr>
        <w:t xml:space="preserve">                                        </w:t>
      </w:r>
    </w:p>
    <w:p w14:paraId="688BD2D2">
      <w:pPr>
        <w:pStyle w:val="1412"/>
        <w:spacing w:line="360" w:lineRule="auto"/>
        <w:rPr>
          <w:rFonts w:ascii="宋体"/>
          <w:color w:val="auto"/>
          <w:sz w:val="24"/>
          <w:highlight w:val="none"/>
        </w:rPr>
      </w:pPr>
      <w:r>
        <w:rPr>
          <w:rFonts w:hint="eastAsia" w:ascii="宋体"/>
          <w:color w:val="auto"/>
          <w:sz w:val="24"/>
          <w:highlight w:val="none"/>
        </w:rPr>
        <w:t>5.所属的集团公司，如有的话：</w:t>
      </w:r>
      <w:r>
        <w:rPr>
          <w:rFonts w:hint="eastAsia" w:ascii="宋体"/>
          <w:color w:val="auto"/>
          <w:sz w:val="24"/>
          <w:highlight w:val="none"/>
          <w:u w:val="single"/>
        </w:rPr>
        <w:t xml:space="preserve">                                   </w:t>
      </w:r>
    </w:p>
    <w:p w14:paraId="64FD16FA">
      <w:pPr>
        <w:pStyle w:val="1412"/>
        <w:spacing w:line="360" w:lineRule="auto"/>
        <w:rPr>
          <w:rFonts w:ascii="宋体"/>
          <w:color w:val="auto"/>
          <w:sz w:val="24"/>
          <w:highlight w:val="none"/>
        </w:rPr>
      </w:pPr>
      <w:r>
        <w:rPr>
          <w:rFonts w:hint="eastAsia" w:ascii="宋体"/>
          <w:color w:val="auto"/>
          <w:sz w:val="24"/>
          <w:highlight w:val="none"/>
        </w:rPr>
        <w:t>6.其他情况：</w:t>
      </w:r>
      <w:r>
        <w:rPr>
          <w:rFonts w:hint="eastAsia" w:ascii="宋体"/>
          <w:color w:val="auto"/>
          <w:sz w:val="24"/>
          <w:highlight w:val="none"/>
          <w:u w:val="single"/>
        </w:rPr>
        <w:t xml:space="preserve">                                                       </w:t>
      </w:r>
    </w:p>
    <w:p w14:paraId="2456434B">
      <w:pPr>
        <w:pStyle w:val="1412"/>
        <w:spacing w:line="360" w:lineRule="auto"/>
        <w:ind w:firstLine="480" w:firstLineChars="200"/>
        <w:rPr>
          <w:rFonts w:ascii="宋体"/>
          <w:color w:val="auto"/>
          <w:sz w:val="24"/>
          <w:highlight w:val="none"/>
        </w:rPr>
      </w:pPr>
      <w:r>
        <w:rPr>
          <w:rFonts w:hint="eastAsia" w:ascii="宋体"/>
          <w:color w:val="auto"/>
          <w:sz w:val="24"/>
          <w:highlight w:val="none"/>
        </w:rPr>
        <w:t>兹证明上述声明是真实、正确的，并提供了全部能提供的资料和数据，我们同意遵照贵方要求出示有关证明文件。</w:t>
      </w:r>
    </w:p>
    <w:p w14:paraId="28C33654">
      <w:pPr>
        <w:pStyle w:val="1412"/>
        <w:spacing w:line="360" w:lineRule="auto"/>
        <w:rPr>
          <w:rFonts w:ascii="宋体"/>
          <w:color w:val="auto"/>
          <w:sz w:val="24"/>
          <w:highlight w:val="none"/>
        </w:rPr>
      </w:pPr>
      <w:r>
        <w:rPr>
          <w:rFonts w:hint="eastAsia" w:ascii="宋体"/>
          <w:color w:val="auto"/>
          <w:sz w:val="24"/>
          <w:highlight w:val="none"/>
        </w:rPr>
        <w:t>供应商名称（盖章）</w:t>
      </w:r>
      <w:r>
        <w:rPr>
          <w:rFonts w:hint="eastAsia" w:ascii="宋体"/>
          <w:color w:val="auto"/>
          <w:sz w:val="24"/>
          <w:highlight w:val="none"/>
          <w:u w:val="single"/>
        </w:rPr>
        <w:t xml:space="preserve">                                 </w:t>
      </w:r>
    </w:p>
    <w:p w14:paraId="5D1A5EDD">
      <w:pPr>
        <w:pStyle w:val="1412"/>
        <w:spacing w:line="360" w:lineRule="auto"/>
        <w:rPr>
          <w:rFonts w:ascii="宋体"/>
          <w:color w:val="auto"/>
          <w:sz w:val="24"/>
          <w:highlight w:val="none"/>
        </w:rPr>
      </w:pPr>
      <w:r>
        <w:rPr>
          <w:rFonts w:hint="eastAsia" w:ascii="宋体"/>
          <w:color w:val="auto"/>
          <w:sz w:val="24"/>
          <w:highlight w:val="none"/>
        </w:rPr>
        <w:t>签字人姓名和职务</w:t>
      </w:r>
      <w:r>
        <w:rPr>
          <w:rFonts w:hint="eastAsia" w:ascii="宋体"/>
          <w:color w:val="auto"/>
          <w:sz w:val="24"/>
          <w:highlight w:val="none"/>
          <w:u w:val="single"/>
        </w:rPr>
        <w:t xml:space="preserve">                           </w:t>
      </w:r>
    </w:p>
    <w:p w14:paraId="589606FD">
      <w:pPr>
        <w:pStyle w:val="1412"/>
        <w:spacing w:line="360" w:lineRule="auto"/>
        <w:rPr>
          <w:rFonts w:ascii="宋体"/>
          <w:color w:val="auto"/>
          <w:sz w:val="24"/>
          <w:highlight w:val="none"/>
        </w:rPr>
      </w:pPr>
      <w:r>
        <w:rPr>
          <w:rFonts w:hint="eastAsia" w:ascii="宋体"/>
          <w:color w:val="auto"/>
          <w:sz w:val="24"/>
          <w:highlight w:val="none"/>
        </w:rPr>
        <w:t>签字人签字</w:t>
      </w:r>
      <w:r>
        <w:rPr>
          <w:rFonts w:hint="eastAsia" w:ascii="宋体"/>
          <w:color w:val="auto"/>
          <w:sz w:val="24"/>
          <w:highlight w:val="none"/>
          <w:u w:val="single"/>
        </w:rPr>
        <w:t xml:space="preserve">                                 </w:t>
      </w:r>
    </w:p>
    <w:p w14:paraId="166EAB51">
      <w:pPr>
        <w:pStyle w:val="1412"/>
        <w:spacing w:line="360" w:lineRule="auto"/>
        <w:rPr>
          <w:rFonts w:ascii="宋体"/>
          <w:color w:val="auto"/>
          <w:sz w:val="24"/>
          <w:highlight w:val="none"/>
        </w:rPr>
      </w:pPr>
      <w:r>
        <w:rPr>
          <w:rFonts w:hint="eastAsia" w:ascii="宋体"/>
          <w:color w:val="auto"/>
          <w:sz w:val="24"/>
          <w:highlight w:val="none"/>
        </w:rPr>
        <w:t>签字日期</w:t>
      </w:r>
      <w:r>
        <w:rPr>
          <w:rFonts w:hint="eastAsia" w:ascii="宋体"/>
          <w:color w:val="auto"/>
          <w:sz w:val="24"/>
          <w:highlight w:val="none"/>
          <w:u w:val="single"/>
        </w:rPr>
        <w:t xml:space="preserve">                                   </w:t>
      </w:r>
    </w:p>
    <w:p w14:paraId="1B3BD9FD">
      <w:pPr>
        <w:pStyle w:val="1412"/>
        <w:spacing w:line="360" w:lineRule="auto"/>
        <w:rPr>
          <w:rFonts w:ascii="宋体"/>
          <w:color w:val="auto"/>
          <w:sz w:val="24"/>
          <w:highlight w:val="none"/>
        </w:rPr>
      </w:pPr>
      <w:r>
        <w:rPr>
          <w:rFonts w:hint="eastAsia" w:ascii="宋体"/>
          <w:color w:val="auto"/>
          <w:sz w:val="24"/>
          <w:highlight w:val="none"/>
        </w:rPr>
        <w:t>传    真</w:t>
      </w:r>
      <w:r>
        <w:rPr>
          <w:rFonts w:hint="eastAsia" w:ascii="宋体"/>
          <w:color w:val="auto"/>
          <w:sz w:val="24"/>
          <w:highlight w:val="none"/>
          <w:u w:val="single"/>
        </w:rPr>
        <w:t xml:space="preserve">                                   </w:t>
      </w:r>
    </w:p>
    <w:p w14:paraId="0D3DE397">
      <w:pPr>
        <w:pStyle w:val="1412"/>
        <w:spacing w:line="360" w:lineRule="auto"/>
        <w:rPr>
          <w:rFonts w:ascii="宋体"/>
          <w:color w:val="auto"/>
          <w:sz w:val="24"/>
          <w:highlight w:val="none"/>
          <w:u w:val="single"/>
        </w:rPr>
      </w:pPr>
      <w:r>
        <w:rPr>
          <w:rFonts w:hint="eastAsia" w:ascii="宋体"/>
          <w:color w:val="auto"/>
          <w:sz w:val="24"/>
          <w:highlight w:val="none"/>
        </w:rPr>
        <w:t>电    话</w:t>
      </w:r>
      <w:r>
        <w:rPr>
          <w:rFonts w:hint="eastAsia" w:ascii="宋体"/>
          <w:color w:val="auto"/>
          <w:sz w:val="24"/>
          <w:highlight w:val="none"/>
          <w:u w:val="single"/>
        </w:rPr>
        <w:t xml:space="preserve">                                   </w:t>
      </w:r>
    </w:p>
    <w:p w14:paraId="69273A7D">
      <w:pPr>
        <w:pStyle w:val="1412"/>
        <w:spacing w:line="360" w:lineRule="auto"/>
        <w:rPr>
          <w:rFonts w:ascii="宋体"/>
          <w:color w:val="auto"/>
          <w:sz w:val="24"/>
          <w:highlight w:val="none"/>
        </w:rPr>
      </w:pPr>
      <w:r>
        <w:rPr>
          <w:rFonts w:hint="eastAsia" w:ascii="宋体"/>
          <w:color w:val="auto"/>
          <w:sz w:val="24"/>
          <w:highlight w:val="none"/>
        </w:rPr>
        <w:t>邮    箱</w:t>
      </w:r>
      <w:r>
        <w:rPr>
          <w:rFonts w:hint="eastAsia" w:ascii="宋体"/>
          <w:color w:val="auto"/>
          <w:sz w:val="24"/>
          <w:highlight w:val="none"/>
          <w:u w:val="single"/>
        </w:rPr>
        <w:t xml:space="preserve">                                  </w:t>
      </w:r>
    </w:p>
    <w:p w14:paraId="6BEEA8E9">
      <w:pPr>
        <w:pStyle w:val="1412"/>
        <w:spacing w:line="360" w:lineRule="auto"/>
        <w:rPr>
          <w:rFonts w:ascii="宋体"/>
          <w:b/>
          <w:color w:val="auto"/>
          <w:sz w:val="24"/>
          <w:highlight w:val="none"/>
        </w:rPr>
      </w:pPr>
      <w:r>
        <w:rPr>
          <w:rFonts w:hint="eastAsia" w:ascii="宋体"/>
          <w:color w:val="auto"/>
          <w:sz w:val="24"/>
          <w:highlight w:val="none"/>
        </w:rPr>
        <w:t xml:space="preserve"> </w:t>
      </w:r>
    </w:p>
    <w:p w14:paraId="5BCD5F20">
      <w:pPr>
        <w:spacing w:line="360" w:lineRule="auto"/>
        <w:rPr>
          <w:rFonts w:ascii="宋体"/>
          <w:color w:val="auto"/>
          <w:sz w:val="24"/>
          <w:highlight w:val="none"/>
        </w:rPr>
        <w:sectPr>
          <w:pgSz w:w="11907" w:h="16840"/>
          <w:pgMar w:top="1588" w:right="1361" w:bottom="1701" w:left="1361" w:header="851" w:footer="851" w:gutter="0"/>
          <w:cols w:space="720" w:num="1"/>
          <w:docGrid w:linePitch="462" w:charSpace="0"/>
        </w:sectPr>
      </w:pPr>
    </w:p>
    <w:p w14:paraId="7D77B553">
      <w:pPr>
        <w:adjustRightInd w:val="0"/>
        <w:spacing w:before="240" w:beforeLines="100"/>
        <w:ind w:right="958"/>
        <w:jc w:val="left"/>
        <w:textAlignment w:val="baseline"/>
        <w:rPr>
          <w:rFonts w:ascii="宋体"/>
          <w:color w:val="auto"/>
          <w:kern w:val="0"/>
          <w:sz w:val="24"/>
          <w:highlight w:val="none"/>
        </w:rPr>
      </w:pPr>
      <w:bookmarkStart w:id="534" w:name="_Toc232395227"/>
      <w:bookmarkStart w:id="535" w:name="_Toc150774764"/>
      <w:bookmarkStart w:id="536" w:name="_Toc181864897"/>
      <w:bookmarkStart w:id="537" w:name="_Toc142311061"/>
      <w:bookmarkStart w:id="538" w:name="_Toc307848334"/>
      <w:bookmarkStart w:id="539" w:name="_Toc275099834"/>
      <w:bookmarkStart w:id="540" w:name="_Toc249515375"/>
      <w:bookmarkStart w:id="541" w:name="_Toc182205184"/>
      <w:bookmarkStart w:id="542" w:name="_Toc230013643"/>
      <w:bookmarkStart w:id="543" w:name="_Toc150480797"/>
      <w:bookmarkStart w:id="544" w:name="_Toc181504473"/>
      <w:bookmarkStart w:id="545" w:name="_Toc230583557"/>
      <w:bookmarkStart w:id="546" w:name="_Toc230099808"/>
      <w:bookmarkStart w:id="547" w:name="_Toc182205327"/>
      <w:bookmarkStart w:id="548" w:name="_Toc256342157"/>
      <w:bookmarkStart w:id="549" w:name="_Toc249525256"/>
      <w:bookmarkStart w:id="550" w:name="_Toc232176287"/>
      <w:bookmarkStart w:id="551" w:name="_Toc415499904"/>
      <w:bookmarkStart w:id="552" w:name="_Toc127151561"/>
      <w:r>
        <w:rPr>
          <w:rFonts w:hint="eastAsia" w:ascii="宋体"/>
          <w:color w:val="auto"/>
          <w:kern w:val="0"/>
          <w:sz w:val="24"/>
          <w:highlight w:val="none"/>
        </w:rPr>
        <w:t xml:space="preserve">附件6 </w:t>
      </w:r>
    </w:p>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440610E1">
      <w:pPr>
        <w:numPr>
          <w:ilvl w:val="0"/>
          <w:numId w:val="4"/>
        </w:numPr>
        <w:spacing w:line="360" w:lineRule="auto"/>
        <w:contextualSpacing/>
        <w:jc w:val="center"/>
        <w:outlineLvl w:val="1"/>
        <w:rPr>
          <w:rFonts w:ascii="宋体"/>
          <w:b/>
          <w:bCs/>
          <w:color w:val="auto"/>
          <w:kern w:val="0"/>
          <w:sz w:val="24"/>
          <w:highlight w:val="none"/>
        </w:rPr>
      </w:pPr>
      <w:bookmarkStart w:id="553" w:name="_Toc531330764"/>
      <w:bookmarkStart w:id="554" w:name="_Toc101545323"/>
      <w:bookmarkStart w:id="555" w:name="_Toc18205"/>
      <w:bookmarkStart w:id="556" w:name="_Toc181504474"/>
      <w:bookmarkStart w:id="557" w:name="_Toc150774765"/>
      <w:bookmarkStart w:id="558" w:name="_Toc232395228"/>
      <w:bookmarkStart w:id="559" w:name="_Toc127151562"/>
      <w:bookmarkStart w:id="560" w:name="_Toc275099835"/>
      <w:bookmarkStart w:id="561" w:name="_Toc230583558"/>
      <w:bookmarkStart w:id="562" w:name="_Toc230013644"/>
      <w:bookmarkStart w:id="563" w:name="_Toc181864898"/>
      <w:bookmarkStart w:id="564" w:name="_Toc249515376"/>
      <w:bookmarkStart w:id="565" w:name="_Toc232176288"/>
      <w:bookmarkStart w:id="566" w:name="_Toc142311062"/>
      <w:bookmarkStart w:id="567" w:name="_Toc249525257"/>
      <w:bookmarkStart w:id="568" w:name="_Toc182205328"/>
      <w:bookmarkStart w:id="569" w:name="_Toc415499905"/>
      <w:bookmarkStart w:id="570" w:name="_Toc150480798"/>
      <w:bookmarkStart w:id="571" w:name="_Toc230099809"/>
      <w:bookmarkStart w:id="572" w:name="_Toc307848335"/>
      <w:bookmarkStart w:id="573" w:name="_Toc256342158"/>
      <w:bookmarkStart w:id="574" w:name="_Toc182205185"/>
      <w:r>
        <w:rPr>
          <w:rFonts w:hint="eastAsia" w:ascii="宋体"/>
          <w:b/>
          <w:bCs/>
          <w:color w:val="auto"/>
          <w:kern w:val="0"/>
          <w:sz w:val="24"/>
          <w:highlight w:val="none"/>
        </w:rPr>
        <w:t>项目需求偏离表</w:t>
      </w:r>
      <w:bookmarkEnd w:id="553"/>
      <w:bookmarkEnd w:id="554"/>
      <w:bookmarkEnd w:id="555"/>
    </w:p>
    <w:p w14:paraId="3EEB46B5">
      <w:pPr>
        <w:pStyle w:val="1456"/>
        <w:contextualSpacing/>
        <w:rPr>
          <w:color w:val="auto"/>
          <w:highlight w:val="none"/>
        </w:rPr>
      </w:pPr>
      <w:r>
        <w:rPr>
          <w:rFonts w:hint="eastAsia"/>
          <w:color w:val="auto"/>
          <w:highlight w:val="none"/>
        </w:rPr>
        <w:t>项目名称：________</w:t>
      </w:r>
      <w:r>
        <w:rPr>
          <w:rFonts w:hint="eastAsia"/>
          <w:color w:val="auto"/>
          <w:highlight w:val="none"/>
          <w:u w:val="single"/>
        </w:rPr>
        <w:t xml:space="preserve">                 </w:t>
      </w:r>
      <w:r>
        <w:rPr>
          <w:rFonts w:hint="eastAsia"/>
          <w:color w:val="auto"/>
          <w:highlight w:val="none"/>
        </w:rPr>
        <w:t>___ 项目编号：____</w:t>
      </w:r>
      <w:r>
        <w:rPr>
          <w:rFonts w:hint="eastAsia"/>
          <w:color w:val="auto"/>
          <w:highlight w:val="none"/>
          <w:u w:val="single"/>
        </w:rPr>
        <w:t xml:space="preserve">  </w:t>
      </w:r>
      <w:r>
        <w:rPr>
          <w:rFonts w:hint="eastAsia"/>
          <w:color w:val="auto"/>
          <w:highlight w:val="none"/>
        </w:rPr>
        <w:t xml:space="preserve">__________  </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6"/>
        <w:gridCol w:w="2043"/>
        <w:gridCol w:w="2375"/>
        <w:gridCol w:w="1350"/>
        <w:gridCol w:w="781"/>
        <w:gridCol w:w="1072"/>
      </w:tblGrid>
      <w:tr w14:paraId="5CB3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76" w:type="dxa"/>
            <w:vAlign w:val="center"/>
          </w:tcPr>
          <w:p w14:paraId="50A9BCE0">
            <w:pPr>
              <w:pStyle w:val="1456"/>
              <w:contextualSpacing/>
              <w:jc w:val="center"/>
              <w:rPr>
                <w:color w:val="auto"/>
                <w:highlight w:val="none"/>
              </w:rPr>
            </w:pPr>
            <w:r>
              <w:rPr>
                <w:rFonts w:hint="eastAsia"/>
                <w:color w:val="auto"/>
                <w:highlight w:val="none"/>
              </w:rPr>
              <w:t>序号</w:t>
            </w:r>
          </w:p>
        </w:tc>
        <w:tc>
          <w:tcPr>
            <w:tcW w:w="2043" w:type="dxa"/>
            <w:vAlign w:val="center"/>
          </w:tcPr>
          <w:p w14:paraId="05C22F61">
            <w:pPr>
              <w:pStyle w:val="1456"/>
              <w:contextualSpacing/>
              <w:jc w:val="center"/>
              <w:rPr>
                <w:color w:val="auto"/>
                <w:highlight w:val="none"/>
              </w:rPr>
            </w:pPr>
            <w:r>
              <w:rPr>
                <w:rFonts w:hint="eastAsia"/>
                <w:color w:val="auto"/>
                <w:highlight w:val="none"/>
              </w:rPr>
              <w:t>竞争性磋商文件</w:t>
            </w:r>
          </w:p>
          <w:p w14:paraId="5993E8CF">
            <w:pPr>
              <w:pStyle w:val="1456"/>
              <w:contextualSpacing/>
              <w:jc w:val="center"/>
              <w:rPr>
                <w:color w:val="auto"/>
                <w:highlight w:val="none"/>
              </w:rPr>
            </w:pPr>
            <w:r>
              <w:rPr>
                <w:rFonts w:hint="eastAsia"/>
                <w:color w:val="auto"/>
                <w:highlight w:val="none"/>
              </w:rPr>
              <w:t>条款号</w:t>
            </w:r>
          </w:p>
        </w:tc>
        <w:tc>
          <w:tcPr>
            <w:tcW w:w="2375" w:type="dxa"/>
            <w:vAlign w:val="center"/>
          </w:tcPr>
          <w:p w14:paraId="32996A08">
            <w:pPr>
              <w:pStyle w:val="1456"/>
              <w:contextualSpacing/>
              <w:jc w:val="center"/>
              <w:rPr>
                <w:color w:val="auto"/>
                <w:highlight w:val="none"/>
              </w:rPr>
            </w:pPr>
            <w:r>
              <w:rPr>
                <w:rFonts w:hint="eastAsia"/>
                <w:color w:val="auto"/>
                <w:highlight w:val="none"/>
              </w:rPr>
              <w:t>项目需求内容</w:t>
            </w:r>
          </w:p>
        </w:tc>
        <w:tc>
          <w:tcPr>
            <w:tcW w:w="1350" w:type="dxa"/>
            <w:vAlign w:val="center"/>
          </w:tcPr>
          <w:p w14:paraId="6D72E748">
            <w:pPr>
              <w:pStyle w:val="1456"/>
              <w:contextualSpacing/>
              <w:jc w:val="center"/>
              <w:rPr>
                <w:color w:val="auto"/>
                <w:highlight w:val="none"/>
              </w:rPr>
            </w:pPr>
            <w:r>
              <w:rPr>
                <w:rFonts w:hint="eastAsia"/>
                <w:color w:val="auto"/>
                <w:highlight w:val="none"/>
              </w:rPr>
              <w:t>响应内容</w:t>
            </w:r>
          </w:p>
        </w:tc>
        <w:tc>
          <w:tcPr>
            <w:tcW w:w="781" w:type="dxa"/>
            <w:vAlign w:val="center"/>
          </w:tcPr>
          <w:p w14:paraId="0CC24F22">
            <w:pPr>
              <w:pStyle w:val="1456"/>
              <w:contextualSpacing/>
              <w:jc w:val="center"/>
              <w:rPr>
                <w:color w:val="auto"/>
                <w:highlight w:val="none"/>
              </w:rPr>
            </w:pPr>
            <w:r>
              <w:rPr>
                <w:rFonts w:hint="eastAsia"/>
                <w:color w:val="auto"/>
                <w:highlight w:val="none"/>
              </w:rPr>
              <w:t>偏离</w:t>
            </w:r>
          </w:p>
        </w:tc>
        <w:tc>
          <w:tcPr>
            <w:tcW w:w="1072" w:type="dxa"/>
            <w:vAlign w:val="center"/>
          </w:tcPr>
          <w:p w14:paraId="3B5BE07E">
            <w:pPr>
              <w:pStyle w:val="1456"/>
              <w:contextualSpacing/>
              <w:jc w:val="center"/>
              <w:rPr>
                <w:color w:val="auto"/>
                <w:highlight w:val="none"/>
              </w:rPr>
            </w:pPr>
            <w:r>
              <w:rPr>
                <w:rFonts w:hint="eastAsia"/>
                <w:color w:val="auto"/>
                <w:highlight w:val="none"/>
              </w:rPr>
              <w:t>说明</w:t>
            </w:r>
          </w:p>
        </w:tc>
      </w:tr>
      <w:tr w14:paraId="70BE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76" w:type="dxa"/>
          </w:tcPr>
          <w:p w14:paraId="03A175DA">
            <w:pPr>
              <w:pStyle w:val="1456"/>
              <w:contextualSpacing/>
              <w:rPr>
                <w:color w:val="auto"/>
                <w:highlight w:val="none"/>
              </w:rPr>
            </w:pPr>
          </w:p>
        </w:tc>
        <w:tc>
          <w:tcPr>
            <w:tcW w:w="2043" w:type="dxa"/>
          </w:tcPr>
          <w:p w14:paraId="02B0CF66">
            <w:pPr>
              <w:pStyle w:val="1456"/>
              <w:contextualSpacing/>
              <w:rPr>
                <w:color w:val="auto"/>
                <w:highlight w:val="none"/>
              </w:rPr>
            </w:pPr>
          </w:p>
        </w:tc>
        <w:tc>
          <w:tcPr>
            <w:tcW w:w="2375" w:type="dxa"/>
          </w:tcPr>
          <w:p w14:paraId="3DB9432B">
            <w:pPr>
              <w:pStyle w:val="1456"/>
              <w:contextualSpacing/>
              <w:rPr>
                <w:color w:val="auto"/>
                <w:highlight w:val="none"/>
              </w:rPr>
            </w:pPr>
          </w:p>
        </w:tc>
        <w:tc>
          <w:tcPr>
            <w:tcW w:w="1350" w:type="dxa"/>
          </w:tcPr>
          <w:p w14:paraId="78522F3B">
            <w:pPr>
              <w:pStyle w:val="1456"/>
              <w:contextualSpacing/>
              <w:rPr>
                <w:color w:val="auto"/>
                <w:highlight w:val="none"/>
              </w:rPr>
            </w:pPr>
          </w:p>
        </w:tc>
        <w:tc>
          <w:tcPr>
            <w:tcW w:w="781" w:type="dxa"/>
          </w:tcPr>
          <w:p w14:paraId="7EAE51D4">
            <w:pPr>
              <w:pStyle w:val="1456"/>
              <w:contextualSpacing/>
              <w:rPr>
                <w:color w:val="auto"/>
                <w:highlight w:val="none"/>
              </w:rPr>
            </w:pPr>
          </w:p>
        </w:tc>
        <w:tc>
          <w:tcPr>
            <w:tcW w:w="1072" w:type="dxa"/>
          </w:tcPr>
          <w:p w14:paraId="2CB088FC">
            <w:pPr>
              <w:pStyle w:val="1456"/>
              <w:contextualSpacing/>
              <w:rPr>
                <w:color w:val="auto"/>
                <w:highlight w:val="none"/>
              </w:rPr>
            </w:pPr>
          </w:p>
        </w:tc>
      </w:tr>
      <w:tr w14:paraId="30AC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76" w:type="dxa"/>
          </w:tcPr>
          <w:p w14:paraId="5576F18E">
            <w:pPr>
              <w:pStyle w:val="1456"/>
              <w:contextualSpacing/>
              <w:rPr>
                <w:color w:val="auto"/>
                <w:highlight w:val="none"/>
              </w:rPr>
            </w:pPr>
          </w:p>
        </w:tc>
        <w:tc>
          <w:tcPr>
            <w:tcW w:w="2043" w:type="dxa"/>
          </w:tcPr>
          <w:p w14:paraId="640822FB">
            <w:pPr>
              <w:pStyle w:val="1456"/>
              <w:contextualSpacing/>
              <w:rPr>
                <w:color w:val="auto"/>
                <w:highlight w:val="none"/>
              </w:rPr>
            </w:pPr>
          </w:p>
        </w:tc>
        <w:tc>
          <w:tcPr>
            <w:tcW w:w="2375" w:type="dxa"/>
          </w:tcPr>
          <w:p w14:paraId="79A6FB9E">
            <w:pPr>
              <w:pStyle w:val="1456"/>
              <w:contextualSpacing/>
              <w:rPr>
                <w:color w:val="auto"/>
                <w:highlight w:val="none"/>
              </w:rPr>
            </w:pPr>
          </w:p>
        </w:tc>
        <w:tc>
          <w:tcPr>
            <w:tcW w:w="1350" w:type="dxa"/>
          </w:tcPr>
          <w:p w14:paraId="69A1B1D7">
            <w:pPr>
              <w:pStyle w:val="1456"/>
              <w:contextualSpacing/>
              <w:rPr>
                <w:color w:val="auto"/>
                <w:highlight w:val="none"/>
              </w:rPr>
            </w:pPr>
          </w:p>
        </w:tc>
        <w:tc>
          <w:tcPr>
            <w:tcW w:w="781" w:type="dxa"/>
          </w:tcPr>
          <w:p w14:paraId="09E93DD5">
            <w:pPr>
              <w:pStyle w:val="1456"/>
              <w:contextualSpacing/>
              <w:rPr>
                <w:color w:val="auto"/>
                <w:highlight w:val="none"/>
              </w:rPr>
            </w:pPr>
          </w:p>
        </w:tc>
        <w:tc>
          <w:tcPr>
            <w:tcW w:w="1072" w:type="dxa"/>
          </w:tcPr>
          <w:p w14:paraId="1449ECA9">
            <w:pPr>
              <w:pStyle w:val="1456"/>
              <w:contextualSpacing/>
              <w:rPr>
                <w:color w:val="auto"/>
                <w:highlight w:val="none"/>
              </w:rPr>
            </w:pPr>
          </w:p>
        </w:tc>
      </w:tr>
      <w:tr w14:paraId="0905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76" w:type="dxa"/>
          </w:tcPr>
          <w:p w14:paraId="73232133">
            <w:pPr>
              <w:pStyle w:val="1456"/>
              <w:contextualSpacing/>
              <w:rPr>
                <w:color w:val="auto"/>
                <w:highlight w:val="none"/>
              </w:rPr>
            </w:pPr>
          </w:p>
        </w:tc>
        <w:tc>
          <w:tcPr>
            <w:tcW w:w="2043" w:type="dxa"/>
          </w:tcPr>
          <w:p w14:paraId="5A302CA8">
            <w:pPr>
              <w:pStyle w:val="1456"/>
              <w:contextualSpacing/>
              <w:rPr>
                <w:color w:val="auto"/>
                <w:highlight w:val="none"/>
              </w:rPr>
            </w:pPr>
          </w:p>
        </w:tc>
        <w:tc>
          <w:tcPr>
            <w:tcW w:w="2375" w:type="dxa"/>
          </w:tcPr>
          <w:p w14:paraId="1A58293F">
            <w:pPr>
              <w:pStyle w:val="1456"/>
              <w:contextualSpacing/>
              <w:rPr>
                <w:color w:val="auto"/>
                <w:highlight w:val="none"/>
              </w:rPr>
            </w:pPr>
          </w:p>
        </w:tc>
        <w:tc>
          <w:tcPr>
            <w:tcW w:w="1350" w:type="dxa"/>
          </w:tcPr>
          <w:p w14:paraId="15D07FE7">
            <w:pPr>
              <w:pStyle w:val="1456"/>
              <w:contextualSpacing/>
              <w:rPr>
                <w:color w:val="auto"/>
                <w:highlight w:val="none"/>
              </w:rPr>
            </w:pPr>
          </w:p>
        </w:tc>
        <w:tc>
          <w:tcPr>
            <w:tcW w:w="781" w:type="dxa"/>
          </w:tcPr>
          <w:p w14:paraId="40F0BCD2">
            <w:pPr>
              <w:pStyle w:val="1456"/>
              <w:contextualSpacing/>
              <w:rPr>
                <w:color w:val="auto"/>
                <w:highlight w:val="none"/>
              </w:rPr>
            </w:pPr>
          </w:p>
        </w:tc>
        <w:tc>
          <w:tcPr>
            <w:tcW w:w="1072" w:type="dxa"/>
          </w:tcPr>
          <w:p w14:paraId="4D203C4C">
            <w:pPr>
              <w:pStyle w:val="1456"/>
              <w:contextualSpacing/>
              <w:rPr>
                <w:color w:val="auto"/>
                <w:highlight w:val="none"/>
              </w:rPr>
            </w:pPr>
          </w:p>
        </w:tc>
      </w:tr>
      <w:tr w14:paraId="4880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76" w:type="dxa"/>
          </w:tcPr>
          <w:p w14:paraId="7A7BC235">
            <w:pPr>
              <w:pStyle w:val="1456"/>
              <w:contextualSpacing/>
              <w:rPr>
                <w:color w:val="auto"/>
                <w:highlight w:val="none"/>
              </w:rPr>
            </w:pPr>
          </w:p>
        </w:tc>
        <w:tc>
          <w:tcPr>
            <w:tcW w:w="2043" w:type="dxa"/>
          </w:tcPr>
          <w:p w14:paraId="568DC096">
            <w:pPr>
              <w:pStyle w:val="1456"/>
              <w:contextualSpacing/>
              <w:rPr>
                <w:color w:val="auto"/>
                <w:highlight w:val="none"/>
              </w:rPr>
            </w:pPr>
          </w:p>
        </w:tc>
        <w:tc>
          <w:tcPr>
            <w:tcW w:w="2375" w:type="dxa"/>
          </w:tcPr>
          <w:p w14:paraId="28A04A9B">
            <w:pPr>
              <w:pStyle w:val="1456"/>
              <w:contextualSpacing/>
              <w:rPr>
                <w:color w:val="auto"/>
                <w:highlight w:val="none"/>
              </w:rPr>
            </w:pPr>
          </w:p>
        </w:tc>
        <w:tc>
          <w:tcPr>
            <w:tcW w:w="1350" w:type="dxa"/>
          </w:tcPr>
          <w:p w14:paraId="309B64C7">
            <w:pPr>
              <w:pStyle w:val="1456"/>
              <w:contextualSpacing/>
              <w:rPr>
                <w:color w:val="auto"/>
                <w:highlight w:val="none"/>
              </w:rPr>
            </w:pPr>
          </w:p>
        </w:tc>
        <w:tc>
          <w:tcPr>
            <w:tcW w:w="781" w:type="dxa"/>
          </w:tcPr>
          <w:p w14:paraId="4CA6BABA">
            <w:pPr>
              <w:pStyle w:val="1456"/>
              <w:contextualSpacing/>
              <w:rPr>
                <w:color w:val="auto"/>
                <w:highlight w:val="none"/>
              </w:rPr>
            </w:pPr>
          </w:p>
        </w:tc>
        <w:tc>
          <w:tcPr>
            <w:tcW w:w="1072" w:type="dxa"/>
          </w:tcPr>
          <w:p w14:paraId="698E1C04">
            <w:pPr>
              <w:pStyle w:val="1456"/>
              <w:contextualSpacing/>
              <w:rPr>
                <w:color w:val="auto"/>
                <w:highlight w:val="none"/>
              </w:rPr>
            </w:pPr>
          </w:p>
        </w:tc>
      </w:tr>
      <w:tr w14:paraId="6304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76" w:type="dxa"/>
          </w:tcPr>
          <w:p w14:paraId="6B401413">
            <w:pPr>
              <w:pStyle w:val="1456"/>
              <w:contextualSpacing/>
              <w:rPr>
                <w:color w:val="auto"/>
                <w:highlight w:val="none"/>
              </w:rPr>
            </w:pPr>
          </w:p>
        </w:tc>
        <w:tc>
          <w:tcPr>
            <w:tcW w:w="2043" w:type="dxa"/>
          </w:tcPr>
          <w:p w14:paraId="4EBB9CFE">
            <w:pPr>
              <w:pStyle w:val="1456"/>
              <w:contextualSpacing/>
              <w:rPr>
                <w:color w:val="auto"/>
                <w:highlight w:val="none"/>
              </w:rPr>
            </w:pPr>
          </w:p>
        </w:tc>
        <w:tc>
          <w:tcPr>
            <w:tcW w:w="2375" w:type="dxa"/>
          </w:tcPr>
          <w:p w14:paraId="2A47A356">
            <w:pPr>
              <w:pStyle w:val="1456"/>
              <w:contextualSpacing/>
              <w:rPr>
                <w:color w:val="auto"/>
                <w:highlight w:val="none"/>
              </w:rPr>
            </w:pPr>
          </w:p>
        </w:tc>
        <w:tc>
          <w:tcPr>
            <w:tcW w:w="1350" w:type="dxa"/>
          </w:tcPr>
          <w:p w14:paraId="2C1B714B">
            <w:pPr>
              <w:pStyle w:val="1456"/>
              <w:contextualSpacing/>
              <w:rPr>
                <w:color w:val="auto"/>
                <w:highlight w:val="none"/>
              </w:rPr>
            </w:pPr>
          </w:p>
        </w:tc>
        <w:tc>
          <w:tcPr>
            <w:tcW w:w="781" w:type="dxa"/>
          </w:tcPr>
          <w:p w14:paraId="5C0D2623">
            <w:pPr>
              <w:pStyle w:val="1456"/>
              <w:contextualSpacing/>
              <w:rPr>
                <w:color w:val="auto"/>
                <w:highlight w:val="none"/>
              </w:rPr>
            </w:pPr>
          </w:p>
        </w:tc>
        <w:tc>
          <w:tcPr>
            <w:tcW w:w="1072" w:type="dxa"/>
          </w:tcPr>
          <w:p w14:paraId="084C096C">
            <w:pPr>
              <w:pStyle w:val="1456"/>
              <w:contextualSpacing/>
              <w:rPr>
                <w:color w:val="auto"/>
                <w:highlight w:val="none"/>
              </w:rPr>
            </w:pPr>
          </w:p>
        </w:tc>
      </w:tr>
      <w:tr w14:paraId="68C9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76" w:type="dxa"/>
          </w:tcPr>
          <w:p w14:paraId="0FE083A7">
            <w:pPr>
              <w:pStyle w:val="1456"/>
              <w:contextualSpacing/>
              <w:rPr>
                <w:color w:val="auto"/>
                <w:highlight w:val="none"/>
              </w:rPr>
            </w:pPr>
          </w:p>
        </w:tc>
        <w:tc>
          <w:tcPr>
            <w:tcW w:w="2043" w:type="dxa"/>
          </w:tcPr>
          <w:p w14:paraId="6B501708">
            <w:pPr>
              <w:pStyle w:val="1456"/>
              <w:contextualSpacing/>
              <w:rPr>
                <w:color w:val="auto"/>
                <w:highlight w:val="none"/>
              </w:rPr>
            </w:pPr>
          </w:p>
        </w:tc>
        <w:tc>
          <w:tcPr>
            <w:tcW w:w="2375" w:type="dxa"/>
          </w:tcPr>
          <w:p w14:paraId="50B132B1">
            <w:pPr>
              <w:pStyle w:val="1455"/>
              <w:adjustRightInd w:val="0"/>
              <w:spacing w:line="360" w:lineRule="auto"/>
              <w:contextualSpacing/>
              <w:jc w:val="left"/>
              <w:rPr>
                <w:rFonts w:ascii="宋体" w:cs="Courier New"/>
                <w:color w:val="auto"/>
                <w:sz w:val="24"/>
                <w:szCs w:val="21"/>
                <w:highlight w:val="none"/>
              </w:rPr>
            </w:pPr>
          </w:p>
        </w:tc>
        <w:tc>
          <w:tcPr>
            <w:tcW w:w="1350" w:type="dxa"/>
          </w:tcPr>
          <w:p w14:paraId="4B7463F6">
            <w:pPr>
              <w:pStyle w:val="1456"/>
              <w:contextualSpacing/>
              <w:rPr>
                <w:color w:val="auto"/>
                <w:highlight w:val="none"/>
              </w:rPr>
            </w:pPr>
          </w:p>
        </w:tc>
        <w:tc>
          <w:tcPr>
            <w:tcW w:w="781" w:type="dxa"/>
          </w:tcPr>
          <w:p w14:paraId="318CD726">
            <w:pPr>
              <w:pStyle w:val="1456"/>
              <w:contextualSpacing/>
              <w:rPr>
                <w:color w:val="auto"/>
                <w:highlight w:val="none"/>
              </w:rPr>
            </w:pPr>
          </w:p>
        </w:tc>
        <w:tc>
          <w:tcPr>
            <w:tcW w:w="1072" w:type="dxa"/>
          </w:tcPr>
          <w:p w14:paraId="39653F6C">
            <w:pPr>
              <w:pStyle w:val="1456"/>
              <w:contextualSpacing/>
              <w:rPr>
                <w:color w:val="auto"/>
                <w:highlight w:val="none"/>
              </w:rPr>
            </w:pPr>
          </w:p>
        </w:tc>
      </w:tr>
    </w:tbl>
    <w:p w14:paraId="4EF5F5EF">
      <w:pPr>
        <w:pStyle w:val="1456"/>
        <w:contextualSpacing/>
        <w:rPr>
          <w:b/>
          <w:color w:val="auto"/>
          <w:sz w:val="21"/>
          <w:highlight w:val="none"/>
        </w:rPr>
      </w:pPr>
    </w:p>
    <w:p w14:paraId="1A294FCB">
      <w:pPr>
        <w:pStyle w:val="1456"/>
        <w:contextualSpacing/>
        <w:rPr>
          <w:color w:val="auto"/>
          <w:highlight w:val="none"/>
        </w:rPr>
      </w:pPr>
      <w:r>
        <w:rPr>
          <w:rFonts w:hint="eastAsia"/>
          <w:b/>
          <w:color w:val="auto"/>
          <w:sz w:val="21"/>
          <w:highlight w:val="none"/>
        </w:rPr>
        <w:t>注</w:t>
      </w:r>
      <w:r>
        <w:rPr>
          <w:rFonts w:hint="eastAsia"/>
          <w:color w:val="auto"/>
          <w:sz w:val="21"/>
          <w:highlight w:val="none"/>
        </w:rPr>
        <w:t>：</w:t>
      </w:r>
    </w:p>
    <w:p w14:paraId="61AFA3A6">
      <w:pPr>
        <w:pStyle w:val="1408"/>
        <w:autoSpaceDN w:val="0"/>
        <w:spacing w:line="360" w:lineRule="auto"/>
        <w:contextualSpacing/>
        <w:rPr>
          <w:color w:val="auto"/>
          <w:sz w:val="24"/>
          <w:szCs w:val="24"/>
          <w:highlight w:val="none"/>
        </w:rPr>
      </w:pPr>
      <w:r>
        <w:rPr>
          <w:color w:val="auto"/>
          <w:sz w:val="24"/>
          <w:szCs w:val="24"/>
          <w:highlight w:val="none"/>
        </w:rPr>
        <w:t>1</w:t>
      </w:r>
      <w:r>
        <w:rPr>
          <w:rFonts w:hint="eastAsia"/>
          <w:color w:val="auto"/>
          <w:sz w:val="24"/>
          <w:szCs w:val="24"/>
          <w:highlight w:val="none"/>
        </w:rPr>
        <w:t>、此表应对</w:t>
      </w:r>
      <w:r>
        <w:rPr>
          <w:color w:val="auto"/>
          <w:sz w:val="24"/>
          <w:szCs w:val="24"/>
          <w:highlight w:val="none"/>
        </w:rPr>
        <w:t>采购</w:t>
      </w:r>
      <w:r>
        <w:rPr>
          <w:rFonts w:hint="eastAsia"/>
          <w:color w:val="auto"/>
          <w:sz w:val="24"/>
          <w:szCs w:val="24"/>
          <w:highlight w:val="none"/>
        </w:rPr>
        <w:t>文件</w:t>
      </w:r>
      <w:r>
        <w:rPr>
          <w:rFonts w:hint="eastAsia"/>
          <w:color w:val="auto"/>
          <w:sz w:val="24"/>
          <w:szCs w:val="24"/>
          <w:highlight w:val="none"/>
          <w:lang w:eastAsia="zh-CN"/>
        </w:rPr>
        <w:t>第四部分</w:t>
      </w:r>
      <w:r>
        <w:rPr>
          <w:rFonts w:hint="eastAsia"/>
          <w:color w:val="auto"/>
          <w:sz w:val="24"/>
          <w:szCs w:val="24"/>
          <w:highlight w:val="none"/>
        </w:rPr>
        <w:t>《项目需求书》</w:t>
      </w:r>
      <w:r>
        <w:rPr>
          <w:rFonts w:hint="eastAsia"/>
          <w:color w:val="auto"/>
          <w:sz w:val="24"/>
          <w:szCs w:val="24"/>
          <w:highlight w:val="none"/>
          <w:lang w:eastAsia="zh-CN"/>
        </w:rPr>
        <w:t>所有的</w:t>
      </w:r>
      <w:r>
        <w:rPr>
          <w:rFonts w:hint="eastAsia"/>
          <w:color w:val="auto"/>
          <w:sz w:val="24"/>
          <w:szCs w:val="24"/>
          <w:highlight w:val="none"/>
        </w:rPr>
        <w:t>内容进行逐条</w:t>
      </w:r>
      <w:r>
        <w:rPr>
          <w:rFonts w:hint="eastAsia"/>
          <w:b/>
          <w:color w:val="auto"/>
          <w:sz w:val="24"/>
          <w:szCs w:val="24"/>
          <w:highlight w:val="none"/>
        </w:rPr>
        <w:t>如实</w:t>
      </w:r>
      <w:r>
        <w:rPr>
          <w:rFonts w:hint="eastAsia"/>
          <w:color w:val="auto"/>
          <w:sz w:val="24"/>
          <w:szCs w:val="24"/>
          <w:highlight w:val="none"/>
        </w:rPr>
        <w:t>应答。如供应商</w:t>
      </w:r>
      <w:r>
        <w:rPr>
          <w:color w:val="auto"/>
          <w:sz w:val="24"/>
          <w:szCs w:val="24"/>
          <w:highlight w:val="none"/>
        </w:rPr>
        <w:t>成交</w:t>
      </w:r>
      <w:r>
        <w:rPr>
          <w:rFonts w:hint="eastAsia"/>
          <w:color w:val="auto"/>
          <w:sz w:val="24"/>
          <w:szCs w:val="24"/>
          <w:highlight w:val="none"/>
        </w:rPr>
        <w:t>，其应答内容将作为签订采购合同及履约验收的依据之一，如有虚假应答，将承担相应的法律责任。</w:t>
      </w:r>
    </w:p>
    <w:p w14:paraId="528E5AC0">
      <w:pPr>
        <w:pStyle w:val="1408"/>
        <w:autoSpaceDN w:val="0"/>
        <w:spacing w:line="360" w:lineRule="auto"/>
        <w:contextualSpacing/>
        <w:rPr>
          <w:b/>
          <w:bCs/>
          <w:color w:val="auto"/>
          <w:sz w:val="24"/>
          <w:szCs w:val="24"/>
          <w:highlight w:val="none"/>
        </w:rPr>
      </w:pPr>
      <w:r>
        <w:rPr>
          <w:rFonts w:hint="eastAsia"/>
          <w:color w:val="auto"/>
          <w:sz w:val="24"/>
          <w:szCs w:val="24"/>
          <w:highlight w:val="none"/>
        </w:rPr>
        <w:t>2、本表中所应答的各项技术指标或服务承诺等应当与应答文件其他部分中相同指标的表述一致，如果出现前后不一致情形，将按无效应答处理</w:t>
      </w:r>
      <w:r>
        <w:rPr>
          <w:rFonts w:hint="eastAsia"/>
          <w:b/>
          <w:bCs/>
          <w:color w:val="auto"/>
          <w:sz w:val="24"/>
          <w:szCs w:val="24"/>
          <w:highlight w:val="none"/>
        </w:rPr>
        <w:t>。</w:t>
      </w:r>
    </w:p>
    <w:p w14:paraId="4A088816">
      <w:pPr>
        <w:pStyle w:val="1408"/>
        <w:autoSpaceDN w:val="0"/>
        <w:spacing w:line="360" w:lineRule="auto"/>
        <w:contextualSpacing/>
        <w:rPr>
          <w:b/>
          <w:bCs/>
          <w:color w:val="auto"/>
          <w:sz w:val="24"/>
          <w:szCs w:val="24"/>
          <w:highlight w:val="none"/>
        </w:rPr>
      </w:pPr>
      <w:r>
        <w:rPr>
          <w:rFonts w:hint="eastAsia"/>
          <w:color w:val="auto"/>
          <w:sz w:val="24"/>
          <w:szCs w:val="24"/>
          <w:highlight w:val="none"/>
        </w:rPr>
        <w:t>3、对于那些可以用量化形式表示的条款，供应商必须明确回答，对于那些非量化的条款供应商应以功能描述回答，指出所提供的货物和服务是否做出实质性响应；任何通过简单拷贝</w:t>
      </w:r>
      <w:r>
        <w:rPr>
          <w:color w:val="auto"/>
          <w:sz w:val="24"/>
          <w:szCs w:val="24"/>
          <w:highlight w:val="none"/>
        </w:rPr>
        <w:t>采购</w:t>
      </w:r>
      <w:r>
        <w:rPr>
          <w:rFonts w:hint="eastAsia"/>
          <w:color w:val="auto"/>
          <w:sz w:val="24"/>
          <w:szCs w:val="24"/>
          <w:highlight w:val="none"/>
        </w:rPr>
        <w:t>文件的技术或服务要求、简单标注</w:t>
      </w:r>
      <w:r>
        <w:rPr>
          <w:color w:val="auto"/>
          <w:sz w:val="24"/>
          <w:szCs w:val="24"/>
          <w:highlight w:val="none"/>
        </w:rPr>
        <w:t>“</w:t>
      </w:r>
      <w:r>
        <w:rPr>
          <w:rFonts w:hint="eastAsia"/>
          <w:color w:val="auto"/>
          <w:sz w:val="24"/>
          <w:szCs w:val="24"/>
          <w:highlight w:val="none"/>
        </w:rPr>
        <w:t>符合</w:t>
      </w:r>
      <w:r>
        <w:rPr>
          <w:color w:val="auto"/>
          <w:sz w:val="24"/>
          <w:szCs w:val="24"/>
          <w:highlight w:val="none"/>
        </w:rPr>
        <w:t>”</w:t>
      </w:r>
      <w:r>
        <w:rPr>
          <w:rFonts w:hint="eastAsia"/>
          <w:color w:val="auto"/>
          <w:sz w:val="24"/>
          <w:szCs w:val="24"/>
          <w:highlight w:val="none"/>
        </w:rPr>
        <w:t>、</w:t>
      </w:r>
      <w:r>
        <w:rPr>
          <w:color w:val="auto"/>
          <w:sz w:val="24"/>
          <w:szCs w:val="24"/>
          <w:highlight w:val="none"/>
        </w:rPr>
        <w:t>“</w:t>
      </w:r>
      <w:r>
        <w:rPr>
          <w:rFonts w:hint="eastAsia"/>
          <w:color w:val="auto"/>
          <w:sz w:val="24"/>
          <w:szCs w:val="24"/>
          <w:highlight w:val="none"/>
        </w:rPr>
        <w:t>满足</w:t>
      </w:r>
      <w:r>
        <w:rPr>
          <w:color w:val="auto"/>
          <w:sz w:val="24"/>
          <w:szCs w:val="24"/>
          <w:highlight w:val="none"/>
        </w:rPr>
        <w:t>”</w:t>
      </w:r>
      <w:r>
        <w:rPr>
          <w:rFonts w:hint="eastAsia"/>
          <w:color w:val="auto"/>
          <w:sz w:val="24"/>
          <w:szCs w:val="24"/>
          <w:highlight w:val="none"/>
        </w:rPr>
        <w:t>或非确定性数值（如</w:t>
      </w:r>
      <w:r>
        <w:rPr>
          <w:color w:val="auto"/>
          <w:sz w:val="24"/>
          <w:szCs w:val="24"/>
          <w:highlight w:val="none"/>
        </w:rPr>
        <w:t>“&gt;=”</w:t>
      </w:r>
      <w:r>
        <w:rPr>
          <w:rFonts w:hint="eastAsia"/>
          <w:color w:val="auto"/>
          <w:sz w:val="24"/>
          <w:szCs w:val="24"/>
          <w:highlight w:val="none"/>
        </w:rPr>
        <w:t>或</w:t>
      </w:r>
      <w:r>
        <w:rPr>
          <w:color w:val="auto"/>
          <w:sz w:val="24"/>
          <w:szCs w:val="24"/>
          <w:highlight w:val="none"/>
        </w:rPr>
        <w:t>“&lt;=”</w:t>
      </w:r>
      <w:r>
        <w:rPr>
          <w:rFonts w:hint="eastAsia"/>
          <w:color w:val="auto"/>
          <w:sz w:val="24"/>
          <w:szCs w:val="24"/>
          <w:highlight w:val="none"/>
        </w:rPr>
        <w:t>）的响应均将被视为没有对</w:t>
      </w:r>
      <w:r>
        <w:rPr>
          <w:color w:val="auto"/>
          <w:sz w:val="24"/>
          <w:szCs w:val="24"/>
          <w:highlight w:val="none"/>
        </w:rPr>
        <w:t>采购</w:t>
      </w:r>
      <w:r>
        <w:rPr>
          <w:rFonts w:hint="eastAsia"/>
          <w:color w:val="auto"/>
          <w:sz w:val="24"/>
          <w:szCs w:val="24"/>
          <w:highlight w:val="none"/>
        </w:rPr>
        <w:t>文件的实质性响应，将按无效应答处理</w:t>
      </w:r>
      <w:r>
        <w:rPr>
          <w:rFonts w:hint="eastAsia"/>
          <w:b/>
          <w:bCs/>
          <w:color w:val="auto"/>
          <w:sz w:val="24"/>
          <w:szCs w:val="24"/>
          <w:highlight w:val="none"/>
        </w:rPr>
        <w:t>。</w:t>
      </w:r>
    </w:p>
    <w:p w14:paraId="0FBC5B21">
      <w:pPr>
        <w:pStyle w:val="1408"/>
        <w:autoSpaceDN w:val="0"/>
        <w:spacing w:line="360" w:lineRule="auto"/>
        <w:contextualSpacing/>
        <w:rPr>
          <w:color w:val="auto"/>
          <w:sz w:val="24"/>
          <w:szCs w:val="24"/>
          <w:highlight w:val="none"/>
        </w:rPr>
      </w:pPr>
      <w:r>
        <w:rPr>
          <w:rFonts w:hint="eastAsia"/>
          <w:bCs/>
          <w:color w:val="auto"/>
          <w:sz w:val="24"/>
          <w:szCs w:val="24"/>
          <w:highlight w:val="none"/>
        </w:rPr>
        <w:t>4、</w:t>
      </w:r>
      <w:r>
        <w:rPr>
          <w:rFonts w:hint="eastAsia"/>
          <w:color w:val="auto"/>
          <w:sz w:val="24"/>
          <w:szCs w:val="24"/>
          <w:highlight w:val="none"/>
        </w:rPr>
        <w:t>若提供需求以外的额外支持，可以在这一部分加以详细说明。提供应答文件中涉及的所有应答软、硬件的产品说明（要求彩页）或相关证明，最好以中文描述，并作为附件。供应商认为对整体采购项目有特别重要建议的可单独说明。</w:t>
      </w:r>
    </w:p>
    <w:p w14:paraId="375A0739">
      <w:pPr>
        <w:pStyle w:val="1456"/>
        <w:contextualSpacing/>
        <w:rPr>
          <w:color w:val="auto"/>
          <w:highlight w:val="none"/>
        </w:rPr>
      </w:pPr>
    </w:p>
    <w:p w14:paraId="3BC81D77">
      <w:pPr>
        <w:pStyle w:val="1455"/>
        <w:spacing w:line="360" w:lineRule="auto"/>
        <w:contextualSpacing/>
        <w:rPr>
          <w:rFonts w:ascii="宋体"/>
          <w:color w:val="auto"/>
          <w:sz w:val="24"/>
          <w:highlight w:val="none"/>
        </w:rPr>
      </w:pPr>
      <w:r>
        <w:rPr>
          <w:rFonts w:hint="eastAsia" w:ascii="宋体"/>
          <w:color w:val="auto"/>
          <w:sz w:val="24"/>
          <w:highlight w:val="none"/>
        </w:rPr>
        <w:t>供应商代表签字：</w:t>
      </w:r>
      <w:r>
        <w:rPr>
          <w:rFonts w:hint="eastAsia" w:ascii="宋体"/>
          <w:color w:val="auto"/>
          <w:sz w:val="24"/>
          <w:highlight w:val="none"/>
          <w:u w:val="single"/>
        </w:rPr>
        <w:t xml:space="preserve">                            </w:t>
      </w:r>
    </w:p>
    <w:p w14:paraId="27EFD939">
      <w:pPr>
        <w:pStyle w:val="1455"/>
        <w:spacing w:line="360" w:lineRule="auto"/>
        <w:contextualSpacing/>
        <w:rPr>
          <w:rFonts w:ascii="宋体"/>
          <w:color w:val="auto"/>
          <w:sz w:val="24"/>
          <w:highlight w:val="none"/>
        </w:rPr>
      </w:pPr>
      <w:r>
        <w:rPr>
          <w:rFonts w:hint="eastAsia" w:ascii="宋体"/>
          <w:color w:val="auto"/>
          <w:sz w:val="24"/>
          <w:highlight w:val="none"/>
        </w:rPr>
        <w:t>供应商名称：</w:t>
      </w:r>
      <w:r>
        <w:rPr>
          <w:rFonts w:hint="eastAsia" w:ascii="宋体"/>
          <w:color w:val="auto"/>
          <w:sz w:val="24"/>
          <w:highlight w:val="none"/>
          <w:u w:val="single"/>
        </w:rPr>
        <w:t xml:space="preserve">         （盖章）                </w:t>
      </w:r>
    </w:p>
    <w:p w14:paraId="420781CD">
      <w:pPr>
        <w:pStyle w:val="1456"/>
        <w:contextualSpacing/>
        <w:rPr>
          <w:color w:val="auto"/>
          <w:highlight w:val="none"/>
          <w:u w:val="single"/>
        </w:rPr>
      </w:pPr>
      <w:r>
        <w:rPr>
          <w:rFonts w:hint="eastAsia"/>
          <w:color w:val="auto"/>
          <w:highlight w:val="none"/>
        </w:rPr>
        <w:t>日       期</w:t>
      </w:r>
      <w:r>
        <w:rPr>
          <w:rFonts w:hint="eastAsia"/>
          <w:color w:val="auto"/>
          <w:highlight w:val="none"/>
          <w:u w:val="single"/>
        </w:rPr>
        <w:t xml:space="preserve">                                 </w:t>
      </w:r>
    </w:p>
    <w:p w14:paraId="66612F5A">
      <w:pPr>
        <w:adjustRightInd w:val="0"/>
        <w:spacing w:before="240" w:beforeLines="100"/>
        <w:ind w:right="958"/>
        <w:jc w:val="left"/>
        <w:textAlignment w:val="baseline"/>
        <w:rPr>
          <w:rFonts w:ascii="宋体"/>
          <w:color w:val="auto"/>
          <w:kern w:val="0"/>
          <w:sz w:val="28"/>
          <w:szCs w:val="28"/>
          <w:highlight w:val="none"/>
        </w:rPr>
      </w:pPr>
      <w:r>
        <w:rPr>
          <w:rFonts w:hint="eastAsia" w:ascii="宋体"/>
          <w:color w:val="auto"/>
          <w:kern w:val="0"/>
          <w:sz w:val="24"/>
          <w:highlight w:val="none"/>
        </w:rPr>
        <w:t>附件7</w:t>
      </w:r>
      <w:r>
        <w:rPr>
          <w:rFonts w:hint="eastAsia" w:ascii="宋体"/>
          <w:color w:val="auto"/>
          <w:kern w:val="0"/>
          <w:sz w:val="28"/>
          <w:szCs w:val="28"/>
          <w:highlight w:val="none"/>
        </w:rPr>
        <w:t xml:space="preserve"> </w:t>
      </w:r>
    </w:p>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14:paraId="1C6029D9">
      <w:pPr>
        <w:numPr>
          <w:ilvl w:val="0"/>
          <w:numId w:val="4"/>
        </w:numPr>
        <w:spacing w:line="360" w:lineRule="auto"/>
        <w:contextualSpacing/>
        <w:jc w:val="center"/>
        <w:outlineLvl w:val="1"/>
        <w:rPr>
          <w:rFonts w:ascii="宋体"/>
          <w:b/>
          <w:bCs/>
          <w:color w:val="auto"/>
          <w:kern w:val="0"/>
          <w:sz w:val="24"/>
          <w:highlight w:val="none"/>
        </w:rPr>
      </w:pPr>
      <w:bookmarkStart w:id="575" w:name="_Toc4435"/>
      <w:bookmarkStart w:id="576" w:name="_Toc249515379"/>
      <w:bookmarkStart w:id="577" w:name="_Toc275099838"/>
      <w:bookmarkStart w:id="578" w:name="_Toc307848338"/>
      <w:bookmarkStart w:id="579" w:name="_Toc232176291"/>
      <w:bookmarkStart w:id="580" w:name="_Toc249525260"/>
      <w:bookmarkStart w:id="581" w:name="_Toc230013647"/>
      <w:bookmarkStart w:id="582" w:name="_Toc232395231"/>
      <w:bookmarkStart w:id="583" w:name="_Toc230099812"/>
      <w:bookmarkStart w:id="584" w:name="_Toc230583561"/>
      <w:bookmarkStart w:id="585" w:name="_Toc256342161"/>
      <w:bookmarkStart w:id="586" w:name="_Toc415499909"/>
      <w:bookmarkStart w:id="587" w:name="_Toc214357461"/>
      <w:bookmarkStart w:id="588" w:name="_Toc182205194"/>
      <w:bookmarkStart w:id="589" w:name="_Toc150774771"/>
      <w:bookmarkStart w:id="590" w:name="_Ref467990101"/>
      <w:bookmarkStart w:id="591" w:name="_Ref467988471"/>
      <w:bookmarkStart w:id="592" w:name="_Toc520125061"/>
      <w:bookmarkStart w:id="593" w:name="_Toc520125062"/>
      <w:bookmarkStart w:id="594" w:name="_Toc181326160"/>
      <w:bookmarkStart w:id="595" w:name="_Toc181326027"/>
      <w:bookmarkStart w:id="596" w:name="_Toc480942358"/>
      <w:bookmarkStart w:id="597" w:name="_Toc181864907"/>
      <w:bookmarkStart w:id="598" w:name="_Toc182205337"/>
      <w:bookmarkStart w:id="599" w:name="_Ref467988479"/>
      <w:bookmarkStart w:id="600" w:name="_Toc181504483"/>
      <w:bookmarkStart w:id="601" w:name="_Ref467988485"/>
      <w:bookmarkStart w:id="602" w:name="_Toc150480806"/>
      <w:bookmarkStart w:id="603" w:name="_Toc142311070"/>
      <w:bookmarkStart w:id="604" w:name="_Ref467990100"/>
      <w:bookmarkStart w:id="605" w:name="_Toc520356228"/>
      <w:bookmarkStart w:id="606" w:name="_Toc520356229"/>
      <w:bookmarkStart w:id="607" w:name="_Ref467990058"/>
      <w:bookmarkStart w:id="608" w:name="_Toc127151570"/>
      <w:bookmarkStart w:id="609" w:name="_Toc480942357"/>
      <w:bookmarkStart w:id="610" w:name="_Ref467990064"/>
      <w:r>
        <w:rPr>
          <w:rFonts w:hint="eastAsia" w:ascii="宋体"/>
          <w:b/>
          <w:bCs/>
          <w:color w:val="auto"/>
          <w:kern w:val="0"/>
          <w:sz w:val="24"/>
          <w:highlight w:val="none"/>
        </w:rPr>
        <w:t>实质性条款偏离表</w:t>
      </w:r>
      <w:bookmarkEnd w:id="575"/>
    </w:p>
    <w:p w14:paraId="2CA600BA">
      <w:pPr>
        <w:pStyle w:val="1456"/>
        <w:rPr>
          <w:color w:val="auto"/>
          <w:highlight w:val="none"/>
        </w:rPr>
      </w:pPr>
    </w:p>
    <w:p w14:paraId="6917B9BA">
      <w:pPr>
        <w:pStyle w:val="1456"/>
        <w:ind w:firstLine="240" w:firstLineChars="100"/>
        <w:rPr>
          <w:color w:val="auto"/>
          <w:highlight w:val="none"/>
        </w:rPr>
      </w:pPr>
      <w:r>
        <w:rPr>
          <w:rFonts w:hint="eastAsia"/>
          <w:color w:val="auto"/>
          <w:highlight w:val="none"/>
        </w:rPr>
        <w:t>项目名称：</w:t>
      </w:r>
      <w:r>
        <w:rPr>
          <w:rFonts w:hint="eastAsia"/>
          <w:color w:val="auto"/>
          <w:highlight w:val="none"/>
          <w:u w:val="single"/>
        </w:rPr>
        <w:t xml:space="preserve">                 </w:t>
      </w:r>
      <w:r>
        <w:rPr>
          <w:color w:val="auto"/>
          <w:highlight w:val="none"/>
        </w:rPr>
        <w:t xml:space="preserve">          </w:t>
      </w:r>
      <w:r>
        <w:rPr>
          <w:rFonts w:hint="eastAsia"/>
          <w:color w:val="auto"/>
          <w:highlight w:val="none"/>
        </w:rPr>
        <w:t xml:space="preserve"> 项目编号：</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2040"/>
        <w:gridCol w:w="2919"/>
        <w:gridCol w:w="2121"/>
        <w:gridCol w:w="900"/>
      </w:tblGrid>
      <w:tr w14:paraId="7745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3B56CB98">
            <w:pPr>
              <w:pStyle w:val="1456"/>
              <w:jc w:val="center"/>
              <w:rPr>
                <w:color w:val="auto"/>
                <w:highlight w:val="none"/>
              </w:rPr>
            </w:pPr>
            <w:r>
              <w:rPr>
                <w:rFonts w:hint="eastAsia"/>
                <w:color w:val="auto"/>
                <w:highlight w:val="none"/>
              </w:rPr>
              <w:t>序号</w:t>
            </w:r>
          </w:p>
        </w:tc>
        <w:tc>
          <w:tcPr>
            <w:tcW w:w="2040" w:type="dxa"/>
            <w:vAlign w:val="center"/>
          </w:tcPr>
          <w:p w14:paraId="3ECF67DE">
            <w:pPr>
              <w:pStyle w:val="1456"/>
              <w:jc w:val="center"/>
              <w:rPr>
                <w:color w:val="auto"/>
                <w:highlight w:val="none"/>
              </w:rPr>
            </w:pPr>
            <w:r>
              <w:rPr>
                <w:rFonts w:hint="eastAsia"/>
                <w:color w:val="auto"/>
                <w:highlight w:val="none"/>
              </w:rPr>
              <w:t>竞争性磋商文件条款号</w:t>
            </w:r>
          </w:p>
        </w:tc>
        <w:tc>
          <w:tcPr>
            <w:tcW w:w="2919" w:type="dxa"/>
            <w:vAlign w:val="center"/>
          </w:tcPr>
          <w:p w14:paraId="74EDC550">
            <w:pPr>
              <w:pStyle w:val="1456"/>
              <w:jc w:val="center"/>
              <w:rPr>
                <w:color w:val="auto"/>
                <w:highlight w:val="none"/>
              </w:rPr>
            </w:pPr>
            <w:r>
              <w:rPr>
                <w:rFonts w:hint="eastAsia"/>
                <w:color w:val="auto"/>
                <w:highlight w:val="none"/>
              </w:rPr>
              <w:t>竞争性磋商文件的</w:t>
            </w:r>
          </w:p>
          <w:p w14:paraId="1BB81D6B">
            <w:pPr>
              <w:pStyle w:val="1456"/>
              <w:jc w:val="center"/>
              <w:rPr>
                <w:color w:val="auto"/>
                <w:highlight w:val="none"/>
              </w:rPr>
            </w:pPr>
            <w:r>
              <w:rPr>
                <w:rFonts w:hint="eastAsia"/>
                <w:color w:val="auto"/>
                <w:highlight w:val="none"/>
              </w:rPr>
              <w:t>条款</w:t>
            </w:r>
          </w:p>
        </w:tc>
        <w:tc>
          <w:tcPr>
            <w:tcW w:w="2121" w:type="dxa"/>
            <w:vAlign w:val="center"/>
          </w:tcPr>
          <w:p w14:paraId="7600FEF5">
            <w:pPr>
              <w:pStyle w:val="1456"/>
              <w:jc w:val="center"/>
              <w:rPr>
                <w:color w:val="auto"/>
                <w:highlight w:val="none"/>
              </w:rPr>
            </w:pPr>
            <w:r>
              <w:rPr>
                <w:rFonts w:hint="eastAsia"/>
                <w:color w:val="auto"/>
                <w:highlight w:val="none"/>
              </w:rPr>
              <w:t>响应文件的条款</w:t>
            </w:r>
          </w:p>
        </w:tc>
        <w:tc>
          <w:tcPr>
            <w:tcW w:w="900" w:type="dxa"/>
            <w:vAlign w:val="center"/>
          </w:tcPr>
          <w:p w14:paraId="2981CA0D">
            <w:pPr>
              <w:pStyle w:val="1456"/>
              <w:jc w:val="center"/>
              <w:rPr>
                <w:color w:val="auto"/>
                <w:highlight w:val="none"/>
              </w:rPr>
            </w:pPr>
            <w:r>
              <w:rPr>
                <w:rFonts w:hint="eastAsia"/>
                <w:color w:val="auto"/>
                <w:highlight w:val="none"/>
              </w:rPr>
              <w:t>说明</w:t>
            </w:r>
          </w:p>
        </w:tc>
      </w:tr>
      <w:tr w14:paraId="0C63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41AC9A7B">
            <w:pPr>
              <w:pStyle w:val="1456"/>
              <w:jc w:val="center"/>
              <w:rPr>
                <w:color w:val="auto"/>
                <w:sz w:val="18"/>
                <w:szCs w:val="18"/>
                <w:highlight w:val="none"/>
              </w:rPr>
            </w:pPr>
          </w:p>
        </w:tc>
        <w:tc>
          <w:tcPr>
            <w:tcW w:w="2040" w:type="dxa"/>
            <w:vAlign w:val="center"/>
          </w:tcPr>
          <w:p w14:paraId="233665E9">
            <w:pPr>
              <w:pStyle w:val="1456"/>
              <w:jc w:val="center"/>
              <w:rPr>
                <w:color w:val="auto"/>
                <w:sz w:val="18"/>
                <w:szCs w:val="18"/>
                <w:highlight w:val="none"/>
              </w:rPr>
            </w:pPr>
          </w:p>
        </w:tc>
        <w:tc>
          <w:tcPr>
            <w:tcW w:w="2919" w:type="dxa"/>
            <w:vAlign w:val="center"/>
          </w:tcPr>
          <w:p w14:paraId="0653D28D">
            <w:pPr>
              <w:pStyle w:val="1456"/>
              <w:rPr>
                <w:color w:val="auto"/>
                <w:sz w:val="18"/>
                <w:szCs w:val="18"/>
                <w:highlight w:val="none"/>
              </w:rPr>
            </w:pPr>
          </w:p>
        </w:tc>
        <w:tc>
          <w:tcPr>
            <w:tcW w:w="2121" w:type="dxa"/>
            <w:vAlign w:val="center"/>
          </w:tcPr>
          <w:p w14:paraId="6D8059CC">
            <w:pPr>
              <w:pStyle w:val="1456"/>
              <w:jc w:val="center"/>
              <w:rPr>
                <w:color w:val="auto"/>
                <w:highlight w:val="none"/>
              </w:rPr>
            </w:pPr>
          </w:p>
        </w:tc>
        <w:tc>
          <w:tcPr>
            <w:tcW w:w="900" w:type="dxa"/>
            <w:vAlign w:val="center"/>
          </w:tcPr>
          <w:p w14:paraId="70593F76">
            <w:pPr>
              <w:pStyle w:val="1456"/>
              <w:jc w:val="center"/>
              <w:rPr>
                <w:color w:val="auto"/>
                <w:highlight w:val="none"/>
              </w:rPr>
            </w:pPr>
          </w:p>
        </w:tc>
      </w:tr>
      <w:tr w14:paraId="77B6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48" w:type="dxa"/>
            <w:vAlign w:val="center"/>
          </w:tcPr>
          <w:p w14:paraId="3F8C38DC">
            <w:pPr>
              <w:pStyle w:val="1456"/>
              <w:jc w:val="center"/>
              <w:rPr>
                <w:color w:val="auto"/>
                <w:sz w:val="18"/>
                <w:szCs w:val="18"/>
                <w:highlight w:val="none"/>
              </w:rPr>
            </w:pPr>
          </w:p>
        </w:tc>
        <w:tc>
          <w:tcPr>
            <w:tcW w:w="2040" w:type="dxa"/>
            <w:vAlign w:val="center"/>
          </w:tcPr>
          <w:p w14:paraId="2574E809">
            <w:pPr>
              <w:pStyle w:val="1456"/>
              <w:jc w:val="center"/>
              <w:rPr>
                <w:color w:val="auto"/>
                <w:sz w:val="18"/>
                <w:szCs w:val="18"/>
                <w:highlight w:val="none"/>
              </w:rPr>
            </w:pPr>
          </w:p>
        </w:tc>
        <w:tc>
          <w:tcPr>
            <w:tcW w:w="2919" w:type="dxa"/>
            <w:vAlign w:val="center"/>
          </w:tcPr>
          <w:p w14:paraId="015CF9A4">
            <w:pPr>
              <w:pStyle w:val="1456"/>
              <w:jc w:val="center"/>
              <w:rPr>
                <w:color w:val="auto"/>
                <w:sz w:val="18"/>
                <w:szCs w:val="18"/>
                <w:highlight w:val="none"/>
              </w:rPr>
            </w:pPr>
          </w:p>
        </w:tc>
        <w:tc>
          <w:tcPr>
            <w:tcW w:w="2121" w:type="dxa"/>
            <w:vAlign w:val="center"/>
          </w:tcPr>
          <w:p w14:paraId="6F4B6F26">
            <w:pPr>
              <w:pStyle w:val="1456"/>
              <w:jc w:val="center"/>
              <w:rPr>
                <w:color w:val="auto"/>
                <w:highlight w:val="none"/>
              </w:rPr>
            </w:pPr>
          </w:p>
        </w:tc>
        <w:tc>
          <w:tcPr>
            <w:tcW w:w="900" w:type="dxa"/>
            <w:vAlign w:val="center"/>
          </w:tcPr>
          <w:p w14:paraId="282CBA63">
            <w:pPr>
              <w:pStyle w:val="1456"/>
              <w:jc w:val="center"/>
              <w:rPr>
                <w:color w:val="auto"/>
                <w:highlight w:val="none"/>
              </w:rPr>
            </w:pPr>
          </w:p>
        </w:tc>
      </w:tr>
      <w:tr w14:paraId="1060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5E483F09">
            <w:pPr>
              <w:pStyle w:val="1456"/>
              <w:jc w:val="center"/>
              <w:rPr>
                <w:color w:val="auto"/>
                <w:sz w:val="18"/>
                <w:szCs w:val="18"/>
                <w:highlight w:val="none"/>
              </w:rPr>
            </w:pPr>
          </w:p>
        </w:tc>
        <w:tc>
          <w:tcPr>
            <w:tcW w:w="2040" w:type="dxa"/>
            <w:vAlign w:val="center"/>
          </w:tcPr>
          <w:p w14:paraId="1AF448DF">
            <w:pPr>
              <w:pStyle w:val="1456"/>
              <w:jc w:val="center"/>
              <w:rPr>
                <w:color w:val="auto"/>
                <w:sz w:val="18"/>
                <w:szCs w:val="18"/>
                <w:highlight w:val="none"/>
              </w:rPr>
            </w:pPr>
          </w:p>
        </w:tc>
        <w:tc>
          <w:tcPr>
            <w:tcW w:w="2919" w:type="dxa"/>
            <w:vAlign w:val="center"/>
          </w:tcPr>
          <w:p w14:paraId="7CA85BDD">
            <w:pPr>
              <w:pStyle w:val="1456"/>
              <w:jc w:val="center"/>
              <w:rPr>
                <w:color w:val="auto"/>
                <w:sz w:val="18"/>
                <w:szCs w:val="18"/>
                <w:highlight w:val="none"/>
              </w:rPr>
            </w:pPr>
          </w:p>
        </w:tc>
        <w:tc>
          <w:tcPr>
            <w:tcW w:w="2121" w:type="dxa"/>
            <w:vAlign w:val="center"/>
          </w:tcPr>
          <w:p w14:paraId="7F7C42BC">
            <w:pPr>
              <w:pStyle w:val="1456"/>
              <w:jc w:val="center"/>
              <w:rPr>
                <w:color w:val="auto"/>
                <w:highlight w:val="none"/>
              </w:rPr>
            </w:pPr>
          </w:p>
        </w:tc>
        <w:tc>
          <w:tcPr>
            <w:tcW w:w="900" w:type="dxa"/>
            <w:vAlign w:val="center"/>
          </w:tcPr>
          <w:p w14:paraId="02120C3F">
            <w:pPr>
              <w:pStyle w:val="1456"/>
              <w:jc w:val="center"/>
              <w:rPr>
                <w:color w:val="auto"/>
                <w:highlight w:val="none"/>
              </w:rPr>
            </w:pPr>
          </w:p>
        </w:tc>
      </w:tr>
      <w:tr w14:paraId="112B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2A599483">
            <w:pPr>
              <w:pStyle w:val="1456"/>
              <w:jc w:val="center"/>
              <w:rPr>
                <w:color w:val="auto"/>
                <w:sz w:val="18"/>
                <w:szCs w:val="18"/>
                <w:highlight w:val="none"/>
              </w:rPr>
            </w:pPr>
          </w:p>
        </w:tc>
        <w:tc>
          <w:tcPr>
            <w:tcW w:w="2040" w:type="dxa"/>
            <w:vAlign w:val="center"/>
          </w:tcPr>
          <w:p w14:paraId="54CC5246">
            <w:pPr>
              <w:pStyle w:val="1456"/>
              <w:jc w:val="center"/>
              <w:rPr>
                <w:color w:val="auto"/>
                <w:sz w:val="18"/>
                <w:szCs w:val="18"/>
                <w:highlight w:val="none"/>
              </w:rPr>
            </w:pPr>
          </w:p>
        </w:tc>
        <w:tc>
          <w:tcPr>
            <w:tcW w:w="2919" w:type="dxa"/>
            <w:vAlign w:val="center"/>
          </w:tcPr>
          <w:p w14:paraId="7CCF1588">
            <w:pPr>
              <w:pStyle w:val="1456"/>
              <w:jc w:val="center"/>
              <w:rPr>
                <w:color w:val="auto"/>
                <w:sz w:val="18"/>
                <w:szCs w:val="18"/>
                <w:highlight w:val="none"/>
              </w:rPr>
            </w:pPr>
          </w:p>
        </w:tc>
        <w:tc>
          <w:tcPr>
            <w:tcW w:w="2121" w:type="dxa"/>
            <w:vAlign w:val="center"/>
          </w:tcPr>
          <w:p w14:paraId="31534479">
            <w:pPr>
              <w:pStyle w:val="1456"/>
              <w:jc w:val="center"/>
              <w:rPr>
                <w:color w:val="auto"/>
                <w:highlight w:val="none"/>
              </w:rPr>
            </w:pPr>
          </w:p>
        </w:tc>
        <w:tc>
          <w:tcPr>
            <w:tcW w:w="900" w:type="dxa"/>
            <w:vAlign w:val="center"/>
          </w:tcPr>
          <w:p w14:paraId="4B6D5549">
            <w:pPr>
              <w:pStyle w:val="1456"/>
              <w:jc w:val="center"/>
              <w:rPr>
                <w:color w:val="auto"/>
                <w:highlight w:val="none"/>
              </w:rPr>
            </w:pPr>
          </w:p>
        </w:tc>
      </w:tr>
      <w:tr w14:paraId="0B9A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5189AF04">
            <w:pPr>
              <w:pStyle w:val="1456"/>
              <w:jc w:val="center"/>
              <w:rPr>
                <w:color w:val="auto"/>
                <w:sz w:val="18"/>
                <w:szCs w:val="18"/>
                <w:highlight w:val="none"/>
              </w:rPr>
            </w:pPr>
          </w:p>
        </w:tc>
        <w:tc>
          <w:tcPr>
            <w:tcW w:w="2040" w:type="dxa"/>
            <w:vAlign w:val="center"/>
          </w:tcPr>
          <w:p w14:paraId="460964DB">
            <w:pPr>
              <w:pStyle w:val="1456"/>
              <w:jc w:val="center"/>
              <w:rPr>
                <w:color w:val="auto"/>
                <w:sz w:val="18"/>
                <w:szCs w:val="18"/>
                <w:highlight w:val="none"/>
              </w:rPr>
            </w:pPr>
          </w:p>
        </w:tc>
        <w:tc>
          <w:tcPr>
            <w:tcW w:w="2919" w:type="dxa"/>
            <w:vAlign w:val="center"/>
          </w:tcPr>
          <w:p w14:paraId="0A89DE78">
            <w:pPr>
              <w:pStyle w:val="1456"/>
              <w:jc w:val="center"/>
              <w:rPr>
                <w:color w:val="auto"/>
                <w:sz w:val="18"/>
                <w:szCs w:val="18"/>
                <w:highlight w:val="none"/>
              </w:rPr>
            </w:pPr>
          </w:p>
        </w:tc>
        <w:tc>
          <w:tcPr>
            <w:tcW w:w="2121" w:type="dxa"/>
            <w:vAlign w:val="center"/>
          </w:tcPr>
          <w:p w14:paraId="0D1B0BE8">
            <w:pPr>
              <w:pStyle w:val="1456"/>
              <w:jc w:val="center"/>
              <w:rPr>
                <w:color w:val="auto"/>
                <w:highlight w:val="none"/>
              </w:rPr>
            </w:pPr>
          </w:p>
        </w:tc>
        <w:tc>
          <w:tcPr>
            <w:tcW w:w="900" w:type="dxa"/>
            <w:vAlign w:val="center"/>
          </w:tcPr>
          <w:p w14:paraId="5D0518F9">
            <w:pPr>
              <w:pStyle w:val="1456"/>
              <w:jc w:val="center"/>
              <w:rPr>
                <w:color w:val="auto"/>
                <w:highlight w:val="none"/>
              </w:rPr>
            </w:pPr>
          </w:p>
        </w:tc>
      </w:tr>
      <w:tr w14:paraId="40DA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0C1F9F45">
            <w:pPr>
              <w:pStyle w:val="1456"/>
              <w:jc w:val="center"/>
              <w:rPr>
                <w:color w:val="auto"/>
                <w:sz w:val="18"/>
                <w:szCs w:val="18"/>
                <w:highlight w:val="none"/>
              </w:rPr>
            </w:pPr>
          </w:p>
        </w:tc>
        <w:tc>
          <w:tcPr>
            <w:tcW w:w="2040" w:type="dxa"/>
            <w:vAlign w:val="center"/>
          </w:tcPr>
          <w:p w14:paraId="65D58522">
            <w:pPr>
              <w:pStyle w:val="1456"/>
              <w:jc w:val="center"/>
              <w:rPr>
                <w:color w:val="auto"/>
                <w:sz w:val="18"/>
                <w:szCs w:val="18"/>
                <w:highlight w:val="none"/>
              </w:rPr>
            </w:pPr>
          </w:p>
        </w:tc>
        <w:tc>
          <w:tcPr>
            <w:tcW w:w="2919" w:type="dxa"/>
            <w:vAlign w:val="center"/>
          </w:tcPr>
          <w:p w14:paraId="70E35300">
            <w:pPr>
              <w:pStyle w:val="1456"/>
              <w:jc w:val="center"/>
              <w:rPr>
                <w:color w:val="auto"/>
                <w:sz w:val="18"/>
                <w:szCs w:val="18"/>
                <w:highlight w:val="none"/>
              </w:rPr>
            </w:pPr>
          </w:p>
        </w:tc>
        <w:tc>
          <w:tcPr>
            <w:tcW w:w="2121" w:type="dxa"/>
            <w:vAlign w:val="center"/>
          </w:tcPr>
          <w:p w14:paraId="06A59F4A">
            <w:pPr>
              <w:pStyle w:val="1456"/>
              <w:jc w:val="center"/>
              <w:rPr>
                <w:color w:val="auto"/>
                <w:highlight w:val="none"/>
              </w:rPr>
            </w:pPr>
          </w:p>
        </w:tc>
        <w:tc>
          <w:tcPr>
            <w:tcW w:w="900" w:type="dxa"/>
            <w:vAlign w:val="center"/>
          </w:tcPr>
          <w:p w14:paraId="7D526C9B">
            <w:pPr>
              <w:pStyle w:val="1456"/>
              <w:jc w:val="center"/>
              <w:rPr>
                <w:color w:val="auto"/>
                <w:highlight w:val="none"/>
              </w:rPr>
            </w:pPr>
          </w:p>
        </w:tc>
      </w:tr>
      <w:tr w14:paraId="0F33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3EC4AEDE">
            <w:pPr>
              <w:pStyle w:val="1456"/>
              <w:jc w:val="center"/>
              <w:rPr>
                <w:color w:val="auto"/>
                <w:sz w:val="18"/>
                <w:szCs w:val="18"/>
                <w:highlight w:val="none"/>
              </w:rPr>
            </w:pPr>
          </w:p>
        </w:tc>
        <w:tc>
          <w:tcPr>
            <w:tcW w:w="2040" w:type="dxa"/>
            <w:vAlign w:val="center"/>
          </w:tcPr>
          <w:p w14:paraId="58879BF8">
            <w:pPr>
              <w:pStyle w:val="1456"/>
              <w:jc w:val="center"/>
              <w:rPr>
                <w:color w:val="auto"/>
                <w:sz w:val="18"/>
                <w:szCs w:val="18"/>
                <w:highlight w:val="none"/>
              </w:rPr>
            </w:pPr>
          </w:p>
        </w:tc>
        <w:tc>
          <w:tcPr>
            <w:tcW w:w="2919" w:type="dxa"/>
            <w:vAlign w:val="center"/>
          </w:tcPr>
          <w:p w14:paraId="5D8F7862">
            <w:pPr>
              <w:pStyle w:val="1456"/>
              <w:jc w:val="center"/>
              <w:rPr>
                <w:color w:val="auto"/>
                <w:sz w:val="18"/>
                <w:szCs w:val="18"/>
                <w:highlight w:val="none"/>
              </w:rPr>
            </w:pPr>
          </w:p>
        </w:tc>
        <w:tc>
          <w:tcPr>
            <w:tcW w:w="2121" w:type="dxa"/>
            <w:vAlign w:val="center"/>
          </w:tcPr>
          <w:p w14:paraId="12A95B74">
            <w:pPr>
              <w:pStyle w:val="1456"/>
              <w:jc w:val="center"/>
              <w:rPr>
                <w:color w:val="auto"/>
                <w:highlight w:val="none"/>
              </w:rPr>
            </w:pPr>
          </w:p>
        </w:tc>
        <w:tc>
          <w:tcPr>
            <w:tcW w:w="900" w:type="dxa"/>
            <w:vAlign w:val="center"/>
          </w:tcPr>
          <w:p w14:paraId="7F2E47A2">
            <w:pPr>
              <w:pStyle w:val="1456"/>
              <w:jc w:val="center"/>
              <w:rPr>
                <w:color w:val="auto"/>
                <w:highlight w:val="none"/>
              </w:rPr>
            </w:pPr>
          </w:p>
        </w:tc>
      </w:tr>
      <w:tr w14:paraId="78B9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50F07009">
            <w:pPr>
              <w:pStyle w:val="1456"/>
              <w:jc w:val="center"/>
              <w:rPr>
                <w:color w:val="auto"/>
                <w:sz w:val="18"/>
                <w:szCs w:val="18"/>
                <w:highlight w:val="none"/>
              </w:rPr>
            </w:pPr>
          </w:p>
        </w:tc>
        <w:tc>
          <w:tcPr>
            <w:tcW w:w="2040" w:type="dxa"/>
            <w:vAlign w:val="center"/>
          </w:tcPr>
          <w:p w14:paraId="5FF7925C">
            <w:pPr>
              <w:pStyle w:val="1456"/>
              <w:jc w:val="center"/>
              <w:rPr>
                <w:color w:val="auto"/>
                <w:sz w:val="18"/>
                <w:szCs w:val="18"/>
                <w:highlight w:val="none"/>
              </w:rPr>
            </w:pPr>
          </w:p>
        </w:tc>
        <w:tc>
          <w:tcPr>
            <w:tcW w:w="2919" w:type="dxa"/>
            <w:vAlign w:val="center"/>
          </w:tcPr>
          <w:p w14:paraId="723A7E8F">
            <w:pPr>
              <w:pStyle w:val="1456"/>
              <w:jc w:val="center"/>
              <w:rPr>
                <w:color w:val="auto"/>
                <w:sz w:val="18"/>
                <w:szCs w:val="18"/>
                <w:highlight w:val="none"/>
              </w:rPr>
            </w:pPr>
          </w:p>
        </w:tc>
        <w:tc>
          <w:tcPr>
            <w:tcW w:w="2121" w:type="dxa"/>
            <w:vAlign w:val="center"/>
          </w:tcPr>
          <w:p w14:paraId="534F27A2">
            <w:pPr>
              <w:pStyle w:val="1456"/>
              <w:jc w:val="center"/>
              <w:rPr>
                <w:color w:val="auto"/>
                <w:highlight w:val="none"/>
              </w:rPr>
            </w:pPr>
          </w:p>
        </w:tc>
        <w:tc>
          <w:tcPr>
            <w:tcW w:w="900" w:type="dxa"/>
            <w:vAlign w:val="center"/>
          </w:tcPr>
          <w:p w14:paraId="73EC21BF">
            <w:pPr>
              <w:pStyle w:val="1456"/>
              <w:jc w:val="center"/>
              <w:rPr>
                <w:color w:val="auto"/>
                <w:highlight w:val="none"/>
              </w:rPr>
            </w:pPr>
          </w:p>
        </w:tc>
      </w:tr>
      <w:tr w14:paraId="7B69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1D6705FF">
            <w:pPr>
              <w:pStyle w:val="1456"/>
              <w:jc w:val="center"/>
              <w:rPr>
                <w:color w:val="auto"/>
                <w:sz w:val="18"/>
                <w:szCs w:val="18"/>
                <w:highlight w:val="none"/>
              </w:rPr>
            </w:pPr>
          </w:p>
        </w:tc>
        <w:tc>
          <w:tcPr>
            <w:tcW w:w="2040" w:type="dxa"/>
            <w:vAlign w:val="center"/>
          </w:tcPr>
          <w:p w14:paraId="4CFD8FDC">
            <w:pPr>
              <w:pStyle w:val="1456"/>
              <w:jc w:val="center"/>
              <w:rPr>
                <w:color w:val="auto"/>
                <w:sz w:val="18"/>
                <w:szCs w:val="18"/>
                <w:highlight w:val="none"/>
              </w:rPr>
            </w:pPr>
          </w:p>
        </w:tc>
        <w:tc>
          <w:tcPr>
            <w:tcW w:w="2919" w:type="dxa"/>
            <w:vAlign w:val="center"/>
          </w:tcPr>
          <w:p w14:paraId="3888F21D">
            <w:pPr>
              <w:pStyle w:val="1456"/>
              <w:jc w:val="center"/>
              <w:rPr>
                <w:color w:val="auto"/>
                <w:sz w:val="18"/>
                <w:szCs w:val="18"/>
                <w:highlight w:val="none"/>
              </w:rPr>
            </w:pPr>
          </w:p>
        </w:tc>
        <w:tc>
          <w:tcPr>
            <w:tcW w:w="2121" w:type="dxa"/>
            <w:vAlign w:val="center"/>
          </w:tcPr>
          <w:p w14:paraId="3864B6A8">
            <w:pPr>
              <w:pStyle w:val="1456"/>
              <w:jc w:val="center"/>
              <w:rPr>
                <w:color w:val="auto"/>
                <w:highlight w:val="none"/>
              </w:rPr>
            </w:pPr>
          </w:p>
        </w:tc>
        <w:tc>
          <w:tcPr>
            <w:tcW w:w="900" w:type="dxa"/>
            <w:vAlign w:val="center"/>
          </w:tcPr>
          <w:p w14:paraId="09971B30">
            <w:pPr>
              <w:pStyle w:val="1456"/>
              <w:jc w:val="center"/>
              <w:rPr>
                <w:color w:val="auto"/>
                <w:highlight w:val="none"/>
              </w:rPr>
            </w:pPr>
          </w:p>
        </w:tc>
      </w:tr>
      <w:tr w14:paraId="1284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8" w:type="dxa"/>
            <w:vAlign w:val="center"/>
          </w:tcPr>
          <w:p w14:paraId="7827E094">
            <w:pPr>
              <w:pStyle w:val="1456"/>
              <w:jc w:val="center"/>
              <w:rPr>
                <w:color w:val="auto"/>
                <w:sz w:val="18"/>
                <w:szCs w:val="18"/>
                <w:highlight w:val="none"/>
              </w:rPr>
            </w:pPr>
          </w:p>
        </w:tc>
        <w:tc>
          <w:tcPr>
            <w:tcW w:w="2040" w:type="dxa"/>
            <w:vAlign w:val="center"/>
          </w:tcPr>
          <w:p w14:paraId="36192E01">
            <w:pPr>
              <w:pStyle w:val="1456"/>
              <w:jc w:val="center"/>
              <w:rPr>
                <w:color w:val="auto"/>
                <w:sz w:val="18"/>
                <w:szCs w:val="18"/>
                <w:highlight w:val="none"/>
              </w:rPr>
            </w:pPr>
          </w:p>
        </w:tc>
        <w:tc>
          <w:tcPr>
            <w:tcW w:w="2919" w:type="dxa"/>
            <w:vAlign w:val="center"/>
          </w:tcPr>
          <w:p w14:paraId="2D625639">
            <w:pPr>
              <w:pStyle w:val="1456"/>
              <w:jc w:val="center"/>
              <w:rPr>
                <w:color w:val="auto"/>
                <w:sz w:val="18"/>
                <w:szCs w:val="18"/>
                <w:highlight w:val="none"/>
              </w:rPr>
            </w:pPr>
          </w:p>
        </w:tc>
        <w:tc>
          <w:tcPr>
            <w:tcW w:w="2121" w:type="dxa"/>
            <w:vAlign w:val="center"/>
          </w:tcPr>
          <w:p w14:paraId="4995E2DA">
            <w:pPr>
              <w:pStyle w:val="1456"/>
              <w:jc w:val="center"/>
              <w:rPr>
                <w:color w:val="auto"/>
                <w:highlight w:val="none"/>
              </w:rPr>
            </w:pPr>
          </w:p>
        </w:tc>
        <w:tc>
          <w:tcPr>
            <w:tcW w:w="900" w:type="dxa"/>
            <w:vAlign w:val="center"/>
          </w:tcPr>
          <w:p w14:paraId="76FB9797">
            <w:pPr>
              <w:pStyle w:val="1456"/>
              <w:jc w:val="center"/>
              <w:rPr>
                <w:color w:val="auto"/>
                <w:highlight w:val="none"/>
              </w:rPr>
            </w:pPr>
          </w:p>
        </w:tc>
      </w:tr>
    </w:tbl>
    <w:p w14:paraId="5078D15A">
      <w:pPr>
        <w:pStyle w:val="1456"/>
        <w:ind w:firstLine="240" w:firstLineChars="100"/>
        <w:rPr>
          <w:color w:val="auto"/>
          <w:highlight w:val="none"/>
        </w:rPr>
      </w:pPr>
    </w:p>
    <w:p w14:paraId="46F2FC4E">
      <w:pPr>
        <w:pStyle w:val="1456"/>
        <w:rPr>
          <w:color w:val="auto"/>
          <w:sz w:val="21"/>
          <w:highlight w:val="none"/>
        </w:rPr>
      </w:pPr>
      <w:r>
        <w:rPr>
          <w:rFonts w:hint="eastAsia"/>
          <w:b/>
          <w:color w:val="auto"/>
          <w:sz w:val="21"/>
          <w:highlight w:val="none"/>
        </w:rPr>
        <w:t>注：本偏离表是磋商小组评审响应文件最重要的直观材料和主要依据，《第二部分 供应商须知》、《第四部分 项目需求书》中打“★”号条款为实质性条款，</w:t>
      </w:r>
      <w:r>
        <w:rPr>
          <w:rFonts w:hint="eastAsia"/>
          <w:b/>
          <w:color w:val="auto"/>
          <w:sz w:val="21"/>
          <w:highlight w:val="none"/>
          <w:lang w:eastAsia="zh-CN"/>
        </w:rPr>
        <w:t>供应商</w:t>
      </w:r>
      <w:r>
        <w:rPr>
          <w:rFonts w:hint="eastAsia"/>
          <w:b/>
          <w:color w:val="auto"/>
          <w:sz w:val="21"/>
          <w:highlight w:val="none"/>
        </w:rPr>
        <w:t>如有任何一条负偏离则导致</w:t>
      </w:r>
      <w:r>
        <w:rPr>
          <w:rFonts w:hint="eastAsia"/>
          <w:b/>
          <w:color w:val="auto"/>
          <w:sz w:val="21"/>
          <w:highlight w:val="none"/>
          <w:lang w:val="en-US" w:eastAsia="zh-CN"/>
        </w:rPr>
        <w:t>响应</w:t>
      </w:r>
      <w:r>
        <w:rPr>
          <w:rFonts w:hint="eastAsia"/>
          <w:b/>
          <w:color w:val="auto"/>
          <w:sz w:val="21"/>
          <w:highlight w:val="none"/>
        </w:rPr>
        <w:t xml:space="preserve">无效。对于漏报的项目，采购人有权要求其补报，否则将导致其被拒绝。对于供应商在本偏离表中未列出的条款，除响应文件其余部分另有描述外，其它所有条款均视为完全响应“竞争性磋商文件”的要求。 </w:t>
      </w:r>
      <w:r>
        <w:rPr>
          <w:rFonts w:hint="eastAsia"/>
          <w:b/>
          <w:color w:val="auto"/>
          <w:sz w:val="21"/>
          <w:highlight w:val="none"/>
          <w:lang w:eastAsia="zh-CN"/>
        </w:rPr>
        <w:t>供应商</w:t>
      </w:r>
      <w:r>
        <w:rPr>
          <w:rFonts w:hint="eastAsia"/>
          <w:b/>
          <w:color w:val="auto"/>
          <w:sz w:val="21"/>
          <w:highlight w:val="none"/>
        </w:rPr>
        <w:t>响应采购需求应具体、明确，含糊不清、不确切的，按照不完全响应或者完全不响应处理。</w:t>
      </w:r>
    </w:p>
    <w:p w14:paraId="487DAB75">
      <w:pPr>
        <w:pStyle w:val="1456"/>
        <w:rPr>
          <w:color w:val="auto"/>
          <w:highlight w:val="none"/>
        </w:rPr>
      </w:pPr>
    </w:p>
    <w:p w14:paraId="4AF46F35">
      <w:pPr>
        <w:pStyle w:val="1455"/>
        <w:spacing w:line="360" w:lineRule="auto"/>
        <w:rPr>
          <w:rFonts w:ascii="宋体"/>
          <w:color w:val="auto"/>
          <w:sz w:val="24"/>
          <w:highlight w:val="none"/>
        </w:rPr>
      </w:pPr>
      <w:r>
        <w:rPr>
          <w:rFonts w:hint="eastAsia" w:ascii="宋体"/>
          <w:color w:val="auto"/>
          <w:sz w:val="24"/>
          <w:highlight w:val="none"/>
        </w:rPr>
        <w:t>供应商代表签字：</w:t>
      </w:r>
      <w:r>
        <w:rPr>
          <w:rFonts w:hint="eastAsia" w:ascii="宋体"/>
          <w:color w:val="auto"/>
          <w:sz w:val="24"/>
          <w:highlight w:val="none"/>
          <w:u w:val="single"/>
        </w:rPr>
        <w:t xml:space="preserve">                            </w:t>
      </w:r>
    </w:p>
    <w:p w14:paraId="17DB9A5F">
      <w:pPr>
        <w:pStyle w:val="1455"/>
        <w:spacing w:line="360" w:lineRule="auto"/>
        <w:rPr>
          <w:rFonts w:ascii="宋体"/>
          <w:color w:val="auto"/>
          <w:sz w:val="24"/>
          <w:highlight w:val="none"/>
        </w:rPr>
      </w:pPr>
      <w:r>
        <w:rPr>
          <w:rFonts w:hint="eastAsia" w:ascii="宋体"/>
          <w:color w:val="auto"/>
          <w:sz w:val="24"/>
          <w:highlight w:val="none"/>
        </w:rPr>
        <w:t>供应商名称：</w:t>
      </w:r>
      <w:r>
        <w:rPr>
          <w:rFonts w:hint="eastAsia" w:ascii="宋体"/>
          <w:color w:val="auto"/>
          <w:sz w:val="24"/>
          <w:highlight w:val="none"/>
          <w:u w:val="single"/>
        </w:rPr>
        <w:t xml:space="preserve">            （盖章）            </w:t>
      </w:r>
    </w:p>
    <w:p w14:paraId="065B3F0F">
      <w:pPr>
        <w:pStyle w:val="1455"/>
        <w:spacing w:line="360" w:lineRule="auto"/>
        <w:rPr>
          <w:rFonts w:ascii="宋体"/>
          <w:color w:val="auto"/>
          <w:highlight w:val="none"/>
          <w:u w:val="single"/>
        </w:rPr>
      </w:pPr>
      <w:r>
        <w:rPr>
          <w:rFonts w:hint="eastAsia" w:ascii="宋体"/>
          <w:color w:val="auto"/>
          <w:highlight w:val="none"/>
        </w:rPr>
        <w:t>日       期</w:t>
      </w:r>
      <w:r>
        <w:rPr>
          <w:rFonts w:hint="eastAsia" w:ascii="宋体"/>
          <w:color w:val="auto"/>
          <w:highlight w:val="none"/>
          <w:u w:val="single"/>
        </w:rPr>
        <w:t xml:space="preserve">                                       </w:t>
      </w:r>
    </w:p>
    <w:p w14:paraId="448EFF54">
      <w:pPr>
        <w:widowControl/>
        <w:jc w:val="left"/>
        <w:rPr>
          <w:rFonts w:ascii="宋体"/>
          <w:color w:val="auto"/>
          <w:sz w:val="24"/>
          <w:highlight w:val="none"/>
        </w:rPr>
      </w:pPr>
    </w:p>
    <w:p w14:paraId="06ECD96C">
      <w:pPr>
        <w:widowControl/>
        <w:jc w:val="left"/>
        <w:rPr>
          <w:rFonts w:ascii="宋体"/>
          <w:color w:val="auto"/>
          <w:sz w:val="24"/>
          <w:highlight w:val="none"/>
        </w:rPr>
      </w:pPr>
    </w:p>
    <w:p w14:paraId="0AA88213">
      <w:pPr>
        <w:widowControl/>
        <w:jc w:val="left"/>
        <w:rPr>
          <w:rFonts w:ascii="宋体"/>
          <w:color w:val="auto"/>
          <w:sz w:val="24"/>
          <w:highlight w:val="none"/>
        </w:rPr>
      </w:pPr>
    </w:p>
    <w:p w14:paraId="2BFDB582">
      <w:pPr>
        <w:pStyle w:val="37"/>
        <w:rPr>
          <w:b/>
          <w:bCs/>
          <w:color w:val="auto"/>
          <w:highlight w:val="none"/>
        </w:rPr>
      </w:pPr>
    </w:p>
    <w:p w14:paraId="6339EC22">
      <w:pPr>
        <w:pStyle w:val="37"/>
        <w:rPr>
          <w:b/>
          <w:bCs/>
          <w:color w:val="auto"/>
          <w:highlight w:val="none"/>
        </w:rPr>
      </w:pPr>
    </w:p>
    <w:p w14:paraId="4A8A2D44">
      <w:pPr>
        <w:pStyle w:val="37"/>
        <w:rPr>
          <w:b/>
          <w:bCs/>
          <w:color w:val="auto"/>
          <w:highlight w:val="none"/>
        </w:rPr>
      </w:pPr>
    </w:p>
    <w:p w14:paraId="3F7C9011">
      <w:pPr>
        <w:adjustRightInd w:val="0"/>
        <w:spacing w:before="240" w:beforeLines="100"/>
        <w:ind w:right="958"/>
        <w:jc w:val="left"/>
        <w:textAlignment w:val="baseline"/>
        <w:rPr>
          <w:rFonts w:ascii="宋体"/>
          <w:color w:val="auto"/>
          <w:kern w:val="0"/>
          <w:sz w:val="28"/>
          <w:szCs w:val="28"/>
          <w:highlight w:val="none"/>
        </w:rPr>
      </w:pPr>
      <w:r>
        <w:rPr>
          <w:rFonts w:hint="eastAsia" w:ascii="宋体"/>
          <w:color w:val="auto"/>
          <w:kern w:val="0"/>
          <w:sz w:val="24"/>
          <w:highlight w:val="none"/>
        </w:rPr>
        <w:t xml:space="preserve">附件8 </w:t>
      </w:r>
      <w:bookmarkEnd w:id="576"/>
      <w:bookmarkEnd w:id="577"/>
      <w:bookmarkEnd w:id="578"/>
      <w:bookmarkEnd w:id="579"/>
      <w:bookmarkEnd w:id="580"/>
      <w:bookmarkEnd w:id="581"/>
      <w:bookmarkEnd w:id="582"/>
      <w:bookmarkEnd w:id="583"/>
      <w:bookmarkEnd w:id="584"/>
      <w:bookmarkEnd w:id="585"/>
      <w:bookmarkEnd w:id="586"/>
      <w:bookmarkEnd w:id="587"/>
    </w:p>
    <w:p w14:paraId="6F66753A">
      <w:pPr>
        <w:jc w:val="center"/>
        <w:outlineLvl w:val="1"/>
        <w:rPr>
          <w:rFonts w:ascii="宋体" w:cs="Courier New"/>
          <w:b/>
          <w:bCs/>
          <w:color w:val="auto"/>
          <w:kern w:val="0"/>
          <w:sz w:val="24"/>
          <w:highlight w:val="none"/>
        </w:rPr>
      </w:pPr>
      <w:bookmarkStart w:id="611" w:name="_Toc24213"/>
      <w:r>
        <w:rPr>
          <w:rFonts w:hint="eastAsia" w:ascii="宋体" w:cs="Courier New"/>
          <w:b/>
          <w:bCs/>
          <w:color w:val="auto"/>
          <w:kern w:val="0"/>
          <w:sz w:val="24"/>
          <w:highlight w:val="none"/>
        </w:rPr>
        <w:t>供应商基本情况表</w:t>
      </w:r>
      <w:bookmarkEnd w:id="611"/>
    </w:p>
    <w:tbl>
      <w:tblPr>
        <w:tblStyle w:val="62"/>
        <w:tblpPr w:leftFromText="180" w:rightFromText="180" w:vertAnchor="text" w:horzAnchor="margin" w:tblpY="13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635"/>
        <w:gridCol w:w="2359"/>
        <w:gridCol w:w="1114"/>
        <w:gridCol w:w="31"/>
        <w:gridCol w:w="1075"/>
        <w:gridCol w:w="1072"/>
        <w:gridCol w:w="1620"/>
      </w:tblGrid>
      <w:tr w14:paraId="3AF97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exact"/>
        </w:trPr>
        <w:tc>
          <w:tcPr>
            <w:tcW w:w="1635" w:type="dxa"/>
            <w:tcBorders>
              <w:top w:val="single" w:color="auto" w:sz="12" w:space="0"/>
            </w:tcBorders>
            <w:tcMar>
              <w:top w:w="13" w:type="dxa"/>
              <w:left w:w="13" w:type="dxa"/>
              <w:right w:w="13" w:type="dxa"/>
            </w:tcMar>
            <w:vAlign w:val="center"/>
          </w:tcPr>
          <w:p w14:paraId="180ACE85">
            <w:pPr>
              <w:spacing w:line="360" w:lineRule="auto"/>
              <w:rPr>
                <w:rFonts w:ascii="宋体"/>
                <w:color w:val="auto"/>
                <w:sz w:val="24"/>
                <w:highlight w:val="none"/>
              </w:rPr>
            </w:pPr>
            <w:r>
              <w:rPr>
                <w:rFonts w:hint="eastAsia" w:ascii="宋体"/>
                <w:color w:val="auto"/>
                <w:sz w:val="24"/>
                <w:highlight w:val="none"/>
              </w:rPr>
              <w:t>单位名称</w:t>
            </w:r>
          </w:p>
        </w:tc>
        <w:tc>
          <w:tcPr>
            <w:tcW w:w="2359" w:type="dxa"/>
            <w:tcBorders>
              <w:top w:val="single" w:color="auto" w:sz="12" w:space="0"/>
            </w:tcBorders>
            <w:tcMar>
              <w:top w:w="13" w:type="dxa"/>
              <w:left w:w="13" w:type="dxa"/>
              <w:right w:w="13" w:type="dxa"/>
            </w:tcMar>
            <w:vAlign w:val="center"/>
          </w:tcPr>
          <w:p w14:paraId="0416B2E4">
            <w:pPr>
              <w:spacing w:line="360" w:lineRule="auto"/>
              <w:rPr>
                <w:rFonts w:ascii="宋体"/>
                <w:color w:val="auto"/>
                <w:sz w:val="24"/>
                <w:highlight w:val="none"/>
              </w:rPr>
            </w:pPr>
            <w:r>
              <w:rPr>
                <w:rFonts w:hint="eastAsia" w:ascii="宋体"/>
                <w:color w:val="auto"/>
                <w:sz w:val="24"/>
                <w:highlight w:val="none"/>
              </w:rPr>
              <w:t>　</w:t>
            </w:r>
          </w:p>
        </w:tc>
        <w:tc>
          <w:tcPr>
            <w:tcW w:w="1145" w:type="dxa"/>
            <w:gridSpan w:val="2"/>
            <w:tcBorders>
              <w:top w:val="single" w:color="auto" w:sz="12" w:space="0"/>
            </w:tcBorders>
            <w:tcMar>
              <w:top w:w="13" w:type="dxa"/>
              <w:left w:w="13" w:type="dxa"/>
              <w:right w:w="13" w:type="dxa"/>
            </w:tcMar>
            <w:vAlign w:val="center"/>
          </w:tcPr>
          <w:p w14:paraId="69FAE579">
            <w:pPr>
              <w:spacing w:line="360" w:lineRule="auto"/>
              <w:rPr>
                <w:rFonts w:ascii="宋体"/>
                <w:color w:val="auto"/>
                <w:sz w:val="24"/>
                <w:highlight w:val="none"/>
              </w:rPr>
            </w:pPr>
            <w:r>
              <w:rPr>
                <w:rFonts w:hint="eastAsia" w:ascii="宋体"/>
                <w:color w:val="auto"/>
                <w:sz w:val="24"/>
                <w:highlight w:val="none"/>
              </w:rPr>
              <w:t>成立日期</w:t>
            </w:r>
          </w:p>
        </w:tc>
        <w:tc>
          <w:tcPr>
            <w:tcW w:w="3767" w:type="dxa"/>
            <w:gridSpan w:val="3"/>
            <w:tcBorders>
              <w:top w:val="single" w:color="auto" w:sz="12" w:space="0"/>
            </w:tcBorders>
            <w:tcMar>
              <w:top w:w="13" w:type="dxa"/>
              <w:left w:w="13" w:type="dxa"/>
              <w:right w:w="13" w:type="dxa"/>
            </w:tcMar>
            <w:vAlign w:val="center"/>
          </w:tcPr>
          <w:p w14:paraId="58AB62E8">
            <w:pPr>
              <w:spacing w:line="360" w:lineRule="auto"/>
              <w:rPr>
                <w:rFonts w:ascii="宋体"/>
                <w:color w:val="auto"/>
                <w:sz w:val="24"/>
                <w:highlight w:val="none"/>
              </w:rPr>
            </w:pPr>
            <w:r>
              <w:rPr>
                <w:rFonts w:hint="eastAsia" w:ascii="宋体"/>
                <w:color w:val="auto"/>
                <w:sz w:val="24"/>
                <w:highlight w:val="none"/>
              </w:rPr>
              <w:t>　</w:t>
            </w:r>
          </w:p>
          <w:p w14:paraId="70DB20DC">
            <w:pPr>
              <w:spacing w:line="360" w:lineRule="auto"/>
              <w:rPr>
                <w:rFonts w:ascii="宋体"/>
                <w:color w:val="auto"/>
                <w:sz w:val="24"/>
                <w:highlight w:val="none"/>
              </w:rPr>
            </w:pPr>
            <w:r>
              <w:rPr>
                <w:rFonts w:hint="eastAsia" w:ascii="宋体"/>
                <w:color w:val="auto"/>
                <w:sz w:val="24"/>
                <w:highlight w:val="none"/>
              </w:rPr>
              <w:t>　</w:t>
            </w:r>
          </w:p>
          <w:p w14:paraId="0FBC125F">
            <w:pPr>
              <w:spacing w:line="360" w:lineRule="auto"/>
              <w:rPr>
                <w:rFonts w:ascii="宋体"/>
                <w:color w:val="auto"/>
                <w:sz w:val="24"/>
                <w:highlight w:val="none"/>
              </w:rPr>
            </w:pPr>
            <w:r>
              <w:rPr>
                <w:rFonts w:hint="eastAsia" w:ascii="宋体"/>
                <w:color w:val="auto"/>
                <w:sz w:val="24"/>
                <w:highlight w:val="none"/>
              </w:rPr>
              <w:t>　</w:t>
            </w:r>
          </w:p>
        </w:tc>
      </w:tr>
      <w:tr w14:paraId="72AC7C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exact"/>
        </w:trPr>
        <w:tc>
          <w:tcPr>
            <w:tcW w:w="1635" w:type="dxa"/>
            <w:tcMar>
              <w:top w:w="13" w:type="dxa"/>
              <w:left w:w="13" w:type="dxa"/>
              <w:right w:w="13" w:type="dxa"/>
            </w:tcMar>
            <w:vAlign w:val="center"/>
          </w:tcPr>
          <w:p w14:paraId="7CECF795">
            <w:pPr>
              <w:spacing w:line="360" w:lineRule="auto"/>
              <w:rPr>
                <w:rFonts w:ascii="宋体"/>
                <w:color w:val="auto"/>
                <w:sz w:val="24"/>
                <w:highlight w:val="none"/>
              </w:rPr>
            </w:pPr>
            <w:r>
              <w:rPr>
                <w:rFonts w:hint="eastAsia" w:ascii="宋体"/>
                <w:color w:val="auto"/>
                <w:sz w:val="24"/>
                <w:highlight w:val="none"/>
              </w:rPr>
              <w:t>经营地址</w:t>
            </w:r>
          </w:p>
        </w:tc>
        <w:tc>
          <w:tcPr>
            <w:tcW w:w="2359" w:type="dxa"/>
            <w:tcMar>
              <w:top w:w="13" w:type="dxa"/>
              <w:left w:w="13" w:type="dxa"/>
              <w:right w:w="13" w:type="dxa"/>
            </w:tcMar>
            <w:vAlign w:val="center"/>
          </w:tcPr>
          <w:p w14:paraId="79499EAE">
            <w:pPr>
              <w:spacing w:line="360" w:lineRule="auto"/>
              <w:rPr>
                <w:rFonts w:ascii="宋体"/>
                <w:color w:val="auto"/>
                <w:sz w:val="24"/>
                <w:highlight w:val="none"/>
              </w:rPr>
            </w:pPr>
            <w:r>
              <w:rPr>
                <w:rFonts w:hint="eastAsia" w:ascii="宋体"/>
                <w:color w:val="auto"/>
                <w:sz w:val="24"/>
                <w:highlight w:val="none"/>
              </w:rPr>
              <w:t>　</w:t>
            </w:r>
          </w:p>
        </w:tc>
        <w:tc>
          <w:tcPr>
            <w:tcW w:w="1145" w:type="dxa"/>
            <w:gridSpan w:val="2"/>
            <w:tcMar>
              <w:top w:w="13" w:type="dxa"/>
              <w:left w:w="13" w:type="dxa"/>
              <w:right w:w="13" w:type="dxa"/>
            </w:tcMar>
            <w:vAlign w:val="center"/>
          </w:tcPr>
          <w:p w14:paraId="7237574A">
            <w:pPr>
              <w:spacing w:line="360" w:lineRule="auto"/>
              <w:rPr>
                <w:rFonts w:ascii="宋体"/>
                <w:color w:val="auto"/>
                <w:sz w:val="24"/>
                <w:highlight w:val="none"/>
              </w:rPr>
            </w:pPr>
            <w:r>
              <w:rPr>
                <w:rFonts w:hint="eastAsia" w:ascii="宋体"/>
                <w:color w:val="auto"/>
                <w:sz w:val="24"/>
                <w:highlight w:val="none"/>
              </w:rPr>
              <w:t>单位性质</w:t>
            </w:r>
          </w:p>
        </w:tc>
        <w:tc>
          <w:tcPr>
            <w:tcW w:w="3767" w:type="dxa"/>
            <w:gridSpan w:val="3"/>
            <w:tcMar>
              <w:top w:w="13" w:type="dxa"/>
              <w:left w:w="13" w:type="dxa"/>
              <w:right w:w="13" w:type="dxa"/>
            </w:tcMar>
            <w:vAlign w:val="center"/>
          </w:tcPr>
          <w:p w14:paraId="76764337">
            <w:pPr>
              <w:spacing w:line="360" w:lineRule="auto"/>
              <w:rPr>
                <w:rFonts w:ascii="宋体"/>
                <w:color w:val="auto"/>
                <w:sz w:val="24"/>
                <w:highlight w:val="none"/>
              </w:rPr>
            </w:pPr>
            <w:r>
              <w:rPr>
                <w:rFonts w:hint="eastAsia" w:ascii="宋体"/>
                <w:color w:val="auto"/>
                <w:sz w:val="24"/>
                <w:highlight w:val="none"/>
              </w:rPr>
              <w:t>　</w:t>
            </w:r>
          </w:p>
          <w:p w14:paraId="6B932802">
            <w:pPr>
              <w:spacing w:line="360" w:lineRule="auto"/>
              <w:rPr>
                <w:rFonts w:ascii="宋体"/>
                <w:color w:val="auto"/>
                <w:sz w:val="24"/>
                <w:highlight w:val="none"/>
              </w:rPr>
            </w:pPr>
            <w:r>
              <w:rPr>
                <w:rFonts w:hint="eastAsia" w:ascii="宋体"/>
                <w:color w:val="auto"/>
                <w:sz w:val="24"/>
                <w:highlight w:val="none"/>
              </w:rPr>
              <w:t>　</w:t>
            </w:r>
          </w:p>
          <w:p w14:paraId="7BF1A24B">
            <w:pPr>
              <w:spacing w:line="360" w:lineRule="auto"/>
              <w:rPr>
                <w:rFonts w:ascii="宋体"/>
                <w:color w:val="auto"/>
                <w:sz w:val="24"/>
                <w:highlight w:val="none"/>
              </w:rPr>
            </w:pPr>
            <w:r>
              <w:rPr>
                <w:rFonts w:hint="eastAsia" w:ascii="宋体"/>
                <w:color w:val="auto"/>
                <w:sz w:val="24"/>
                <w:highlight w:val="none"/>
              </w:rPr>
              <w:t>　</w:t>
            </w:r>
          </w:p>
        </w:tc>
      </w:tr>
      <w:tr w14:paraId="6230C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exact"/>
        </w:trPr>
        <w:tc>
          <w:tcPr>
            <w:tcW w:w="1635" w:type="dxa"/>
            <w:tcMar>
              <w:top w:w="13" w:type="dxa"/>
              <w:left w:w="13" w:type="dxa"/>
              <w:right w:w="13" w:type="dxa"/>
            </w:tcMar>
            <w:vAlign w:val="center"/>
          </w:tcPr>
          <w:p w14:paraId="090D629C">
            <w:pPr>
              <w:spacing w:line="360" w:lineRule="auto"/>
              <w:rPr>
                <w:rFonts w:ascii="宋体"/>
                <w:color w:val="auto"/>
                <w:sz w:val="24"/>
                <w:highlight w:val="none"/>
              </w:rPr>
            </w:pPr>
            <w:r>
              <w:rPr>
                <w:rFonts w:hint="eastAsia" w:ascii="宋体"/>
                <w:color w:val="auto"/>
                <w:sz w:val="24"/>
                <w:highlight w:val="none"/>
              </w:rPr>
              <w:t>注册资金</w:t>
            </w:r>
          </w:p>
        </w:tc>
        <w:tc>
          <w:tcPr>
            <w:tcW w:w="2359" w:type="dxa"/>
            <w:tcMar>
              <w:top w:w="13" w:type="dxa"/>
              <w:left w:w="13" w:type="dxa"/>
              <w:right w:w="13" w:type="dxa"/>
            </w:tcMar>
            <w:vAlign w:val="center"/>
          </w:tcPr>
          <w:p w14:paraId="5618BE13">
            <w:pPr>
              <w:spacing w:line="360" w:lineRule="auto"/>
              <w:rPr>
                <w:rFonts w:ascii="宋体"/>
                <w:color w:val="auto"/>
                <w:sz w:val="24"/>
                <w:highlight w:val="none"/>
              </w:rPr>
            </w:pPr>
          </w:p>
        </w:tc>
        <w:tc>
          <w:tcPr>
            <w:tcW w:w="1145" w:type="dxa"/>
            <w:gridSpan w:val="2"/>
            <w:tcMar>
              <w:top w:w="13" w:type="dxa"/>
              <w:left w:w="13" w:type="dxa"/>
              <w:right w:w="13" w:type="dxa"/>
            </w:tcMar>
            <w:vAlign w:val="center"/>
          </w:tcPr>
          <w:p w14:paraId="7DB5AAE8">
            <w:pPr>
              <w:spacing w:line="360" w:lineRule="auto"/>
              <w:rPr>
                <w:rFonts w:ascii="宋体"/>
                <w:color w:val="auto"/>
                <w:sz w:val="24"/>
                <w:highlight w:val="none"/>
              </w:rPr>
            </w:pPr>
            <w:r>
              <w:rPr>
                <w:rFonts w:hint="eastAsia" w:ascii="宋体"/>
                <w:color w:val="auto"/>
                <w:sz w:val="24"/>
                <w:highlight w:val="none"/>
              </w:rPr>
              <w:t>传真</w:t>
            </w:r>
          </w:p>
        </w:tc>
        <w:tc>
          <w:tcPr>
            <w:tcW w:w="3767" w:type="dxa"/>
            <w:gridSpan w:val="3"/>
            <w:tcMar>
              <w:top w:w="13" w:type="dxa"/>
              <w:left w:w="13" w:type="dxa"/>
              <w:right w:w="13" w:type="dxa"/>
            </w:tcMar>
            <w:vAlign w:val="center"/>
          </w:tcPr>
          <w:p w14:paraId="2ADA15AC">
            <w:pPr>
              <w:spacing w:line="360" w:lineRule="auto"/>
              <w:rPr>
                <w:rFonts w:ascii="宋体"/>
                <w:color w:val="auto"/>
                <w:sz w:val="24"/>
                <w:highlight w:val="none"/>
              </w:rPr>
            </w:pPr>
            <w:r>
              <w:rPr>
                <w:rFonts w:hint="eastAsia" w:ascii="宋体"/>
                <w:color w:val="auto"/>
                <w:sz w:val="24"/>
                <w:highlight w:val="none"/>
              </w:rPr>
              <w:t>　</w:t>
            </w:r>
          </w:p>
          <w:p w14:paraId="08F71522">
            <w:pPr>
              <w:spacing w:line="360" w:lineRule="auto"/>
              <w:rPr>
                <w:rFonts w:ascii="宋体"/>
                <w:color w:val="auto"/>
                <w:sz w:val="24"/>
                <w:highlight w:val="none"/>
              </w:rPr>
            </w:pPr>
            <w:r>
              <w:rPr>
                <w:rFonts w:hint="eastAsia" w:ascii="宋体"/>
                <w:color w:val="auto"/>
                <w:sz w:val="24"/>
                <w:highlight w:val="none"/>
              </w:rPr>
              <w:t>　</w:t>
            </w:r>
          </w:p>
          <w:p w14:paraId="3F9CA2A5">
            <w:pPr>
              <w:spacing w:line="360" w:lineRule="auto"/>
              <w:rPr>
                <w:rFonts w:ascii="宋体"/>
                <w:color w:val="auto"/>
                <w:sz w:val="24"/>
                <w:highlight w:val="none"/>
              </w:rPr>
            </w:pPr>
            <w:r>
              <w:rPr>
                <w:rFonts w:hint="eastAsia" w:ascii="宋体"/>
                <w:color w:val="auto"/>
                <w:sz w:val="24"/>
                <w:highlight w:val="none"/>
              </w:rPr>
              <w:t>　</w:t>
            </w:r>
          </w:p>
        </w:tc>
      </w:tr>
      <w:tr w14:paraId="772B02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exact"/>
        </w:trPr>
        <w:tc>
          <w:tcPr>
            <w:tcW w:w="1635" w:type="dxa"/>
            <w:tcMar>
              <w:top w:w="13" w:type="dxa"/>
              <w:left w:w="13" w:type="dxa"/>
              <w:right w:w="13" w:type="dxa"/>
            </w:tcMar>
            <w:vAlign w:val="center"/>
          </w:tcPr>
          <w:p w14:paraId="26956B6C">
            <w:pPr>
              <w:spacing w:line="360" w:lineRule="auto"/>
              <w:rPr>
                <w:rFonts w:ascii="宋体"/>
                <w:color w:val="auto"/>
                <w:sz w:val="24"/>
                <w:highlight w:val="none"/>
              </w:rPr>
            </w:pPr>
            <w:r>
              <w:rPr>
                <w:rFonts w:hint="eastAsia" w:ascii="宋体"/>
                <w:color w:val="auto"/>
                <w:sz w:val="24"/>
                <w:highlight w:val="none"/>
              </w:rPr>
              <w:t>法定代表人</w:t>
            </w:r>
          </w:p>
        </w:tc>
        <w:tc>
          <w:tcPr>
            <w:tcW w:w="2359" w:type="dxa"/>
            <w:tcMar>
              <w:top w:w="13" w:type="dxa"/>
              <w:left w:w="13" w:type="dxa"/>
              <w:right w:w="13" w:type="dxa"/>
            </w:tcMar>
            <w:vAlign w:val="center"/>
          </w:tcPr>
          <w:p w14:paraId="0483AE75">
            <w:pPr>
              <w:spacing w:line="360" w:lineRule="auto"/>
              <w:rPr>
                <w:rFonts w:ascii="宋体"/>
                <w:color w:val="auto"/>
                <w:sz w:val="24"/>
                <w:highlight w:val="none"/>
              </w:rPr>
            </w:pPr>
            <w:r>
              <w:rPr>
                <w:rFonts w:hint="eastAsia" w:ascii="宋体"/>
                <w:color w:val="auto"/>
                <w:sz w:val="24"/>
                <w:highlight w:val="none"/>
              </w:rPr>
              <w:t>　</w:t>
            </w:r>
          </w:p>
        </w:tc>
        <w:tc>
          <w:tcPr>
            <w:tcW w:w="1145" w:type="dxa"/>
            <w:gridSpan w:val="2"/>
            <w:tcMar>
              <w:top w:w="13" w:type="dxa"/>
              <w:left w:w="13" w:type="dxa"/>
              <w:right w:w="13" w:type="dxa"/>
            </w:tcMar>
            <w:vAlign w:val="center"/>
          </w:tcPr>
          <w:p w14:paraId="46C5A099">
            <w:pPr>
              <w:spacing w:line="360" w:lineRule="auto"/>
              <w:rPr>
                <w:rFonts w:ascii="宋体"/>
                <w:color w:val="auto"/>
                <w:sz w:val="24"/>
                <w:highlight w:val="none"/>
              </w:rPr>
            </w:pPr>
            <w:r>
              <w:rPr>
                <w:rFonts w:hint="eastAsia" w:ascii="宋体"/>
                <w:color w:val="auto"/>
                <w:sz w:val="24"/>
                <w:highlight w:val="none"/>
              </w:rPr>
              <w:t>电话</w:t>
            </w:r>
          </w:p>
        </w:tc>
        <w:tc>
          <w:tcPr>
            <w:tcW w:w="3767" w:type="dxa"/>
            <w:gridSpan w:val="3"/>
            <w:tcMar>
              <w:top w:w="13" w:type="dxa"/>
              <w:left w:w="13" w:type="dxa"/>
              <w:right w:w="13" w:type="dxa"/>
            </w:tcMar>
            <w:vAlign w:val="center"/>
          </w:tcPr>
          <w:p w14:paraId="368866BC">
            <w:pPr>
              <w:spacing w:line="360" w:lineRule="auto"/>
              <w:rPr>
                <w:rFonts w:ascii="宋体"/>
                <w:color w:val="auto"/>
                <w:sz w:val="24"/>
                <w:highlight w:val="none"/>
              </w:rPr>
            </w:pPr>
            <w:r>
              <w:rPr>
                <w:rFonts w:hint="eastAsia" w:ascii="宋体"/>
                <w:color w:val="auto"/>
                <w:sz w:val="24"/>
                <w:highlight w:val="none"/>
              </w:rPr>
              <w:t>　</w:t>
            </w:r>
          </w:p>
          <w:p w14:paraId="277A625C">
            <w:pPr>
              <w:spacing w:line="360" w:lineRule="auto"/>
              <w:rPr>
                <w:rFonts w:ascii="宋体"/>
                <w:color w:val="auto"/>
                <w:sz w:val="24"/>
                <w:highlight w:val="none"/>
              </w:rPr>
            </w:pPr>
            <w:r>
              <w:rPr>
                <w:rFonts w:hint="eastAsia" w:ascii="宋体"/>
                <w:color w:val="auto"/>
                <w:sz w:val="24"/>
                <w:highlight w:val="none"/>
              </w:rPr>
              <w:t>　</w:t>
            </w:r>
          </w:p>
          <w:p w14:paraId="6A13B21A">
            <w:pPr>
              <w:spacing w:line="360" w:lineRule="auto"/>
              <w:rPr>
                <w:rFonts w:ascii="宋体"/>
                <w:color w:val="auto"/>
                <w:sz w:val="24"/>
                <w:highlight w:val="none"/>
              </w:rPr>
            </w:pPr>
            <w:r>
              <w:rPr>
                <w:rFonts w:hint="eastAsia" w:ascii="宋体"/>
                <w:color w:val="auto"/>
                <w:sz w:val="24"/>
                <w:highlight w:val="none"/>
              </w:rPr>
              <w:t>　</w:t>
            </w:r>
          </w:p>
        </w:tc>
      </w:tr>
      <w:tr w14:paraId="56B22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exact"/>
        </w:trPr>
        <w:tc>
          <w:tcPr>
            <w:tcW w:w="1635" w:type="dxa"/>
            <w:tcMar>
              <w:top w:w="13" w:type="dxa"/>
              <w:left w:w="13" w:type="dxa"/>
              <w:right w:w="13" w:type="dxa"/>
            </w:tcMar>
            <w:vAlign w:val="center"/>
          </w:tcPr>
          <w:p w14:paraId="7F6E5F93">
            <w:pPr>
              <w:spacing w:line="360" w:lineRule="auto"/>
              <w:rPr>
                <w:rFonts w:ascii="宋体"/>
                <w:color w:val="auto"/>
                <w:sz w:val="24"/>
                <w:highlight w:val="none"/>
              </w:rPr>
            </w:pPr>
            <w:r>
              <w:rPr>
                <w:rFonts w:hint="eastAsia" w:ascii="宋体"/>
                <w:color w:val="auto"/>
                <w:sz w:val="24"/>
                <w:highlight w:val="none"/>
              </w:rPr>
              <w:t>总经理</w:t>
            </w:r>
          </w:p>
        </w:tc>
        <w:tc>
          <w:tcPr>
            <w:tcW w:w="2359" w:type="dxa"/>
            <w:tcMar>
              <w:top w:w="13" w:type="dxa"/>
              <w:left w:w="13" w:type="dxa"/>
              <w:right w:w="13" w:type="dxa"/>
            </w:tcMar>
            <w:vAlign w:val="center"/>
          </w:tcPr>
          <w:p w14:paraId="37F224F4">
            <w:pPr>
              <w:spacing w:line="360" w:lineRule="auto"/>
              <w:rPr>
                <w:rFonts w:ascii="宋体"/>
                <w:color w:val="auto"/>
                <w:sz w:val="24"/>
                <w:highlight w:val="none"/>
              </w:rPr>
            </w:pPr>
            <w:r>
              <w:rPr>
                <w:rFonts w:hint="eastAsia" w:ascii="宋体"/>
                <w:color w:val="auto"/>
                <w:sz w:val="24"/>
                <w:highlight w:val="none"/>
              </w:rPr>
              <w:t>　</w:t>
            </w:r>
          </w:p>
        </w:tc>
        <w:tc>
          <w:tcPr>
            <w:tcW w:w="1145" w:type="dxa"/>
            <w:gridSpan w:val="2"/>
            <w:tcMar>
              <w:top w:w="13" w:type="dxa"/>
              <w:left w:w="13" w:type="dxa"/>
              <w:right w:w="13" w:type="dxa"/>
            </w:tcMar>
            <w:vAlign w:val="center"/>
          </w:tcPr>
          <w:p w14:paraId="66FCF569">
            <w:pPr>
              <w:spacing w:line="360" w:lineRule="auto"/>
              <w:rPr>
                <w:rFonts w:ascii="宋体"/>
                <w:color w:val="auto"/>
                <w:sz w:val="24"/>
                <w:highlight w:val="none"/>
              </w:rPr>
            </w:pPr>
            <w:r>
              <w:rPr>
                <w:rFonts w:hint="eastAsia" w:ascii="宋体"/>
                <w:color w:val="auto"/>
                <w:sz w:val="24"/>
                <w:highlight w:val="none"/>
              </w:rPr>
              <w:t>电话</w:t>
            </w:r>
          </w:p>
        </w:tc>
        <w:tc>
          <w:tcPr>
            <w:tcW w:w="3767" w:type="dxa"/>
            <w:gridSpan w:val="3"/>
            <w:tcMar>
              <w:top w:w="13" w:type="dxa"/>
              <w:left w:w="13" w:type="dxa"/>
              <w:right w:w="13" w:type="dxa"/>
            </w:tcMar>
            <w:vAlign w:val="center"/>
          </w:tcPr>
          <w:p w14:paraId="6F65E409">
            <w:pPr>
              <w:spacing w:line="360" w:lineRule="auto"/>
              <w:rPr>
                <w:rFonts w:ascii="宋体"/>
                <w:color w:val="auto"/>
                <w:sz w:val="24"/>
                <w:highlight w:val="none"/>
              </w:rPr>
            </w:pPr>
            <w:r>
              <w:rPr>
                <w:rFonts w:hint="eastAsia" w:ascii="宋体"/>
                <w:color w:val="auto"/>
                <w:sz w:val="24"/>
                <w:highlight w:val="none"/>
              </w:rPr>
              <w:t>　</w:t>
            </w:r>
          </w:p>
          <w:p w14:paraId="4490EDFB">
            <w:pPr>
              <w:spacing w:line="360" w:lineRule="auto"/>
              <w:rPr>
                <w:rFonts w:ascii="宋体"/>
                <w:color w:val="auto"/>
                <w:sz w:val="24"/>
                <w:highlight w:val="none"/>
              </w:rPr>
            </w:pPr>
            <w:r>
              <w:rPr>
                <w:rFonts w:hint="eastAsia" w:ascii="宋体"/>
                <w:color w:val="auto"/>
                <w:sz w:val="24"/>
                <w:highlight w:val="none"/>
              </w:rPr>
              <w:t>　</w:t>
            </w:r>
          </w:p>
          <w:p w14:paraId="08D2B023">
            <w:pPr>
              <w:spacing w:line="360" w:lineRule="auto"/>
              <w:rPr>
                <w:rFonts w:ascii="宋体"/>
                <w:color w:val="auto"/>
                <w:sz w:val="24"/>
                <w:highlight w:val="none"/>
              </w:rPr>
            </w:pPr>
            <w:r>
              <w:rPr>
                <w:rFonts w:hint="eastAsia" w:ascii="宋体"/>
                <w:color w:val="auto"/>
                <w:sz w:val="24"/>
                <w:highlight w:val="none"/>
              </w:rPr>
              <w:t>　</w:t>
            </w:r>
          </w:p>
        </w:tc>
      </w:tr>
      <w:tr w14:paraId="353FAB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exact"/>
        </w:trPr>
        <w:tc>
          <w:tcPr>
            <w:tcW w:w="1635" w:type="dxa"/>
            <w:tcMar>
              <w:top w:w="13" w:type="dxa"/>
              <w:left w:w="13" w:type="dxa"/>
              <w:right w:w="13" w:type="dxa"/>
            </w:tcMar>
            <w:vAlign w:val="center"/>
          </w:tcPr>
          <w:p w14:paraId="42F6F82D">
            <w:pPr>
              <w:spacing w:line="360" w:lineRule="auto"/>
              <w:rPr>
                <w:rFonts w:ascii="宋体"/>
                <w:color w:val="auto"/>
                <w:sz w:val="24"/>
                <w:highlight w:val="none"/>
              </w:rPr>
            </w:pPr>
            <w:r>
              <w:rPr>
                <w:rFonts w:hint="eastAsia" w:ascii="宋体"/>
                <w:color w:val="auto"/>
                <w:sz w:val="24"/>
                <w:highlight w:val="none"/>
              </w:rPr>
              <w:t>上级单位名称</w:t>
            </w:r>
          </w:p>
        </w:tc>
        <w:tc>
          <w:tcPr>
            <w:tcW w:w="2359" w:type="dxa"/>
            <w:tcMar>
              <w:top w:w="13" w:type="dxa"/>
              <w:left w:w="13" w:type="dxa"/>
              <w:right w:w="13" w:type="dxa"/>
            </w:tcMar>
            <w:vAlign w:val="center"/>
          </w:tcPr>
          <w:p w14:paraId="7124E783">
            <w:pPr>
              <w:spacing w:line="360" w:lineRule="auto"/>
              <w:rPr>
                <w:rFonts w:ascii="宋体"/>
                <w:color w:val="auto"/>
                <w:sz w:val="24"/>
                <w:highlight w:val="none"/>
              </w:rPr>
            </w:pPr>
            <w:r>
              <w:rPr>
                <w:rFonts w:hint="eastAsia" w:ascii="宋体"/>
                <w:color w:val="auto"/>
                <w:sz w:val="24"/>
                <w:highlight w:val="none"/>
              </w:rPr>
              <w:t>　</w:t>
            </w:r>
          </w:p>
        </w:tc>
        <w:tc>
          <w:tcPr>
            <w:tcW w:w="1145" w:type="dxa"/>
            <w:gridSpan w:val="2"/>
            <w:tcMar>
              <w:top w:w="13" w:type="dxa"/>
              <w:left w:w="13" w:type="dxa"/>
              <w:right w:w="13" w:type="dxa"/>
            </w:tcMar>
            <w:vAlign w:val="center"/>
          </w:tcPr>
          <w:p w14:paraId="57CFAA64">
            <w:pPr>
              <w:spacing w:line="360" w:lineRule="auto"/>
              <w:rPr>
                <w:rFonts w:ascii="宋体"/>
                <w:color w:val="auto"/>
                <w:sz w:val="24"/>
                <w:highlight w:val="none"/>
              </w:rPr>
            </w:pPr>
            <w:r>
              <w:rPr>
                <w:rFonts w:hint="eastAsia" w:ascii="宋体"/>
                <w:color w:val="auto"/>
                <w:sz w:val="24"/>
                <w:highlight w:val="none"/>
              </w:rPr>
              <w:t>信用等级</w:t>
            </w:r>
          </w:p>
        </w:tc>
        <w:tc>
          <w:tcPr>
            <w:tcW w:w="3767" w:type="dxa"/>
            <w:gridSpan w:val="3"/>
            <w:tcMar>
              <w:top w:w="13" w:type="dxa"/>
              <w:left w:w="13" w:type="dxa"/>
              <w:right w:w="13" w:type="dxa"/>
            </w:tcMar>
            <w:vAlign w:val="center"/>
          </w:tcPr>
          <w:p w14:paraId="5A2CB077">
            <w:pPr>
              <w:spacing w:line="360" w:lineRule="auto"/>
              <w:rPr>
                <w:rFonts w:ascii="宋体"/>
                <w:color w:val="auto"/>
                <w:sz w:val="24"/>
                <w:highlight w:val="none"/>
              </w:rPr>
            </w:pPr>
            <w:r>
              <w:rPr>
                <w:rFonts w:hint="eastAsia" w:ascii="宋体"/>
                <w:color w:val="auto"/>
                <w:sz w:val="24"/>
                <w:highlight w:val="none"/>
              </w:rPr>
              <w:t>　</w:t>
            </w:r>
          </w:p>
          <w:p w14:paraId="0FCE6076">
            <w:pPr>
              <w:spacing w:line="360" w:lineRule="auto"/>
              <w:rPr>
                <w:rFonts w:ascii="宋体"/>
                <w:color w:val="auto"/>
                <w:sz w:val="24"/>
                <w:highlight w:val="none"/>
              </w:rPr>
            </w:pPr>
            <w:r>
              <w:rPr>
                <w:rFonts w:hint="eastAsia" w:ascii="宋体"/>
                <w:color w:val="auto"/>
                <w:sz w:val="24"/>
                <w:highlight w:val="none"/>
              </w:rPr>
              <w:t>　</w:t>
            </w:r>
          </w:p>
          <w:p w14:paraId="7A92B911">
            <w:pPr>
              <w:spacing w:line="360" w:lineRule="auto"/>
              <w:rPr>
                <w:rFonts w:ascii="宋体"/>
                <w:color w:val="auto"/>
                <w:sz w:val="24"/>
                <w:highlight w:val="none"/>
              </w:rPr>
            </w:pPr>
            <w:r>
              <w:rPr>
                <w:rFonts w:hint="eastAsia" w:ascii="宋体"/>
                <w:color w:val="auto"/>
                <w:sz w:val="24"/>
                <w:highlight w:val="none"/>
              </w:rPr>
              <w:t>　</w:t>
            </w:r>
          </w:p>
        </w:tc>
      </w:tr>
      <w:tr w14:paraId="189BEE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exact"/>
        </w:trPr>
        <w:tc>
          <w:tcPr>
            <w:tcW w:w="1635" w:type="dxa"/>
            <w:tcMar>
              <w:top w:w="13" w:type="dxa"/>
              <w:left w:w="13" w:type="dxa"/>
              <w:right w:w="13" w:type="dxa"/>
            </w:tcMar>
            <w:vAlign w:val="center"/>
          </w:tcPr>
          <w:p w14:paraId="6323F417">
            <w:pPr>
              <w:spacing w:line="360" w:lineRule="auto"/>
              <w:rPr>
                <w:rFonts w:ascii="宋体"/>
                <w:color w:val="auto"/>
                <w:sz w:val="24"/>
                <w:highlight w:val="none"/>
              </w:rPr>
            </w:pPr>
            <w:r>
              <w:rPr>
                <w:rFonts w:hint="eastAsia" w:ascii="宋体"/>
                <w:color w:val="auto"/>
                <w:sz w:val="24"/>
                <w:highlight w:val="none"/>
              </w:rPr>
              <w:t>资质等级</w:t>
            </w:r>
          </w:p>
        </w:tc>
        <w:tc>
          <w:tcPr>
            <w:tcW w:w="2359" w:type="dxa"/>
            <w:tcMar>
              <w:top w:w="13" w:type="dxa"/>
              <w:left w:w="13" w:type="dxa"/>
              <w:right w:w="13" w:type="dxa"/>
            </w:tcMar>
            <w:vAlign w:val="center"/>
          </w:tcPr>
          <w:p w14:paraId="01ECE9CA">
            <w:pPr>
              <w:spacing w:line="360" w:lineRule="auto"/>
              <w:rPr>
                <w:rFonts w:ascii="宋体"/>
                <w:color w:val="auto"/>
                <w:sz w:val="24"/>
                <w:highlight w:val="none"/>
              </w:rPr>
            </w:pPr>
            <w:r>
              <w:rPr>
                <w:rFonts w:hint="eastAsia" w:ascii="宋体"/>
                <w:color w:val="auto"/>
                <w:sz w:val="24"/>
                <w:highlight w:val="none"/>
              </w:rPr>
              <w:t>　</w:t>
            </w:r>
          </w:p>
        </w:tc>
        <w:tc>
          <w:tcPr>
            <w:tcW w:w="1145" w:type="dxa"/>
            <w:gridSpan w:val="2"/>
            <w:tcMar>
              <w:top w:w="13" w:type="dxa"/>
              <w:left w:w="13" w:type="dxa"/>
              <w:right w:w="13" w:type="dxa"/>
            </w:tcMar>
            <w:vAlign w:val="center"/>
          </w:tcPr>
          <w:p w14:paraId="4412E56B">
            <w:pPr>
              <w:spacing w:line="360" w:lineRule="auto"/>
              <w:rPr>
                <w:rFonts w:ascii="宋体"/>
                <w:color w:val="auto"/>
                <w:sz w:val="24"/>
                <w:highlight w:val="none"/>
              </w:rPr>
            </w:pPr>
          </w:p>
        </w:tc>
        <w:tc>
          <w:tcPr>
            <w:tcW w:w="3767" w:type="dxa"/>
            <w:gridSpan w:val="3"/>
            <w:tcMar>
              <w:top w:w="13" w:type="dxa"/>
              <w:left w:w="13" w:type="dxa"/>
              <w:right w:w="13" w:type="dxa"/>
            </w:tcMar>
            <w:vAlign w:val="center"/>
          </w:tcPr>
          <w:p w14:paraId="195E8618">
            <w:pPr>
              <w:spacing w:line="360" w:lineRule="auto"/>
              <w:rPr>
                <w:rFonts w:ascii="宋体"/>
                <w:color w:val="auto"/>
                <w:sz w:val="24"/>
                <w:highlight w:val="none"/>
              </w:rPr>
            </w:pPr>
            <w:r>
              <w:rPr>
                <w:rFonts w:hint="eastAsia" w:ascii="宋体"/>
                <w:color w:val="auto"/>
                <w:sz w:val="24"/>
                <w:highlight w:val="none"/>
              </w:rPr>
              <w:t>　</w:t>
            </w:r>
          </w:p>
          <w:p w14:paraId="58349E00">
            <w:pPr>
              <w:spacing w:line="360" w:lineRule="auto"/>
              <w:rPr>
                <w:rFonts w:ascii="宋体"/>
                <w:color w:val="auto"/>
                <w:sz w:val="24"/>
                <w:highlight w:val="none"/>
              </w:rPr>
            </w:pPr>
            <w:r>
              <w:rPr>
                <w:rFonts w:hint="eastAsia" w:ascii="宋体"/>
                <w:color w:val="auto"/>
                <w:sz w:val="24"/>
                <w:highlight w:val="none"/>
              </w:rPr>
              <w:t>　</w:t>
            </w:r>
          </w:p>
          <w:p w14:paraId="789F4833">
            <w:pPr>
              <w:spacing w:line="360" w:lineRule="auto"/>
              <w:rPr>
                <w:rFonts w:ascii="宋体"/>
                <w:color w:val="auto"/>
                <w:sz w:val="24"/>
                <w:highlight w:val="none"/>
              </w:rPr>
            </w:pPr>
            <w:r>
              <w:rPr>
                <w:rFonts w:hint="eastAsia" w:ascii="宋体"/>
                <w:color w:val="auto"/>
                <w:sz w:val="24"/>
                <w:highlight w:val="none"/>
              </w:rPr>
              <w:t>　</w:t>
            </w:r>
          </w:p>
        </w:tc>
      </w:tr>
      <w:tr w14:paraId="3B8BA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2" w:hRule="atLeast"/>
        </w:trPr>
        <w:tc>
          <w:tcPr>
            <w:tcW w:w="1635" w:type="dxa"/>
            <w:tcMar>
              <w:top w:w="13" w:type="dxa"/>
              <w:left w:w="13" w:type="dxa"/>
              <w:right w:w="13" w:type="dxa"/>
            </w:tcMar>
            <w:vAlign w:val="center"/>
          </w:tcPr>
          <w:p w14:paraId="6CEE9DBE">
            <w:pPr>
              <w:spacing w:line="360" w:lineRule="auto"/>
              <w:rPr>
                <w:rFonts w:ascii="宋体"/>
                <w:color w:val="auto"/>
                <w:sz w:val="24"/>
                <w:highlight w:val="none"/>
              </w:rPr>
            </w:pPr>
            <w:r>
              <w:rPr>
                <w:rFonts w:hint="eastAsia" w:ascii="宋体"/>
                <w:color w:val="auto"/>
                <w:sz w:val="24"/>
                <w:highlight w:val="none"/>
              </w:rPr>
              <w:t>经营范围</w:t>
            </w:r>
          </w:p>
        </w:tc>
        <w:tc>
          <w:tcPr>
            <w:tcW w:w="7271" w:type="dxa"/>
            <w:gridSpan w:val="6"/>
            <w:tcMar>
              <w:top w:w="13" w:type="dxa"/>
              <w:left w:w="13" w:type="dxa"/>
              <w:right w:w="13" w:type="dxa"/>
            </w:tcMar>
            <w:vAlign w:val="center"/>
          </w:tcPr>
          <w:p w14:paraId="3BE70737">
            <w:pPr>
              <w:spacing w:line="360" w:lineRule="auto"/>
              <w:rPr>
                <w:rFonts w:ascii="宋体"/>
                <w:color w:val="auto"/>
                <w:sz w:val="24"/>
                <w:highlight w:val="none"/>
              </w:rPr>
            </w:pPr>
            <w:r>
              <w:rPr>
                <w:rFonts w:hint="eastAsia" w:ascii="宋体"/>
                <w:color w:val="auto"/>
                <w:sz w:val="24"/>
                <w:highlight w:val="none"/>
              </w:rPr>
              <w:t>附营业执照复印件（）</w:t>
            </w:r>
          </w:p>
        </w:tc>
      </w:tr>
      <w:tr w14:paraId="2E1FB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02" w:hRule="atLeast"/>
        </w:trPr>
        <w:tc>
          <w:tcPr>
            <w:tcW w:w="1635" w:type="dxa"/>
            <w:vMerge w:val="restart"/>
            <w:tcMar>
              <w:top w:w="13" w:type="dxa"/>
              <w:left w:w="13" w:type="dxa"/>
              <w:right w:w="13" w:type="dxa"/>
            </w:tcMar>
            <w:vAlign w:val="center"/>
          </w:tcPr>
          <w:p w14:paraId="75E53DFE">
            <w:pPr>
              <w:spacing w:line="360" w:lineRule="auto"/>
              <w:rPr>
                <w:rFonts w:ascii="宋体"/>
                <w:color w:val="auto"/>
                <w:sz w:val="24"/>
                <w:highlight w:val="none"/>
              </w:rPr>
            </w:pPr>
            <w:r>
              <w:rPr>
                <w:rFonts w:hint="eastAsia" w:ascii="宋体"/>
                <w:color w:val="auto"/>
                <w:sz w:val="24"/>
                <w:highlight w:val="none"/>
              </w:rPr>
              <w:t>单位员工概况</w:t>
            </w:r>
          </w:p>
        </w:tc>
        <w:tc>
          <w:tcPr>
            <w:tcW w:w="2359" w:type="dxa"/>
            <w:vMerge w:val="restart"/>
            <w:tcMar>
              <w:top w:w="13" w:type="dxa"/>
              <w:left w:w="13" w:type="dxa"/>
              <w:right w:w="13" w:type="dxa"/>
            </w:tcMar>
            <w:vAlign w:val="center"/>
          </w:tcPr>
          <w:p w14:paraId="74621858">
            <w:pPr>
              <w:spacing w:line="360" w:lineRule="auto"/>
              <w:rPr>
                <w:rFonts w:ascii="宋体"/>
                <w:color w:val="auto"/>
                <w:sz w:val="24"/>
                <w:highlight w:val="none"/>
              </w:rPr>
            </w:pPr>
            <w:r>
              <w:rPr>
                <w:rFonts w:hint="eastAsia" w:ascii="宋体"/>
                <w:color w:val="auto"/>
                <w:sz w:val="24"/>
                <w:highlight w:val="none"/>
              </w:rPr>
              <w:t>合计</w:t>
            </w:r>
            <w:r>
              <w:rPr>
                <w:rFonts w:hint="eastAsia" w:ascii="宋体"/>
                <w:color w:val="auto"/>
                <w:sz w:val="24"/>
                <w:highlight w:val="none"/>
                <w:u w:val="single"/>
              </w:rPr>
              <w:t xml:space="preserve">          </w:t>
            </w:r>
            <w:r>
              <w:rPr>
                <w:rFonts w:hint="eastAsia" w:ascii="宋体"/>
                <w:color w:val="auto"/>
                <w:sz w:val="24"/>
                <w:highlight w:val="none"/>
              </w:rPr>
              <w:t>人</w:t>
            </w:r>
          </w:p>
        </w:tc>
        <w:tc>
          <w:tcPr>
            <w:tcW w:w="1114" w:type="dxa"/>
            <w:tcMar>
              <w:top w:w="13" w:type="dxa"/>
              <w:left w:w="13" w:type="dxa"/>
              <w:right w:w="13" w:type="dxa"/>
            </w:tcMar>
            <w:vAlign w:val="center"/>
          </w:tcPr>
          <w:p w14:paraId="29AC5ACF">
            <w:pPr>
              <w:spacing w:line="360" w:lineRule="auto"/>
              <w:jc w:val="center"/>
              <w:rPr>
                <w:rFonts w:ascii="宋体"/>
                <w:color w:val="auto"/>
                <w:sz w:val="24"/>
                <w:highlight w:val="none"/>
              </w:rPr>
            </w:pPr>
            <w:r>
              <w:rPr>
                <w:rFonts w:hint="eastAsia" w:ascii="宋体"/>
                <w:color w:val="auto"/>
                <w:sz w:val="24"/>
                <w:highlight w:val="none"/>
              </w:rPr>
              <w:t>高级职称</w:t>
            </w:r>
          </w:p>
        </w:tc>
        <w:tc>
          <w:tcPr>
            <w:tcW w:w="1106" w:type="dxa"/>
            <w:gridSpan w:val="2"/>
            <w:tcMar>
              <w:top w:w="13" w:type="dxa"/>
              <w:left w:w="13" w:type="dxa"/>
              <w:right w:w="13" w:type="dxa"/>
            </w:tcMar>
            <w:vAlign w:val="center"/>
          </w:tcPr>
          <w:p w14:paraId="4BBB8389">
            <w:pPr>
              <w:spacing w:line="360" w:lineRule="auto"/>
              <w:jc w:val="center"/>
              <w:rPr>
                <w:rFonts w:ascii="宋体"/>
                <w:color w:val="auto"/>
                <w:sz w:val="24"/>
                <w:highlight w:val="none"/>
              </w:rPr>
            </w:pPr>
            <w:r>
              <w:rPr>
                <w:rFonts w:hint="eastAsia" w:ascii="宋体"/>
                <w:color w:val="auto"/>
                <w:sz w:val="24"/>
                <w:highlight w:val="none"/>
              </w:rPr>
              <w:t>中级职称</w:t>
            </w:r>
          </w:p>
        </w:tc>
        <w:tc>
          <w:tcPr>
            <w:tcW w:w="1072" w:type="dxa"/>
            <w:tcMar>
              <w:top w:w="13" w:type="dxa"/>
              <w:left w:w="13" w:type="dxa"/>
              <w:right w:w="13" w:type="dxa"/>
            </w:tcMar>
            <w:vAlign w:val="center"/>
          </w:tcPr>
          <w:p w14:paraId="7ADBD0AA">
            <w:pPr>
              <w:spacing w:line="360" w:lineRule="auto"/>
              <w:jc w:val="center"/>
              <w:rPr>
                <w:rFonts w:ascii="宋体"/>
                <w:color w:val="auto"/>
                <w:sz w:val="24"/>
                <w:highlight w:val="none"/>
              </w:rPr>
            </w:pPr>
            <w:r>
              <w:rPr>
                <w:rFonts w:hint="eastAsia" w:ascii="宋体"/>
                <w:color w:val="auto"/>
                <w:sz w:val="24"/>
                <w:highlight w:val="none"/>
              </w:rPr>
              <w:t>初级职称</w:t>
            </w:r>
          </w:p>
        </w:tc>
        <w:tc>
          <w:tcPr>
            <w:tcW w:w="1620" w:type="dxa"/>
            <w:tcMar>
              <w:top w:w="13" w:type="dxa"/>
              <w:left w:w="13" w:type="dxa"/>
              <w:right w:w="13" w:type="dxa"/>
            </w:tcMar>
            <w:vAlign w:val="center"/>
          </w:tcPr>
          <w:p w14:paraId="309884A2">
            <w:pPr>
              <w:spacing w:line="360" w:lineRule="auto"/>
              <w:jc w:val="center"/>
              <w:rPr>
                <w:rFonts w:ascii="宋体"/>
                <w:color w:val="auto"/>
                <w:sz w:val="24"/>
                <w:highlight w:val="none"/>
              </w:rPr>
            </w:pPr>
            <w:r>
              <w:rPr>
                <w:rFonts w:hint="eastAsia" w:ascii="宋体"/>
                <w:color w:val="auto"/>
                <w:sz w:val="24"/>
                <w:highlight w:val="none"/>
              </w:rPr>
              <w:t>技师</w:t>
            </w:r>
          </w:p>
        </w:tc>
      </w:tr>
      <w:tr w14:paraId="3F9C8E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64" w:hRule="atLeast"/>
        </w:trPr>
        <w:tc>
          <w:tcPr>
            <w:tcW w:w="1635" w:type="dxa"/>
            <w:vMerge w:val="continue"/>
            <w:vAlign w:val="center"/>
          </w:tcPr>
          <w:p w14:paraId="6ACCC751">
            <w:pPr>
              <w:rPr>
                <w:color w:val="auto"/>
                <w:highlight w:val="none"/>
              </w:rPr>
            </w:pPr>
          </w:p>
        </w:tc>
        <w:tc>
          <w:tcPr>
            <w:tcW w:w="2359" w:type="dxa"/>
            <w:vMerge w:val="continue"/>
            <w:vAlign w:val="center"/>
          </w:tcPr>
          <w:p w14:paraId="6F652E98">
            <w:pPr>
              <w:rPr>
                <w:color w:val="auto"/>
                <w:highlight w:val="none"/>
              </w:rPr>
            </w:pPr>
          </w:p>
        </w:tc>
        <w:tc>
          <w:tcPr>
            <w:tcW w:w="1114" w:type="dxa"/>
            <w:tcMar>
              <w:top w:w="13" w:type="dxa"/>
              <w:left w:w="13" w:type="dxa"/>
              <w:right w:w="13" w:type="dxa"/>
            </w:tcMar>
            <w:vAlign w:val="center"/>
          </w:tcPr>
          <w:p w14:paraId="6F0A6C0A">
            <w:pPr>
              <w:spacing w:line="360" w:lineRule="auto"/>
              <w:ind w:firstLine="720" w:firstLineChars="300"/>
              <w:rPr>
                <w:rFonts w:ascii="宋体"/>
                <w:color w:val="auto"/>
                <w:sz w:val="24"/>
                <w:highlight w:val="none"/>
              </w:rPr>
            </w:pPr>
            <w:r>
              <w:rPr>
                <w:rFonts w:hint="eastAsia" w:ascii="宋体"/>
                <w:color w:val="auto"/>
                <w:sz w:val="24"/>
                <w:highlight w:val="none"/>
              </w:rPr>
              <w:t>人</w:t>
            </w:r>
          </w:p>
        </w:tc>
        <w:tc>
          <w:tcPr>
            <w:tcW w:w="1106" w:type="dxa"/>
            <w:gridSpan w:val="2"/>
            <w:tcMar>
              <w:top w:w="13" w:type="dxa"/>
              <w:left w:w="13" w:type="dxa"/>
              <w:right w:w="13" w:type="dxa"/>
            </w:tcMar>
            <w:vAlign w:val="center"/>
          </w:tcPr>
          <w:p w14:paraId="6919FB49">
            <w:pPr>
              <w:spacing w:line="360" w:lineRule="auto"/>
              <w:ind w:firstLine="840" w:firstLineChars="350"/>
              <w:rPr>
                <w:rFonts w:ascii="宋体"/>
                <w:color w:val="auto"/>
                <w:sz w:val="24"/>
                <w:highlight w:val="none"/>
              </w:rPr>
            </w:pPr>
            <w:r>
              <w:rPr>
                <w:rFonts w:hint="eastAsia" w:ascii="宋体"/>
                <w:color w:val="auto"/>
                <w:sz w:val="24"/>
                <w:highlight w:val="none"/>
              </w:rPr>
              <w:t>人</w:t>
            </w:r>
          </w:p>
        </w:tc>
        <w:tc>
          <w:tcPr>
            <w:tcW w:w="1072" w:type="dxa"/>
            <w:tcMar>
              <w:top w:w="13" w:type="dxa"/>
              <w:left w:w="13" w:type="dxa"/>
              <w:right w:w="13" w:type="dxa"/>
            </w:tcMar>
            <w:vAlign w:val="center"/>
          </w:tcPr>
          <w:p w14:paraId="7196B225">
            <w:pPr>
              <w:spacing w:line="360" w:lineRule="auto"/>
              <w:ind w:firstLine="720" w:firstLineChars="300"/>
              <w:rPr>
                <w:rFonts w:ascii="宋体"/>
                <w:color w:val="auto"/>
                <w:sz w:val="24"/>
                <w:highlight w:val="none"/>
              </w:rPr>
            </w:pPr>
            <w:r>
              <w:rPr>
                <w:rFonts w:hint="eastAsia" w:ascii="宋体"/>
                <w:color w:val="auto"/>
                <w:sz w:val="24"/>
                <w:highlight w:val="none"/>
              </w:rPr>
              <w:t>人</w:t>
            </w:r>
          </w:p>
        </w:tc>
        <w:tc>
          <w:tcPr>
            <w:tcW w:w="1620" w:type="dxa"/>
            <w:tcMar>
              <w:top w:w="13" w:type="dxa"/>
              <w:left w:w="13" w:type="dxa"/>
              <w:right w:w="13" w:type="dxa"/>
            </w:tcMar>
            <w:vAlign w:val="center"/>
          </w:tcPr>
          <w:p w14:paraId="4B9BD4F6">
            <w:pPr>
              <w:spacing w:line="360" w:lineRule="auto"/>
              <w:ind w:firstLine="1080" w:firstLineChars="450"/>
              <w:rPr>
                <w:rFonts w:ascii="宋体"/>
                <w:color w:val="auto"/>
                <w:sz w:val="24"/>
                <w:highlight w:val="none"/>
              </w:rPr>
            </w:pPr>
            <w:r>
              <w:rPr>
                <w:rFonts w:hint="eastAsia" w:ascii="宋体"/>
                <w:color w:val="auto"/>
                <w:sz w:val="24"/>
                <w:highlight w:val="none"/>
              </w:rPr>
              <w:t>人</w:t>
            </w:r>
          </w:p>
        </w:tc>
      </w:tr>
      <w:tr w14:paraId="1E04D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18" w:hRule="atLeast"/>
        </w:trPr>
        <w:tc>
          <w:tcPr>
            <w:tcW w:w="1635" w:type="dxa"/>
            <w:tcMar>
              <w:top w:w="13" w:type="dxa"/>
              <w:left w:w="13" w:type="dxa"/>
              <w:right w:w="13" w:type="dxa"/>
            </w:tcMar>
            <w:vAlign w:val="center"/>
          </w:tcPr>
          <w:p w14:paraId="31027422">
            <w:pPr>
              <w:spacing w:line="360" w:lineRule="auto"/>
              <w:rPr>
                <w:rFonts w:ascii="宋体"/>
                <w:color w:val="auto"/>
                <w:sz w:val="24"/>
                <w:highlight w:val="none"/>
              </w:rPr>
            </w:pPr>
            <w:r>
              <w:rPr>
                <w:rFonts w:hint="eastAsia" w:ascii="宋体"/>
                <w:color w:val="auto"/>
                <w:sz w:val="24"/>
                <w:highlight w:val="none"/>
              </w:rPr>
              <w:t>单位组织构架</w:t>
            </w:r>
          </w:p>
        </w:tc>
        <w:tc>
          <w:tcPr>
            <w:tcW w:w="7271" w:type="dxa"/>
            <w:gridSpan w:val="6"/>
            <w:tcMar>
              <w:top w:w="13" w:type="dxa"/>
              <w:left w:w="13" w:type="dxa"/>
              <w:right w:w="13" w:type="dxa"/>
            </w:tcMar>
            <w:vAlign w:val="center"/>
          </w:tcPr>
          <w:p w14:paraId="2F4BE77C">
            <w:pPr>
              <w:spacing w:line="360" w:lineRule="auto"/>
              <w:rPr>
                <w:rFonts w:ascii="宋体"/>
                <w:color w:val="auto"/>
                <w:sz w:val="24"/>
                <w:highlight w:val="none"/>
              </w:rPr>
            </w:pPr>
            <w:r>
              <w:rPr>
                <w:rFonts w:hint="eastAsia" w:ascii="宋体"/>
                <w:color w:val="auto"/>
                <w:sz w:val="24"/>
                <w:highlight w:val="none"/>
              </w:rPr>
              <w:t>请附图</w:t>
            </w:r>
          </w:p>
        </w:tc>
      </w:tr>
      <w:tr w14:paraId="45D936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18" w:hRule="atLeast"/>
        </w:trPr>
        <w:tc>
          <w:tcPr>
            <w:tcW w:w="1635" w:type="dxa"/>
            <w:tcBorders>
              <w:bottom w:val="single" w:color="auto" w:sz="12" w:space="0"/>
            </w:tcBorders>
            <w:tcMar>
              <w:top w:w="13" w:type="dxa"/>
              <w:left w:w="13" w:type="dxa"/>
              <w:right w:w="13" w:type="dxa"/>
            </w:tcMar>
            <w:vAlign w:val="center"/>
          </w:tcPr>
          <w:p w14:paraId="0141F375">
            <w:pPr>
              <w:spacing w:line="360" w:lineRule="auto"/>
              <w:rPr>
                <w:rFonts w:ascii="宋体"/>
                <w:color w:val="auto"/>
                <w:sz w:val="24"/>
                <w:highlight w:val="none"/>
              </w:rPr>
            </w:pPr>
            <w:r>
              <w:rPr>
                <w:rFonts w:hint="eastAsia" w:ascii="宋体"/>
                <w:color w:val="auto"/>
                <w:sz w:val="24"/>
                <w:highlight w:val="none"/>
              </w:rPr>
              <w:t>下属单位情况</w:t>
            </w:r>
          </w:p>
        </w:tc>
        <w:tc>
          <w:tcPr>
            <w:tcW w:w="7271" w:type="dxa"/>
            <w:gridSpan w:val="6"/>
            <w:tcBorders>
              <w:bottom w:val="single" w:color="auto" w:sz="12" w:space="0"/>
            </w:tcBorders>
            <w:tcMar>
              <w:top w:w="13" w:type="dxa"/>
              <w:left w:w="13" w:type="dxa"/>
              <w:right w:w="13" w:type="dxa"/>
            </w:tcMar>
            <w:vAlign w:val="center"/>
          </w:tcPr>
          <w:p w14:paraId="16EA3295">
            <w:pPr>
              <w:spacing w:line="360" w:lineRule="auto"/>
              <w:rPr>
                <w:rFonts w:ascii="宋体"/>
                <w:color w:val="auto"/>
                <w:sz w:val="24"/>
                <w:highlight w:val="none"/>
              </w:rPr>
            </w:pPr>
            <w:r>
              <w:rPr>
                <w:rFonts w:hint="eastAsia" w:ascii="宋体"/>
                <w:color w:val="auto"/>
                <w:sz w:val="24"/>
                <w:highlight w:val="none"/>
              </w:rPr>
              <w:t>请附表</w:t>
            </w:r>
          </w:p>
        </w:tc>
      </w:tr>
    </w:tbl>
    <w:p w14:paraId="2AFE3FC6">
      <w:pPr>
        <w:spacing w:line="360" w:lineRule="auto"/>
        <w:jc w:val="left"/>
        <w:rPr>
          <w:rFonts w:ascii="宋体"/>
          <w:color w:val="auto"/>
          <w:szCs w:val="21"/>
          <w:highlight w:val="none"/>
        </w:rPr>
      </w:pPr>
      <w:r>
        <w:rPr>
          <w:rFonts w:hint="eastAsia" w:ascii="宋体"/>
          <w:color w:val="auto"/>
          <w:szCs w:val="21"/>
          <w:highlight w:val="none"/>
        </w:rPr>
        <w:t>注：供应商须随本表附上供应商企业情况简介，该简介应能说明供应商的企业基本情况，包括但不限于业务范围、注册资金、所有权状况、组织机构及职能、人员构成、公司的场地环境和软硬件设施等。</w:t>
      </w:r>
    </w:p>
    <w:p w14:paraId="7EA102CB">
      <w:pPr>
        <w:spacing w:line="360" w:lineRule="auto"/>
        <w:ind w:firstLine="435"/>
        <w:rPr>
          <w:rFonts w:ascii="宋体"/>
          <w:color w:val="auto"/>
          <w:sz w:val="24"/>
          <w:highlight w:val="none"/>
        </w:rPr>
      </w:pPr>
    </w:p>
    <w:p w14:paraId="3504F7F3">
      <w:pPr>
        <w:spacing w:line="360" w:lineRule="auto"/>
        <w:rPr>
          <w:rFonts w:ascii="宋体"/>
          <w:color w:val="auto"/>
          <w:sz w:val="24"/>
          <w:szCs w:val="24"/>
          <w:highlight w:val="none"/>
        </w:rPr>
      </w:pPr>
      <w:r>
        <w:rPr>
          <w:rFonts w:hint="eastAsia" w:ascii="宋体"/>
          <w:color w:val="auto"/>
          <w:sz w:val="24"/>
          <w:szCs w:val="24"/>
          <w:highlight w:val="none"/>
        </w:rPr>
        <w:t>供应商代表签字</w:t>
      </w:r>
      <w:r>
        <w:rPr>
          <w:rFonts w:hint="eastAsia" w:ascii="宋体"/>
          <w:color w:val="auto"/>
          <w:sz w:val="24"/>
          <w:szCs w:val="24"/>
          <w:highlight w:val="none"/>
          <w:u w:val="single"/>
        </w:rPr>
        <w:t xml:space="preserve">                            </w:t>
      </w:r>
    </w:p>
    <w:p w14:paraId="0BFF80E2">
      <w:pPr>
        <w:spacing w:line="360" w:lineRule="auto"/>
        <w:rPr>
          <w:rFonts w:ascii="宋体"/>
          <w:color w:val="auto"/>
          <w:sz w:val="24"/>
          <w:szCs w:val="24"/>
          <w:highlight w:val="none"/>
        </w:rPr>
      </w:pPr>
      <w:r>
        <w:rPr>
          <w:rFonts w:hint="eastAsia" w:ascii="宋体"/>
          <w:color w:val="auto"/>
          <w:sz w:val="24"/>
          <w:szCs w:val="24"/>
          <w:highlight w:val="none"/>
        </w:rPr>
        <w:t>供应商名称（盖章）</w:t>
      </w:r>
      <w:r>
        <w:rPr>
          <w:rFonts w:hint="eastAsia" w:ascii="宋体"/>
          <w:color w:val="auto"/>
          <w:sz w:val="24"/>
          <w:szCs w:val="24"/>
          <w:highlight w:val="none"/>
          <w:u w:val="single"/>
        </w:rPr>
        <w:t xml:space="preserve">                        </w:t>
      </w:r>
    </w:p>
    <w:p w14:paraId="4B08672B">
      <w:pPr>
        <w:pStyle w:val="36"/>
        <w:rPr>
          <w:color w:val="auto"/>
          <w:sz w:val="24"/>
          <w:szCs w:val="24"/>
          <w:highlight w:val="none"/>
          <w:u w:val="single"/>
        </w:rPr>
      </w:pPr>
      <w:r>
        <w:rPr>
          <w:rFonts w:hint="eastAsia"/>
          <w:color w:val="auto"/>
          <w:sz w:val="24"/>
          <w:szCs w:val="24"/>
          <w:highlight w:val="none"/>
        </w:rPr>
        <w:t>日       期</w:t>
      </w:r>
      <w:r>
        <w:rPr>
          <w:rFonts w:hint="eastAsia"/>
          <w:color w:val="auto"/>
          <w:sz w:val="24"/>
          <w:szCs w:val="24"/>
          <w:highlight w:val="none"/>
          <w:u w:val="single"/>
        </w:rPr>
        <w:t xml:space="preserve">                                   </w:t>
      </w:r>
    </w:p>
    <w:p w14:paraId="0D916070">
      <w:pPr>
        <w:pStyle w:val="1413"/>
        <w:rPr>
          <w:rFonts w:ascii="黑体" w:eastAsia="黑体"/>
          <w:bCs/>
          <w:color w:val="auto"/>
          <w:sz w:val="24"/>
          <w:szCs w:val="24"/>
          <w:highlight w:val="none"/>
        </w:rPr>
      </w:pPr>
    </w:p>
    <w:p w14:paraId="086D97ED">
      <w:pPr>
        <w:pStyle w:val="1413"/>
        <w:rPr>
          <w:rFonts w:ascii="黑体" w:eastAsia="黑体"/>
          <w:bCs/>
          <w:color w:val="auto"/>
          <w:sz w:val="32"/>
          <w:szCs w:val="32"/>
          <w:highlight w:val="none"/>
        </w:rPr>
      </w:pPr>
    </w:p>
    <w:p w14:paraId="22D9B866">
      <w:pPr>
        <w:pStyle w:val="1413"/>
        <w:rPr>
          <w:rFonts w:ascii="黑体" w:eastAsia="黑体"/>
          <w:bCs/>
          <w:color w:val="auto"/>
          <w:sz w:val="32"/>
          <w:szCs w:val="32"/>
          <w:highlight w:val="none"/>
        </w:rPr>
      </w:pPr>
    </w:p>
    <w:p w14:paraId="58E7825E">
      <w:pPr>
        <w:pStyle w:val="1413"/>
        <w:rPr>
          <w:rFonts w:ascii="黑体" w:eastAsia="黑体"/>
          <w:bCs/>
          <w:color w:val="auto"/>
          <w:sz w:val="32"/>
          <w:szCs w:val="32"/>
          <w:highlight w:val="none"/>
        </w:rPr>
      </w:pPr>
    </w:p>
    <w:p w14:paraId="2AB7C76D">
      <w:pPr>
        <w:pStyle w:val="1413"/>
        <w:rPr>
          <w:rFonts w:ascii="黑体" w:eastAsia="黑体"/>
          <w:bCs/>
          <w:color w:val="auto"/>
          <w:sz w:val="32"/>
          <w:szCs w:val="32"/>
          <w:highlight w:val="none"/>
        </w:rPr>
      </w:pPr>
    </w:p>
    <w:p w14:paraId="0A861CAE">
      <w:pPr>
        <w:adjustRightInd w:val="0"/>
        <w:spacing w:before="240" w:beforeLines="100"/>
        <w:ind w:right="958"/>
        <w:jc w:val="left"/>
        <w:textAlignment w:val="baseline"/>
        <w:rPr>
          <w:rFonts w:ascii="宋体"/>
          <w:color w:val="auto"/>
          <w:kern w:val="0"/>
          <w:sz w:val="24"/>
          <w:highlight w:val="none"/>
        </w:rPr>
      </w:pPr>
      <w:r>
        <w:rPr>
          <w:rFonts w:hint="eastAsia" w:ascii="宋体"/>
          <w:color w:val="auto"/>
          <w:kern w:val="0"/>
          <w:sz w:val="24"/>
          <w:highlight w:val="none"/>
        </w:rPr>
        <w:t>附件9</w:t>
      </w:r>
    </w:p>
    <w:p w14:paraId="6FBCE61D">
      <w:pPr>
        <w:jc w:val="center"/>
        <w:outlineLvl w:val="1"/>
        <w:rPr>
          <w:rFonts w:ascii="宋体"/>
          <w:b/>
          <w:bCs/>
          <w:color w:val="auto"/>
          <w:sz w:val="24"/>
          <w:highlight w:val="none"/>
        </w:rPr>
      </w:pPr>
      <w:bookmarkStart w:id="612" w:name="_Toc16206"/>
      <w:r>
        <w:rPr>
          <w:rFonts w:hint="eastAsia" w:ascii="宋体"/>
          <w:b/>
          <w:bCs/>
          <w:color w:val="auto"/>
          <w:sz w:val="24"/>
          <w:highlight w:val="none"/>
        </w:rPr>
        <w:t>拟投入本项目的团队情况表</w:t>
      </w:r>
      <w:bookmarkEnd w:id="612"/>
    </w:p>
    <w:tbl>
      <w:tblPr>
        <w:tblStyle w:val="62"/>
        <w:tblW w:w="0" w:type="auto"/>
        <w:tblInd w:w="108" w:type="dxa"/>
        <w:tblLayout w:type="fixed"/>
        <w:tblCellMar>
          <w:top w:w="0" w:type="dxa"/>
          <w:left w:w="108" w:type="dxa"/>
          <w:bottom w:w="0" w:type="dxa"/>
          <w:right w:w="108" w:type="dxa"/>
        </w:tblCellMar>
      </w:tblPr>
      <w:tblGrid>
        <w:gridCol w:w="540"/>
        <w:gridCol w:w="540"/>
        <w:gridCol w:w="1612"/>
        <w:gridCol w:w="2177"/>
        <w:gridCol w:w="1375"/>
        <w:gridCol w:w="779"/>
        <w:gridCol w:w="839"/>
        <w:gridCol w:w="1254"/>
      </w:tblGrid>
      <w:tr w14:paraId="4AEB4E3F">
        <w:tblPrEx>
          <w:tblCellMar>
            <w:top w:w="0" w:type="dxa"/>
            <w:left w:w="108" w:type="dxa"/>
            <w:bottom w:w="0" w:type="dxa"/>
            <w:right w:w="108" w:type="dxa"/>
          </w:tblCellMar>
        </w:tblPrEx>
        <w:trPr>
          <w:trHeight w:val="567" w:hRule="atLeast"/>
        </w:trPr>
        <w:tc>
          <w:tcPr>
            <w:tcW w:w="540" w:type="dxa"/>
            <w:tcBorders>
              <w:top w:val="single" w:color="auto" w:sz="4" w:space="0"/>
              <w:left w:val="single" w:color="auto" w:sz="4" w:space="0"/>
              <w:bottom w:val="single" w:color="auto" w:sz="4" w:space="0"/>
              <w:right w:val="single" w:color="auto" w:sz="4" w:space="0"/>
            </w:tcBorders>
            <w:vAlign w:val="center"/>
          </w:tcPr>
          <w:p w14:paraId="61383C83">
            <w:pPr>
              <w:pStyle w:val="1414"/>
              <w:widowControl/>
              <w:autoSpaceDN w:val="0"/>
              <w:jc w:val="center"/>
              <w:rPr>
                <w:color w:val="auto"/>
                <w:szCs w:val="24"/>
                <w:highlight w:val="none"/>
              </w:rPr>
            </w:pPr>
            <w:r>
              <w:rPr>
                <w:rFonts w:hint="eastAsia"/>
                <w:color w:val="auto"/>
                <w:szCs w:val="24"/>
                <w:highlight w:val="none"/>
              </w:rPr>
              <w:t>序号</w:t>
            </w:r>
          </w:p>
        </w:tc>
        <w:tc>
          <w:tcPr>
            <w:tcW w:w="540" w:type="dxa"/>
            <w:tcBorders>
              <w:top w:val="single" w:color="auto" w:sz="4" w:space="0"/>
              <w:left w:val="nil"/>
              <w:bottom w:val="single" w:color="auto" w:sz="4" w:space="0"/>
              <w:right w:val="single" w:color="auto" w:sz="4" w:space="0"/>
            </w:tcBorders>
            <w:vAlign w:val="center"/>
          </w:tcPr>
          <w:p w14:paraId="029BCD58">
            <w:pPr>
              <w:pStyle w:val="1414"/>
              <w:widowControl/>
              <w:autoSpaceDN w:val="0"/>
              <w:jc w:val="center"/>
              <w:rPr>
                <w:color w:val="auto"/>
                <w:szCs w:val="24"/>
                <w:highlight w:val="none"/>
              </w:rPr>
            </w:pPr>
            <w:r>
              <w:rPr>
                <w:rFonts w:hint="eastAsia"/>
                <w:color w:val="auto"/>
                <w:szCs w:val="24"/>
                <w:highlight w:val="none"/>
              </w:rPr>
              <w:t>姓名</w:t>
            </w:r>
          </w:p>
        </w:tc>
        <w:tc>
          <w:tcPr>
            <w:tcW w:w="1612" w:type="dxa"/>
            <w:tcBorders>
              <w:top w:val="single" w:color="auto" w:sz="4" w:space="0"/>
              <w:left w:val="nil"/>
              <w:bottom w:val="single" w:color="auto" w:sz="4" w:space="0"/>
              <w:right w:val="single" w:color="auto" w:sz="4" w:space="0"/>
            </w:tcBorders>
            <w:vAlign w:val="center"/>
          </w:tcPr>
          <w:p w14:paraId="5B660ABE">
            <w:pPr>
              <w:pStyle w:val="1414"/>
              <w:widowControl/>
              <w:autoSpaceDN w:val="0"/>
              <w:jc w:val="center"/>
              <w:rPr>
                <w:color w:val="auto"/>
                <w:szCs w:val="24"/>
                <w:highlight w:val="none"/>
              </w:rPr>
            </w:pPr>
            <w:r>
              <w:rPr>
                <w:rFonts w:hint="eastAsia"/>
                <w:color w:val="auto"/>
                <w:szCs w:val="24"/>
                <w:highlight w:val="none"/>
              </w:rPr>
              <w:t>拟在本项目中担任的职务</w:t>
            </w:r>
          </w:p>
        </w:tc>
        <w:tc>
          <w:tcPr>
            <w:tcW w:w="2177" w:type="dxa"/>
            <w:tcBorders>
              <w:top w:val="single" w:color="auto" w:sz="4" w:space="0"/>
              <w:left w:val="nil"/>
              <w:bottom w:val="single" w:color="auto" w:sz="4" w:space="0"/>
              <w:right w:val="single" w:color="auto" w:sz="4" w:space="0"/>
            </w:tcBorders>
            <w:vAlign w:val="center"/>
          </w:tcPr>
          <w:p w14:paraId="3C5B074E">
            <w:pPr>
              <w:pStyle w:val="1414"/>
              <w:widowControl/>
              <w:autoSpaceDN w:val="0"/>
              <w:jc w:val="center"/>
              <w:rPr>
                <w:color w:val="auto"/>
                <w:szCs w:val="24"/>
                <w:highlight w:val="none"/>
              </w:rPr>
            </w:pPr>
            <w:r>
              <w:rPr>
                <w:rFonts w:hint="eastAsia"/>
                <w:color w:val="auto"/>
                <w:szCs w:val="24"/>
                <w:highlight w:val="none"/>
              </w:rPr>
              <w:t>相关领域工作经验（经验、年限）</w:t>
            </w:r>
          </w:p>
        </w:tc>
        <w:tc>
          <w:tcPr>
            <w:tcW w:w="1375" w:type="dxa"/>
            <w:tcBorders>
              <w:top w:val="single" w:color="auto" w:sz="4" w:space="0"/>
              <w:left w:val="nil"/>
              <w:bottom w:val="single" w:color="auto" w:sz="4" w:space="0"/>
              <w:right w:val="single" w:color="auto" w:sz="4" w:space="0"/>
            </w:tcBorders>
            <w:vAlign w:val="center"/>
          </w:tcPr>
          <w:p w14:paraId="7DF759B0">
            <w:pPr>
              <w:pStyle w:val="1414"/>
              <w:widowControl/>
              <w:autoSpaceDN w:val="0"/>
              <w:jc w:val="center"/>
              <w:rPr>
                <w:color w:val="auto"/>
                <w:szCs w:val="24"/>
                <w:highlight w:val="none"/>
              </w:rPr>
            </w:pPr>
            <w:r>
              <w:rPr>
                <w:rFonts w:hint="eastAsia"/>
                <w:color w:val="auto"/>
                <w:szCs w:val="24"/>
                <w:highlight w:val="none"/>
              </w:rPr>
              <w:t>资历和其他相关经验</w:t>
            </w:r>
          </w:p>
        </w:tc>
        <w:tc>
          <w:tcPr>
            <w:tcW w:w="779" w:type="dxa"/>
            <w:tcBorders>
              <w:top w:val="single" w:color="auto" w:sz="4" w:space="0"/>
              <w:left w:val="nil"/>
              <w:bottom w:val="single" w:color="auto" w:sz="4" w:space="0"/>
              <w:right w:val="single" w:color="auto" w:sz="4" w:space="0"/>
            </w:tcBorders>
            <w:vAlign w:val="center"/>
          </w:tcPr>
          <w:p w14:paraId="14931CBA">
            <w:pPr>
              <w:pStyle w:val="1414"/>
              <w:widowControl/>
              <w:autoSpaceDN w:val="0"/>
              <w:jc w:val="center"/>
              <w:rPr>
                <w:color w:val="auto"/>
                <w:szCs w:val="24"/>
                <w:highlight w:val="none"/>
              </w:rPr>
            </w:pPr>
            <w:r>
              <w:rPr>
                <w:rFonts w:hint="eastAsia"/>
                <w:color w:val="auto"/>
                <w:szCs w:val="24"/>
                <w:highlight w:val="none"/>
              </w:rPr>
              <w:t>职业经历</w:t>
            </w:r>
          </w:p>
        </w:tc>
        <w:tc>
          <w:tcPr>
            <w:tcW w:w="839" w:type="dxa"/>
            <w:tcBorders>
              <w:top w:val="single" w:color="auto" w:sz="4" w:space="0"/>
              <w:left w:val="nil"/>
              <w:bottom w:val="single" w:color="auto" w:sz="4" w:space="0"/>
              <w:right w:val="single" w:color="auto" w:sz="4" w:space="0"/>
            </w:tcBorders>
            <w:vAlign w:val="center"/>
          </w:tcPr>
          <w:p w14:paraId="4AB896F8">
            <w:pPr>
              <w:pStyle w:val="1414"/>
              <w:widowControl/>
              <w:autoSpaceDN w:val="0"/>
              <w:jc w:val="center"/>
              <w:rPr>
                <w:color w:val="auto"/>
                <w:szCs w:val="24"/>
                <w:highlight w:val="none"/>
              </w:rPr>
            </w:pPr>
            <w:r>
              <w:rPr>
                <w:rFonts w:hint="eastAsia"/>
                <w:color w:val="auto"/>
                <w:szCs w:val="24"/>
                <w:highlight w:val="none"/>
              </w:rPr>
              <w:t>技能</w:t>
            </w:r>
            <w:r>
              <w:rPr>
                <w:color w:val="auto"/>
                <w:szCs w:val="24"/>
                <w:highlight w:val="none"/>
              </w:rPr>
              <w:t>/</w:t>
            </w:r>
            <w:r>
              <w:rPr>
                <w:rFonts w:hint="eastAsia"/>
                <w:color w:val="auto"/>
                <w:szCs w:val="24"/>
                <w:highlight w:val="none"/>
              </w:rPr>
              <w:t>教育</w:t>
            </w:r>
          </w:p>
        </w:tc>
        <w:tc>
          <w:tcPr>
            <w:tcW w:w="1254" w:type="dxa"/>
            <w:tcBorders>
              <w:top w:val="single" w:color="auto" w:sz="4" w:space="0"/>
              <w:left w:val="nil"/>
              <w:bottom w:val="single" w:color="auto" w:sz="4" w:space="0"/>
              <w:right w:val="single" w:color="auto" w:sz="4" w:space="0"/>
            </w:tcBorders>
            <w:vAlign w:val="center"/>
          </w:tcPr>
          <w:p w14:paraId="6BB63802">
            <w:pPr>
              <w:pStyle w:val="1414"/>
              <w:widowControl/>
              <w:autoSpaceDN w:val="0"/>
              <w:jc w:val="center"/>
              <w:rPr>
                <w:color w:val="auto"/>
                <w:szCs w:val="24"/>
                <w:highlight w:val="none"/>
              </w:rPr>
            </w:pPr>
            <w:r>
              <w:rPr>
                <w:rFonts w:hint="eastAsia"/>
                <w:color w:val="auto"/>
                <w:szCs w:val="24"/>
                <w:highlight w:val="none"/>
              </w:rPr>
              <w:t>是否企业正式员工</w:t>
            </w:r>
          </w:p>
        </w:tc>
      </w:tr>
      <w:tr w14:paraId="5252D76B">
        <w:tblPrEx>
          <w:tblCellMar>
            <w:top w:w="0" w:type="dxa"/>
            <w:left w:w="108" w:type="dxa"/>
            <w:bottom w:w="0" w:type="dxa"/>
            <w:right w:w="108" w:type="dxa"/>
          </w:tblCellMar>
        </w:tblPrEx>
        <w:trPr>
          <w:trHeight w:val="567" w:hRule="atLeast"/>
        </w:trPr>
        <w:tc>
          <w:tcPr>
            <w:tcW w:w="540" w:type="dxa"/>
            <w:tcBorders>
              <w:top w:val="nil"/>
              <w:left w:val="single" w:color="auto" w:sz="4" w:space="0"/>
              <w:bottom w:val="single" w:color="auto" w:sz="4" w:space="0"/>
              <w:right w:val="single" w:color="auto" w:sz="4" w:space="0"/>
            </w:tcBorders>
            <w:vAlign w:val="center"/>
          </w:tcPr>
          <w:p w14:paraId="4D5873C5">
            <w:pPr>
              <w:pStyle w:val="1414"/>
              <w:widowControl/>
              <w:autoSpaceDN w:val="0"/>
              <w:jc w:val="center"/>
              <w:rPr>
                <w:color w:val="auto"/>
                <w:szCs w:val="24"/>
                <w:highlight w:val="none"/>
              </w:rPr>
            </w:pPr>
            <w:r>
              <w:rPr>
                <w:rFonts w:hint="eastAsia"/>
                <w:color w:val="auto"/>
                <w:szCs w:val="24"/>
                <w:highlight w:val="none"/>
              </w:rPr>
              <w:t>　</w:t>
            </w:r>
          </w:p>
        </w:tc>
        <w:tc>
          <w:tcPr>
            <w:tcW w:w="540" w:type="dxa"/>
            <w:tcBorders>
              <w:top w:val="nil"/>
              <w:left w:val="nil"/>
              <w:bottom w:val="single" w:color="auto" w:sz="4" w:space="0"/>
              <w:right w:val="single" w:color="auto" w:sz="4" w:space="0"/>
            </w:tcBorders>
            <w:vAlign w:val="center"/>
          </w:tcPr>
          <w:p w14:paraId="4042A8B4">
            <w:pPr>
              <w:pStyle w:val="1414"/>
              <w:widowControl/>
              <w:autoSpaceDN w:val="0"/>
              <w:jc w:val="center"/>
              <w:rPr>
                <w:color w:val="auto"/>
                <w:szCs w:val="24"/>
                <w:highlight w:val="none"/>
              </w:rPr>
            </w:pPr>
            <w:r>
              <w:rPr>
                <w:rFonts w:hint="eastAsia"/>
                <w:color w:val="auto"/>
                <w:szCs w:val="24"/>
                <w:highlight w:val="none"/>
              </w:rPr>
              <w:t>　</w:t>
            </w:r>
          </w:p>
        </w:tc>
        <w:tc>
          <w:tcPr>
            <w:tcW w:w="1612" w:type="dxa"/>
            <w:tcBorders>
              <w:top w:val="nil"/>
              <w:left w:val="nil"/>
              <w:bottom w:val="single" w:color="auto" w:sz="4" w:space="0"/>
              <w:right w:val="single" w:color="auto" w:sz="4" w:space="0"/>
            </w:tcBorders>
            <w:vAlign w:val="center"/>
          </w:tcPr>
          <w:p w14:paraId="4EE3EE7A">
            <w:pPr>
              <w:pStyle w:val="1414"/>
              <w:widowControl/>
              <w:autoSpaceDN w:val="0"/>
              <w:jc w:val="center"/>
              <w:rPr>
                <w:color w:val="auto"/>
                <w:szCs w:val="24"/>
                <w:highlight w:val="none"/>
              </w:rPr>
            </w:pPr>
            <w:r>
              <w:rPr>
                <w:rFonts w:hint="eastAsia"/>
                <w:color w:val="auto"/>
                <w:szCs w:val="24"/>
                <w:highlight w:val="none"/>
              </w:rPr>
              <w:t>　</w:t>
            </w:r>
          </w:p>
        </w:tc>
        <w:tc>
          <w:tcPr>
            <w:tcW w:w="2177" w:type="dxa"/>
            <w:tcBorders>
              <w:top w:val="nil"/>
              <w:left w:val="nil"/>
              <w:bottom w:val="single" w:color="auto" w:sz="4" w:space="0"/>
              <w:right w:val="single" w:color="auto" w:sz="4" w:space="0"/>
            </w:tcBorders>
            <w:vAlign w:val="center"/>
          </w:tcPr>
          <w:p w14:paraId="0CA76BC0">
            <w:pPr>
              <w:pStyle w:val="1414"/>
              <w:widowControl/>
              <w:autoSpaceDN w:val="0"/>
              <w:jc w:val="center"/>
              <w:rPr>
                <w:color w:val="auto"/>
                <w:szCs w:val="24"/>
                <w:highlight w:val="none"/>
              </w:rPr>
            </w:pPr>
            <w:r>
              <w:rPr>
                <w:rFonts w:hint="eastAsia"/>
                <w:color w:val="auto"/>
                <w:szCs w:val="24"/>
                <w:highlight w:val="none"/>
              </w:rPr>
              <w:t>　</w:t>
            </w:r>
          </w:p>
        </w:tc>
        <w:tc>
          <w:tcPr>
            <w:tcW w:w="1375" w:type="dxa"/>
            <w:tcBorders>
              <w:top w:val="nil"/>
              <w:left w:val="nil"/>
              <w:bottom w:val="single" w:color="auto" w:sz="4" w:space="0"/>
              <w:right w:val="single" w:color="auto" w:sz="4" w:space="0"/>
            </w:tcBorders>
            <w:vAlign w:val="center"/>
          </w:tcPr>
          <w:p w14:paraId="7F7E3646">
            <w:pPr>
              <w:pStyle w:val="1414"/>
              <w:widowControl/>
              <w:autoSpaceDN w:val="0"/>
              <w:jc w:val="center"/>
              <w:rPr>
                <w:color w:val="auto"/>
                <w:szCs w:val="24"/>
                <w:highlight w:val="none"/>
              </w:rPr>
            </w:pPr>
            <w:r>
              <w:rPr>
                <w:rFonts w:hint="eastAsia"/>
                <w:color w:val="auto"/>
                <w:szCs w:val="24"/>
                <w:highlight w:val="none"/>
              </w:rPr>
              <w:t>　</w:t>
            </w:r>
          </w:p>
        </w:tc>
        <w:tc>
          <w:tcPr>
            <w:tcW w:w="779" w:type="dxa"/>
            <w:tcBorders>
              <w:top w:val="nil"/>
              <w:left w:val="nil"/>
              <w:bottom w:val="single" w:color="auto" w:sz="4" w:space="0"/>
              <w:right w:val="single" w:color="auto" w:sz="4" w:space="0"/>
            </w:tcBorders>
            <w:vAlign w:val="center"/>
          </w:tcPr>
          <w:p w14:paraId="46681C74">
            <w:pPr>
              <w:pStyle w:val="1414"/>
              <w:widowControl/>
              <w:autoSpaceDN w:val="0"/>
              <w:jc w:val="center"/>
              <w:rPr>
                <w:color w:val="auto"/>
                <w:szCs w:val="24"/>
                <w:highlight w:val="none"/>
              </w:rPr>
            </w:pPr>
            <w:r>
              <w:rPr>
                <w:rFonts w:hint="eastAsia"/>
                <w:color w:val="auto"/>
                <w:szCs w:val="24"/>
                <w:highlight w:val="none"/>
              </w:rPr>
              <w:t>　</w:t>
            </w:r>
          </w:p>
        </w:tc>
        <w:tc>
          <w:tcPr>
            <w:tcW w:w="839" w:type="dxa"/>
            <w:tcBorders>
              <w:top w:val="nil"/>
              <w:left w:val="nil"/>
              <w:bottom w:val="single" w:color="auto" w:sz="4" w:space="0"/>
              <w:right w:val="single" w:color="auto" w:sz="4" w:space="0"/>
            </w:tcBorders>
            <w:vAlign w:val="center"/>
          </w:tcPr>
          <w:p w14:paraId="6312749D">
            <w:pPr>
              <w:pStyle w:val="1414"/>
              <w:widowControl/>
              <w:autoSpaceDN w:val="0"/>
              <w:jc w:val="center"/>
              <w:rPr>
                <w:color w:val="auto"/>
                <w:szCs w:val="24"/>
                <w:highlight w:val="none"/>
              </w:rPr>
            </w:pPr>
            <w:r>
              <w:rPr>
                <w:rFonts w:hint="eastAsia"/>
                <w:color w:val="auto"/>
                <w:szCs w:val="24"/>
                <w:highlight w:val="none"/>
              </w:rPr>
              <w:t>　</w:t>
            </w:r>
          </w:p>
        </w:tc>
        <w:tc>
          <w:tcPr>
            <w:tcW w:w="1254" w:type="dxa"/>
            <w:tcBorders>
              <w:top w:val="nil"/>
              <w:left w:val="nil"/>
              <w:bottom w:val="single" w:color="auto" w:sz="4" w:space="0"/>
              <w:right w:val="single" w:color="auto" w:sz="4" w:space="0"/>
            </w:tcBorders>
            <w:vAlign w:val="center"/>
          </w:tcPr>
          <w:p w14:paraId="735AAC5A">
            <w:pPr>
              <w:pStyle w:val="1414"/>
              <w:widowControl/>
              <w:autoSpaceDN w:val="0"/>
              <w:jc w:val="center"/>
              <w:rPr>
                <w:color w:val="auto"/>
                <w:szCs w:val="24"/>
                <w:highlight w:val="none"/>
              </w:rPr>
            </w:pPr>
            <w:r>
              <w:rPr>
                <w:rFonts w:hint="eastAsia"/>
                <w:color w:val="auto"/>
                <w:szCs w:val="24"/>
                <w:highlight w:val="none"/>
              </w:rPr>
              <w:t>　</w:t>
            </w:r>
          </w:p>
        </w:tc>
      </w:tr>
      <w:tr w14:paraId="6CB186FB">
        <w:tblPrEx>
          <w:tblCellMar>
            <w:top w:w="0" w:type="dxa"/>
            <w:left w:w="108" w:type="dxa"/>
            <w:bottom w:w="0" w:type="dxa"/>
            <w:right w:w="108" w:type="dxa"/>
          </w:tblCellMar>
        </w:tblPrEx>
        <w:trPr>
          <w:trHeight w:val="567" w:hRule="atLeast"/>
        </w:trPr>
        <w:tc>
          <w:tcPr>
            <w:tcW w:w="540" w:type="dxa"/>
            <w:tcBorders>
              <w:top w:val="nil"/>
              <w:left w:val="single" w:color="auto" w:sz="4" w:space="0"/>
              <w:bottom w:val="single" w:color="auto" w:sz="4" w:space="0"/>
              <w:right w:val="single" w:color="auto" w:sz="4" w:space="0"/>
            </w:tcBorders>
            <w:vAlign w:val="center"/>
          </w:tcPr>
          <w:p w14:paraId="723A01A3">
            <w:pPr>
              <w:pStyle w:val="1414"/>
              <w:widowControl/>
              <w:autoSpaceDN w:val="0"/>
              <w:jc w:val="center"/>
              <w:rPr>
                <w:color w:val="auto"/>
                <w:szCs w:val="24"/>
                <w:highlight w:val="none"/>
              </w:rPr>
            </w:pPr>
            <w:r>
              <w:rPr>
                <w:rFonts w:hint="eastAsia"/>
                <w:color w:val="auto"/>
                <w:szCs w:val="24"/>
                <w:highlight w:val="none"/>
              </w:rPr>
              <w:t>　</w:t>
            </w:r>
          </w:p>
        </w:tc>
        <w:tc>
          <w:tcPr>
            <w:tcW w:w="540" w:type="dxa"/>
            <w:tcBorders>
              <w:top w:val="nil"/>
              <w:left w:val="nil"/>
              <w:bottom w:val="single" w:color="auto" w:sz="4" w:space="0"/>
              <w:right w:val="single" w:color="auto" w:sz="4" w:space="0"/>
            </w:tcBorders>
            <w:vAlign w:val="center"/>
          </w:tcPr>
          <w:p w14:paraId="4B975B09">
            <w:pPr>
              <w:pStyle w:val="1414"/>
              <w:widowControl/>
              <w:autoSpaceDN w:val="0"/>
              <w:jc w:val="center"/>
              <w:rPr>
                <w:color w:val="auto"/>
                <w:szCs w:val="24"/>
                <w:highlight w:val="none"/>
              </w:rPr>
            </w:pPr>
            <w:r>
              <w:rPr>
                <w:rFonts w:hint="eastAsia"/>
                <w:color w:val="auto"/>
                <w:szCs w:val="24"/>
                <w:highlight w:val="none"/>
              </w:rPr>
              <w:t>　</w:t>
            </w:r>
          </w:p>
        </w:tc>
        <w:tc>
          <w:tcPr>
            <w:tcW w:w="1612" w:type="dxa"/>
            <w:tcBorders>
              <w:top w:val="nil"/>
              <w:left w:val="nil"/>
              <w:bottom w:val="single" w:color="auto" w:sz="4" w:space="0"/>
              <w:right w:val="single" w:color="auto" w:sz="4" w:space="0"/>
            </w:tcBorders>
            <w:vAlign w:val="center"/>
          </w:tcPr>
          <w:p w14:paraId="341B2E15">
            <w:pPr>
              <w:pStyle w:val="1414"/>
              <w:widowControl/>
              <w:autoSpaceDN w:val="0"/>
              <w:jc w:val="center"/>
              <w:rPr>
                <w:color w:val="auto"/>
                <w:szCs w:val="24"/>
                <w:highlight w:val="none"/>
              </w:rPr>
            </w:pPr>
            <w:r>
              <w:rPr>
                <w:rFonts w:hint="eastAsia"/>
                <w:color w:val="auto"/>
                <w:szCs w:val="24"/>
                <w:highlight w:val="none"/>
              </w:rPr>
              <w:t>　</w:t>
            </w:r>
          </w:p>
        </w:tc>
        <w:tc>
          <w:tcPr>
            <w:tcW w:w="2177" w:type="dxa"/>
            <w:tcBorders>
              <w:top w:val="nil"/>
              <w:left w:val="nil"/>
              <w:bottom w:val="single" w:color="auto" w:sz="4" w:space="0"/>
              <w:right w:val="single" w:color="auto" w:sz="4" w:space="0"/>
            </w:tcBorders>
            <w:vAlign w:val="center"/>
          </w:tcPr>
          <w:p w14:paraId="0E4DE2D9">
            <w:pPr>
              <w:pStyle w:val="1414"/>
              <w:widowControl/>
              <w:autoSpaceDN w:val="0"/>
              <w:jc w:val="center"/>
              <w:rPr>
                <w:color w:val="auto"/>
                <w:szCs w:val="24"/>
                <w:highlight w:val="none"/>
              </w:rPr>
            </w:pPr>
            <w:r>
              <w:rPr>
                <w:rFonts w:hint="eastAsia"/>
                <w:color w:val="auto"/>
                <w:szCs w:val="24"/>
                <w:highlight w:val="none"/>
              </w:rPr>
              <w:t>　</w:t>
            </w:r>
          </w:p>
        </w:tc>
        <w:tc>
          <w:tcPr>
            <w:tcW w:w="1375" w:type="dxa"/>
            <w:tcBorders>
              <w:top w:val="nil"/>
              <w:left w:val="nil"/>
              <w:bottom w:val="single" w:color="auto" w:sz="4" w:space="0"/>
              <w:right w:val="single" w:color="auto" w:sz="4" w:space="0"/>
            </w:tcBorders>
            <w:vAlign w:val="center"/>
          </w:tcPr>
          <w:p w14:paraId="6C24587E">
            <w:pPr>
              <w:pStyle w:val="1414"/>
              <w:widowControl/>
              <w:autoSpaceDN w:val="0"/>
              <w:jc w:val="center"/>
              <w:rPr>
                <w:color w:val="auto"/>
                <w:szCs w:val="24"/>
                <w:highlight w:val="none"/>
              </w:rPr>
            </w:pPr>
            <w:r>
              <w:rPr>
                <w:rFonts w:hint="eastAsia"/>
                <w:color w:val="auto"/>
                <w:szCs w:val="24"/>
                <w:highlight w:val="none"/>
              </w:rPr>
              <w:t>　</w:t>
            </w:r>
          </w:p>
        </w:tc>
        <w:tc>
          <w:tcPr>
            <w:tcW w:w="779" w:type="dxa"/>
            <w:tcBorders>
              <w:top w:val="nil"/>
              <w:left w:val="nil"/>
              <w:bottom w:val="single" w:color="auto" w:sz="4" w:space="0"/>
              <w:right w:val="single" w:color="auto" w:sz="4" w:space="0"/>
            </w:tcBorders>
            <w:vAlign w:val="center"/>
          </w:tcPr>
          <w:p w14:paraId="34D69558">
            <w:pPr>
              <w:pStyle w:val="1414"/>
              <w:widowControl/>
              <w:autoSpaceDN w:val="0"/>
              <w:jc w:val="center"/>
              <w:rPr>
                <w:color w:val="auto"/>
                <w:szCs w:val="24"/>
                <w:highlight w:val="none"/>
              </w:rPr>
            </w:pPr>
            <w:r>
              <w:rPr>
                <w:rFonts w:hint="eastAsia"/>
                <w:color w:val="auto"/>
                <w:szCs w:val="24"/>
                <w:highlight w:val="none"/>
              </w:rPr>
              <w:t>　</w:t>
            </w:r>
          </w:p>
        </w:tc>
        <w:tc>
          <w:tcPr>
            <w:tcW w:w="839" w:type="dxa"/>
            <w:tcBorders>
              <w:top w:val="nil"/>
              <w:left w:val="nil"/>
              <w:bottom w:val="single" w:color="auto" w:sz="4" w:space="0"/>
              <w:right w:val="single" w:color="auto" w:sz="4" w:space="0"/>
            </w:tcBorders>
            <w:vAlign w:val="center"/>
          </w:tcPr>
          <w:p w14:paraId="1D13DCA7">
            <w:pPr>
              <w:pStyle w:val="1414"/>
              <w:widowControl/>
              <w:autoSpaceDN w:val="0"/>
              <w:jc w:val="center"/>
              <w:rPr>
                <w:color w:val="auto"/>
                <w:szCs w:val="24"/>
                <w:highlight w:val="none"/>
              </w:rPr>
            </w:pPr>
            <w:r>
              <w:rPr>
                <w:rFonts w:hint="eastAsia"/>
                <w:color w:val="auto"/>
                <w:szCs w:val="24"/>
                <w:highlight w:val="none"/>
              </w:rPr>
              <w:t>　</w:t>
            </w:r>
          </w:p>
        </w:tc>
        <w:tc>
          <w:tcPr>
            <w:tcW w:w="1254" w:type="dxa"/>
            <w:tcBorders>
              <w:top w:val="nil"/>
              <w:left w:val="nil"/>
              <w:bottom w:val="single" w:color="auto" w:sz="4" w:space="0"/>
              <w:right w:val="single" w:color="auto" w:sz="4" w:space="0"/>
            </w:tcBorders>
            <w:vAlign w:val="center"/>
          </w:tcPr>
          <w:p w14:paraId="064ED535">
            <w:pPr>
              <w:pStyle w:val="1414"/>
              <w:widowControl/>
              <w:autoSpaceDN w:val="0"/>
              <w:jc w:val="center"/>
              <w:rPr>
                <w:color w:val="auto"/>
                <w:szCs w:val="24"/>
                <w:highlight w:val="none"/>
              </w:rPr>
            </w:pPr>
            <w:r>
              <w:rPr>
                <w:rFonts w:hint="eastAsia"/>
                <w:color w:val="auto"/>
                <w:szCs w:val="24"/>
                <w:highlight w:val="none"/>
              </w:rPr>
              <w:t>　</w:t>
            </w:r>
          </w:p>
        </w:tc>
      </w:tr>
      <w:tr w14:paraId="02C01918">
        <w:tblPrEx>
          <w:tblCellMar>
            <w:top w:w="0" w:type="dxa"/>
            <w:left w:w="108" w:type="dxa"/>
            <w:bottom w:w="0" w:type="dxa"/>
            <w:right w:w="108" w:type="dxa"/>
          </w:tblCellMar>
        </w:tblPrEx>
        <w:trPr>
          <w:trHeight w:val="567" w:hRule="atLeast"/>
        </w:trPr>
        <w:tc>
          <w:tcPr>
            <w:tcW w:w="540" w:type="dxa"/>
            <w:tcBorders>
              <w:top w:val="nil"/>
              <w:left w:val="single" w:color="auto" w:sz="4" w:space="0"/>
              <w:bottom w:val="single" w:color="auto" w:sz="4" w:space="0"/>
              <w:right w:val="single" w:color="auto" w:sz="4" w:space="0"/>
            </w:tcBorders>
            <w:vAlign w:val="center"/>
          </w:tcPr>
          <w:p w14:paraId="2059CF86">
            <w:pPr>
              <w:pStyle w:val="1414"/>
              <w:widowControl/>
              <w:autoSpaceDN w:val="0"/>
              <w:jc w:val="center"/>
              <w:rPr>
                <w:color w:val="auto"/>
                <w:szCs w:val="24"/>
                <w:highlight w:val="none"/>
              </w:rPr>
            </w:pPr>
            <w:r>
              <w:rPr>
                <w:rFonts w:hint="eastAsia"/>
                <w:color w:val="auto"/>
                <w:szCs w:val="24"/>
                <w:highlight w:val="none"/>
              </w:rPr>
              <w:t>　</w:t>
            </w:r>
          </w:p>
        </w:tc>
        <w:tc>
          <w:tcPr>
            <w:tcW w:w="540" w:type="dxa"/>
            <w:tcBorders>
              <w:top w:val="nil"/>
              <w:left w:val="nil"/>
              <w:bottom w:val="single" w:color="auto" w:sz="4" w:space="0"/>
              <w:right w:val="single" w:color="auto" w:sz="4" w:space="0"/>
            </w:tcBorders>
            <w:vAlign w:val="center"/>
          </w:tcPr>
          <w:p w14:paraId="07CD007E">
            <w:pPr>
              <w:pStyle w:val="1414"/>
              <w:widowControl/>
              <w:autoSpaceDN w:val="0"/>
              <w:jc w:val="center"/>
              <w:rPr>
                <w:color w:val="auto"/>
                <w:szCs w:val="24"/>
                <w:highlight w:val="none"/>
              </w:rPr>
            </w:pPr>
            <w:r>
              <w:rPr>
                <w:rFonts w:hint="eastAsia"/>
                <w:color w:val="auto"/>
                <w:szCs w:val="24"/>
                <w:highlight w:val="none"/>
              </w:rPr>
              <w:t>　</w:t>
            </w:r>
          </w:p>
        </w:tc>
        <w:tc>
          <w:tcPr>
            <w:tcW w:w="1612" w:type="dxa"/>
            <w:tcBorders>
              <w:top w:val="nil"/>
              <w:left w:val="nil"/>
              <w:bottom w:val="single" w:color="auto" w:sz="4" w:space="0"/>
              <w:right w:val="single" w:color="auto" w:sz="4" w:space="0"/>
            </w:tcBorders>
            <w:vAlign w:val="center"/>
          </w:tcPr>
          <w:p w14:paraId="4CAA98AE">
            <w:pPr>
              <w:pStyle w:val="1414"/>
              <w:widowControl/>
              <w:autoSpaceDN w:val="0"/>
              <w:jc w:val="center"/>
              <w:rPr>
                <w:color w:val="auto"/>
                <w:szCs w:val="24"/>
                <w:highlight w:val="none"/>
              </w:rPr>
            </w:pPr>
            <w:r>
              <w:rPr>
                <w:rFonts w:hint="eastAsia"/>
                <w:color w:val="auto"/>
                <w:szCs w:val="24"/>
                <w:highlight w:val="none"/>
              </w:rPr>
              <w:t>　</w:t>
            </w:r>
          </w:p>
        </w:tc>
        <w:tc>
          <w:tcPr>
            <w:tcW w:w="2177" w:type="dxa"/>
            <w:tcBorders>
              <w:top w:val="nil"/>
              <w:left w:val="nil"/>
              <w:bottom w:val="single" w:color="auto" w:sz="4" w:space="0"/>
              <w:right w:val="single" w:color="auto" w:sz="4" w:space="0"/>
            </w:tcBorders>
            <w:vAlign w:val="center"/>
          </w:tcPr>
          <w:p w14:paraId="76386B26">
            <w:pPr>
              <w:pStyle w:val="1414"/>
              <w:widowControl/>
              <w:autoSpaceDN w:val="0"/>
              <w:jc w:val="center"/>
              <w:rPr>
                <w:color w:val="auto"/>
                <w:szCs w:val="24"/>
                <w:highlight w:val="none"/>
              </w:rPr>
            </w:pPr>
            <w:r>
              <w:rPr>
                <w:rFonts w:hint="eastAsia"/>
                <w:color w:val="auto"/>
                <w:szCs w:val="24"/>
                <w:highlight w:val="none"/>
              </w:rPr>
              <w:t>　</w:t>
            </w:r>
          </w:p>
        </w:tc>
        <w:tc>
          <w:tcPr>
            <w:tcW w:w="1375" w:type="dxa"/>
            <w:tcBorders>
              <w:top w:val="nil"/>
              <w:left w:val="nil"/>
              <w:bottom w:val="single" w:color="auto" w:sz="4" w:space="0"/>
              <w:right w:val="single" w:color="auto" w:sz="4" w:space="0"/>
            </w:tcBorders>
            <w:vAlign w:val="center"/>
          </w:tcPr>
          <w:p w14:paraId="5E6B661B">
            <w:pPr>
              <w:pStyle w:val="1414"/>
              <w:widowControl/>
              <w:autoSpaceDN w:val="0"/>
              <w:jc w:val="center"/>
              <w:rPr>
                <w:color w:val="auto"/>
                <w:szCs w:val="24"/>
                <w:highlight w:val="none"/>
              </w:rPr>
            </w:pPr>
            <w:r>
              <w:rPr>
                <w:rFonts w:hint="eastAsia"/>
                <w:color w:val="auto"/>
                <w:szCs w:val="24"/>
                <w:highlight w:val="none"/>
              </w:rPr>
              <w:t>　</w:t>
            </w:r>
          </w:p>
        </w:tc>
        <w:tc>
          <w:tcPr>
            <w:tcW w:w="779" w:type="dxa"/>
            <w:tcBorders>
              <w:top w:val="nil"/>
              <w:left w:val="nil"/>
              <w:bottom w:val="single" w:color="auto" w:sz="4" w:space="0"/>
              <w:right w:val="single" w:color="auto" w:sz="4" w:space="0"/>
            </w:tcBorders>
            <w:vAlign w:val="center"/>
          </w:tcPr>
          <w:p w14:paraId="01A45241">
            <w:pPr>
              <w:pStyle w:val="1414"/>
              <w:widowControl/>
              <w:autoSpaceDN w:val="0"/>
              <w:jc w:val="center"/>
              <w:rPr>
                <w:color w:val="auto"/>
                <w:szCs w:val="24"/>
                <w:highlight w:val="none"/>
              </w:rPr>
            </w:pPr>
            <w:r>
              <w:rPr>
                <w:rFonts w:hint="eastAsia"/>
                <w:color w:val="auto"/>
                <w:szCs w:val="24"/>
                <w:highlight w:val="none"/>
              </w:rPr>
              <w:t>　</w:t>
            </w:r>
          </w:p>
        </w:tc>
        <w:tc>
          <w:tcPr>
            <w:tcW w:w="839" w:type="dxa"/>
            <w:tcBorders>
              <w:top w:val="nil"/>
              <w:left w:val="nil"/>
              <w:bottom w:val="single" w:color="auto" w:sz="4" w:space="0"/>
              <w:right w:val="single" w:color="auto" w:sz="4" w:space="0"/>
            </w:tcBorders>
            <w:vAlign w:val="center"/>
          </w:tcPr>
          <w:p w14:paraId="0C1C4169">
            <w:pPr>
              <w:pStyle w:val="1414"/>
              <w:widowControl/>
              <w:autoSpaceDN w:val="0"/>
              <w:jc w:val="center"/>
              <w:rPr>
                <w:color w:val="auto"/>
                <w:szCs w:val="24"/>
                <w:highlight w:val="none"/>
              </w:rPr>
            </w:pPr>
            <w:r>
              <w:rPr>
                <w:rFonts w:hint="eastAsia"/>
                <w:color w:val="auto"/>
                <w:szCs w:val="24"/>
                <w:highlight w:val="none"/>
              </w:rPr>
              <w:t>　</w:t>
            </w:r>
          </w:p>
        </w:tc>
        <w:tc>
          <w:tcPr>
            <w:tcW w:w="1254" w:type="dxa"/>
            <w:tcBorders>
              <w:top w:val="nil"/>
              <w:left w:val="nil"/>
              <w:bottom w:val="single" w:color="auto" w:sz="4" w:space="0"/>
              <w:right w:val="single" w:color="auto" w:sz="4" w:space="0"/>
            </w:tcBorders>
            <w:vAlign w:val="center"/>
          </w:tcPr>
          <w:p w14:paraId="1ADE2AA6">
            <w:pPr>
              <w:pStyle w:val="1414"/>
              <w:widowControl/>
              <w:autoSpaceDN w:val="0"/>
              <w:jc w:val="center"/>
              <w:rPr>
                <w:color w:val="auto"/>
                <w:szCs w:val="24"/>
                <w:highlight w:val="none"/>
              </w:rPr>
            </w:pPr>
            <w:r>
              <w:rPr>
                <w:rFonts w:hint="eastAsia"/>
                <w:color w:val="auto"/>
                <w:szCs w:val="24"/>
                <w:highlight w:val="none"/>
              </w:rPr>
              <w:t>　</w:t>
            </w:r>
          </w:p>
        </w:tc>
      </w:tr>
      <w:tr w14:paraId="2A5FD078">
        <w:tblPrEx>
          <w:tblCellMar>
            <w:top w:w="0" w:type="dxa"/>
            <w:left w:w="108" w:type="dxa"/>
            <w:bottom w:w="0" w:type="dxa"/>
            <w:right w:w="108" w:type="dxa"/>
          </w:tblCellMar>
        </w:tblPrEx>
        <w:trPr>
          <w:trHeight w:val="567" w:hRule="atLeast"/>
        </w:trPr>
        <w:tc>
          <w:tcPr>
            <w:tcW w:w="540" w:type="dxa"/>
            <w:tcBorders>
              <w:top w:val="nil"/>
              <w:left w:val="single" w:color="auto" w:sz="4" w:space="0"/>
              <w:bottom w:val="single" w:color="auto" w:sz="4" w:space="0"/>
              <w:right w:val="single" w:color="auto" w:sz="4" w:space="0"/>
            </w:tcBorders>
            <w:vAlign w:val="center"/>
          </w:tcPr>
          <w:p w14:paraId="0D59F9E2">
            <w:pPr>
              <w:pStyle w:val="1414"/>
              <w:widowControl/>
              <w:autoSpaceDN w:val="0"/>
              <w:jc w:val="center"/>
              <w:rPr>
                <w:color w:val="auto"/>
                <w:szCs w:val="24"/>
                <w:highlight w:val="none"/>
              </w:rPr>
            </w:pPr>
            <w:r>
              <w:rPr>
                <w:rFonts w:hint="eastAsia"/>
                <w:color w:val="auto"/>
                <w:szCs w:val="24"/>
                <w:highlight w:val="none"/>
              </w:rPr>
              <w:t>　</w:t>
            </w:r>
          </w:p>
        </w:tc>
        <w:tc>
          <w:tcPr>
            <w:tcW w:w="540" w:type="dxa"/>
            <w:tcBorders>
              <w:top w:val="nil"/>
              <w:left w:val="nil"/>
              <w:bottom w:val="single" w:color="auto" w:sz="4" w:space="0"/>
              <w:right w:val="single" w:color="auto" w:sz="4" w:space="0"/>
            </w:tcBorders>
            <w:vAlign w:val="center"/>
          </w:tcPr>
          <w:p w14:paraId="32AC314F">
            <w:pPr>
              <w:pStyle w:val="1414"/>
              <w:widowControl/>
              <w:autoSpaceDN w:val="0"/>
              <w:jc w:val="center"/>
              <w:rPr>
                <w:color w:val="auto"/>
                <w:szCs w:val="24"/>
                <w:highlight w:val="none"/>
              </w:rPr>
            </w:pPr>
            <w:r>
              <w:rPr>
                <w:rFonts w:hint="eastAsia"/>
                <w:color w:val="auto"/>
                <w:szCs w:val="24"/>
                <w:highlight w:val="none"/>
              </w:rPr>
              <w:t>　</w:t>
            </w:r>
          </w:p>
        </w:tc>
        <w:tc>
          <w:tcPr>
            <w:tcW w:w="1612" w:type="dxa"/>
            <w:tcBorders>
              <w:top w:val="nil"/>
              <w:left w:val="nil"/>
              <w:bottom w:val="single" w:color="auto" w:sz="4" w:space="0"/>
              <w:right w:val="single" w:color="auto" w:sz="4" w:space="0"/>
            </w:tcBorders>
            <w:vAlign w:val="center"/>
          </w:tcPr>
          <w:p w14:paraId="1FA372B2">
            <w:pPr>
              <w:pStyle w:val="1414"/>
              <w:widowControl/>
              <w:autoSpaceDN w:val="0"/>
              <w:jc w:val="center"/>
              <w:rPr>
                <w:color w:val="auto"/>
                <w:szCs w:val="24"/>
                <w:highlight w:val="none"/>
              </w:rPr>
            </w:pPr>
            <w:r>
              <w:rPr>
                <w:rFonts w:hint="eastAsia"/>
                <w:color w:val="auto"/>
                <w:szCs w:val="24"/>
                <w:highlight w:val="none"/>
              </w:rPr>
              <w:t>　</w:t>
            </w:r>
          </w:p>
        </w:tc>
        <w:tc>
          <w:tcPr>
            <w:tcW w:w="2177" w:type="dxa"/>
            <w:tcBorders>
              <w:top w:val="nil"/>
              <w:left w:val="nil"/>
              <w:bottom w:val="single" w:color="auto" w:sz="4" w:space="0"/>
              <w:right w:val="single" w:color="auto" w:sz="4" w:space="0"/>
            </w:tcBorders>
            <w:vAlign w:val="center"/>
          </w:tcPr>
          <w:p w14:paraId="1B20E91B">
            <w:pPr>
              <w:pStyle w:val="1414"/>
              <w:widowControl/>
              <w:autoSpaceDN w:val="0"/>
              <w:jc w:val="center"/>
              <w:rPr>
                <w:color w:val="auto"/>
                <w:szCs w:val="24"/>
                <w:highlight w:val="none"/>
              </w:rPr>
            </w:pPr>
            <w:r>
              <w:rPr>
                <w:rFonts w:hint="eastAsia"/>
                <w:color w:val="auto"/>
                <w:szCs w:val="24"/>
                <w:highlight w:val="none"/>
              </w:rPr>
              <w:t>　</w:t>
            </w:r>
          </w:p>
        </w:tc>
        <w:tc>
          <w:tcPr>
            <w:tcW w:w="1375" w:type="dxa"/>
            <w:tcBorders>
              <w:top w:val="nil"/>
              <w:left w:val="nil"/>
              <w:bottom w:val="single" w:color="auto" w:sz="4" w:space="0"/>
              <w:right w:val="single" w:color="auto" w:sz="4" w:space="0"/>
            </w:tcBorders>
            <w:vAlign w:val="center"/>
          </w:tcPr>
          <w:p w14:paraId="454EFAEB">
            <w:pPr>
              <w:pStyle w:val="1414"/>
              <w:widowControl/>
              <w:autoSpaceDN w:val="0"/>
              <w:jc w:val="center"/>
              <w:rPr>
                <w:color w:val="auto"/>
                <w:szCs w:val="24"/>
                <w:highlight w:val="none"/>
              </w:rPr>
            </w:pPr>
            <w:r>
              <w:rPr>
                <w:rFonts w:hint="eastAsia"/>
                <w:color w:val="auto"/>
                <w:szCs w:val="24"/>
                <w:highlight w:val="none"/>
              </w:rPr>
              <w:t>　</w:t>
            </w:r>
          </w:p>
        </w:tc>
        <w:tc>
          <w:tcPr>
            <w:tcW w:w="779" w:type="dxa"/>
            <w:tcBorders>
              <w:top w:val="nil"/>
              <w:left w:val="nil"/>
              <w:bottom w:val="single" w:color="auto" w:sz="4" w:space="0"/>
              <w:right w:val="single" w:color="auto" w:sz="4" w:space="0"/>
            </w:tcBorders>
            <w:vAlign w:val="center"/>
          </w:tcPr>
          <w:p w14:paraId="719A6190">
            <w:pPr>
              <w:pStyle w:val="1414"/>
              <w:widowControl/>
              <w:autoSpaceDN w:val="0"/>
              <w:jc w:val="center"/>
              <w:rPr>
                <w:color w:val="auto"/>
                <w:szCs w:val="24"/>
                <w:highlight w:val="none"/>
              </w:rPr>
            </w:pPr>
            <w:r>
              <w:rPr>
                <w:rFonts w:hint="eastAsia"/>
                <w:color w:val="auto"/>
                <w:szCs w:val="24"/>
                <w:highlight w:val="none"/>
              </w:rPr>
              <w:t>　</w:t>
            </w:r>
          </w:p>
        </w:tc>
        <w:tc>
          <w:tcPr>
            <w:tcW w:w="839" w:type="dxa"/>
            <w:tcBorders>
              <w:top w:val="nil"/>
              <w:left w:val="nil"/>
              <w:bottom w:val="single" w:color="auto" w:sz="4" w:space="0"/>
              <w:right w:val="single" w:color="auto" w:sz="4" w:space="0"/>
            </w:tcBorders>
            <w:vAlign w:val="center"/>
          </w:tcPr>
          <w:p w14:paraId="4F7A3861">
            <w:pPr>
              <w:pStyle w:val="1414"/>
              <w:widowControl/>
              <w:autoSpaceDN w:val="0"/>
              <w:jc w:val="center"/>
              <w:rPr>
                <w:color w:val="auto"/>
                <w:szCs w:val="24"/>
                <w:highlight w:val="none"/>
              </w:rPr>
            </w:pPr>
            <w:r>
              <w:rPr>
                <w:rFonts w:hint="eastAsia"/>
                <w:color w:val="auto"/>
                <w:szCs w:val="24"/>
                <w:highlight w:val="none"/>
              </w:rPr>
              <w:t>　</w:t>
            </w:r>
          </w:p>
        </w:tc>
        <w:tc>
          <w:tcPr>
            <w:tcW w:w="1254" w:type="dxa"/>
            <w:tcBorders>
              <w:top w:val="nil"/>
              <w:left w:val="nil"/>
              <w:bottom w:val="single" w:color="auto" w:sz="4" w:space="0"/>
              <w:right w:val="single" w:color="auto" w:sz="4" w:space="0"/>
            </w:tcBorders>
            <w:vAlign w:val="center"/>
          </w:tcPr>
          <w:p w14:paraId="000D6DFB">
            <w:pPr>
              <w:pStyle w:val="1414"/>
              <w:widowControl/>
              <w:autoSpaceDN w:val="0"/>
              <w:jc w:val="center"/>
              <w:rPr>
                <w:color w:val="auto"/>
                <w:szCs w:val="24"/>
                <w:highlight w:val="none"/>
              </w:rPr>
            </w:pPr>
            <w:r>
              <w:rPr>
                <w:rFonts w:hint="eastAsia"/>
                <w:color w:val="auto"/>
                <w:szCs w:val="24"/>
                <w:highlight w:val="none"/>
              </w:rPr>
              <w:t>　</w:t>
            </w:r>
          </w:p>
        </w:tc>
      </w:tr>
      <w:tr w14:paraId="1568F5AF">
        <w:tblPrEx>
          <w:tblCellMar>
            <w:top w:w="0" w:type="dxa"/>
            <w:left w:w="108" w:type="dxa"/>
            <w:bottom w:w="0" w:type="dxa"/>
            <w:right w:w="108" w:type="dxa"/>
          </w:tblCellMar>
        </w:tblPrEx>
        <w:trPr>
          <w:trHeight w:val="567" w:hRule="atLeast"/>
        </w:trPr>
        <w:tc>
          <w:tcPr>
            <w:tcW w:w="540" w:type="dxa"/>
            <w:tcBorders>
              <w:top w:val="nil"/>
              <w:left w:val="single" w:color="auto" w:sz="4" w:space="0"/>
              <w:bottom w:val="single" w:color="auto" w:sz="4" w:space="0"/>
              <w:right w:val="single" w:color="auto" w:sz="4" w:space="0"/>
            </w:tcBorders>
            <w:vAlign w:val="center"/>
          </w:tcPr>
          <w:p w14:paraId="069DBC2F">
            <w:pPr>
              <w:pStyle w:val="1414"/>
              <w:widowControl/>
              <w:autoSpaceDN w:val="0"/>
              <w:jc w:val="center"/>
              <w:rPr>
                <w:color w:val="auto"/>
                <w:szCs w:val="24"/>
                <w:highlight w:val="none"/>
              </w:rPr>
            </w:pPr>
            <w:r>
              <w:rPr>
                <w:rFonts w:hint="eastAsia"/>
                <w:color w:val="auto"/>
                <w:szCs w:val="24"/>
                <w:highlight w:val="none"/>
              </w:rPr>
              <w:t>　</w:t>
            </w:r>
          </w:p>
        </w:tc>
        <w:tc>
          <w:tcPr>
            <w:tcW w:w="540" w:type="dxa"/>
            <w:tcBorders>
              <w:top w:val="nil"/>
              <w:left w:val="nil"/>
              <w:bottom w:val="single" w:color="auto" w:sz="4" w:space="0"/>
              <w:right w:val="single" w:color="auto" w:sz="4" w:space="0"/>
            </w:tcBorders>
            <w:vAlign w:val="center"/>
          </w:tcPr>
          <w:p w14:paraId="50F63BDD">
            <w:pPr>
              <w:pStyle w:val="1414"/>
              <w:widowControl/>
              <w:autoSpaceDN w:val="0"/>
              <w:jc w:val="center"/>
              <w:rPr>
                <w:color w:val="auto"/>
                <w:szCs w:val="24"/>
                <w:highlight w:val="none"/>
              </w:rPr>
            </w:pPr>
            <w:r>
              <w:rPr>
                <w:rFonts w:hint="eastAsia"/>
                <w:color w:val="auto"/>
                <w:szCs w:val="24"/>
                <w:highlight w:val="none"/>
              </w:rPr>
              <w:t>　</w:t>
            </w:r>
          </w:p>
        </w:tc>
        <w:tc>
          <w:tcPr>
            <w:tcW w:w="1612" w:type="dxa"/>
            <w:tcBorders>
              <w:top w:val="nil"/>
              <w:left w:val="nil"/>
              <w:bottom w:val="single" w:color="auto" w:sz="4" w:space="0"/>
              <w:right w:val="single" w:color="auto" w:sz="4" w:space="0"/>
            </w:tcBorders>
            <w:vAlign w:val="center"/>
          </w:tcPr>
          <w:p w14:paraId="3206B87B">
            <w:pPr>
              <w:pStyle w:val="1414"/>
              <w:widowControl/>
              <w:autoSpaceDN w:val="0"/>
              <w:jc w:val="center"/>
              <w:rPr>
                <w:color w:val="auto"/>
                <w:szCs w:val="24"/>
                <w:highlight w:val="none"/>
              </w:rPr>
            </w:pPr>
            <w:r>
              <w:rPr>
                <w:rFonts w:hint="eastAsia"/>
                <w:color w:val="auto"/>
                <w:szCs w:val="24"/>
                <w:highlight w:val="none"/>
              </w:rPr>
              <w:t>　</w:t>
            </w:r>
          </w:p>
        </w:tc>
        <w:tc>
          <w:tcPr>
            <w:tcW w:w="2177" w:type="dxa"/>
            <w:tcBorders>
              <w:top w:val="nil"/>
              <w:left w:val="nil"/>
              <w:bottom w:val="single" w:color="auto" w:sz="4" w:space="0"/>
              <w:right w:val="single" w:color="auto" w:sz="4" w:space="0"/>
            </w:tcBorders>
            <w:vAlign w:val="center"/>
          </w:tcPr>
          <w:p w14:paraId="18900C2E">
            <w:pPr>
              <w:pStyle w:val="1414"/>
              <w:widowControl/>
              <w:autoSpaceDN w:val="0"/>
              <w:jc w:val="center"/>
              <w:rPr>
                <w:color w:val="auto"/>
                <w:szCs w:val="24"/>
                <w:highlight w:val="none"/>
              </w:rPr>
            </w:pPr>
            <w:r>
              <w:rPr>
                <w:rFonts w:hint="eastAsia"/>
                <w:color w:val="auto"/>
                <w:szCs w:val="24"/>
                <w:highlight w:val="none"/>
              </w:rPr>
              <w:t>　</w:t>
            </w:r>
          </w:p>
        </w:tc>
        <w:tc>
          <w:tcPr>
            <w:tcW w:w="1375" w:type="dxa"/>
            <w:tcBorders>
              <w:top w:val="nil"/>
              <w:left w:val="nil"/>
              <w:bottom w:val="single" w:color="auto" w:sz="4" w:space="0"/>
              <w:right w:val="single" w:color="auto" w:sz="4" w:space="0"/>
            </w:tcBorders>
            <w:vAlign w:val="center"/>
          </w:tcPr>
          <w:p w14:paraId="12035E67">
            <w:pPr>
              <w:pStyle w:val="1414"/>
              <w:widowControl/>
              <w:autoSpaceDN w:val="0"/>
              <w:jc w:val="center"/>
              <w:rPr>
                <w:color w:val="auto"/>
                <w:szCs w:val="24"/>
                <w:highlight w:val="none"/>
              </w:rPr>
            </w:pPr>
            <w:r>
              <w:rPr>
                <w:rFonts w:hint="eastAsia"/>
                <w:color w:val="auto"/>
                <w:szCs w:val="24"/>
                <w:highlight w:val="none"/>
              </w:rPr>
              <w:t>　</w:t>
            </w:r>
          </w:p>
        </w:tc>
        <w:tc>
          <w:tcPr>
            <w:tcW w:w="779" w:type="dxa"/>
            <w:tcBorders>
              <w:top w:val="nil"/>
              <w:left w:val="nil"/>
              <w:bottom w:val="single" w:color="auto" w:sz="4" w:space="0"/>
              <w:right w:val="single" w:color="auto" w:sz="4" w:space="0"/>
            </w:tcBorders>
            <w:vAlign w:val="center"/>
          </w:tcPr>
          <w:p w14:paraId="3CDCCE81">
            <w:pPr>
              <w:pStyle w:val="1414"/>
              <w:widowControl/>
              <w:autoSpaceDN w:val="0"/>
              <w:jc w:val="center"/>
              <w:rPr>
                <w:color w:val="auto"/>
                <w:szCs w:val="24"/>
                <w:highlight w:val="none"/>
              </w:rPr>
            </w:pPr>
            <w:r>
              <w:rPr>
                <w:rFonts w:hint="eastAsia"/>
                <w:color w:val="auto"/>
                <w:szCs w:val="24"/>
                <w:highlight w:val="none"/>
              </w:rPr>
              <w:t>　</w:t>
            </w:r>
          </w:p>
        </w:tc>
        <w:tc>
          <w:tcPr>
            <w:tcW w:w="839" w:type="dxa"/>
            <w:tcBorders>
              <w:top w:val="nil"/>
              <w:left w:val="nil"/>
              <w:bottom w:val="single" w:color="auto" w:sz="4" w:space="0"/>
              <w:right w:val="single" w:color="auto" w:sz="4" w:space="0"/>
            </w:tcBorders>
            <w:vAlign w:val="center"/>
          </w:tcPr>
          <w:p w14:paraId="2753EE57">
            <w:pPr>
              <w:pStyle w:val="1414"/>
              <w:widowControl/>
              <w:autoSpaceDN w:val="0"/>
              <w:jc w:val="center"/>
              <w:rPr>
                <w:color w:val="auto"/>
                <w:szCs w:val="24"/>
                <w:highlight w:val="none"/>
              </w:rPr>
            </w:pPr>
            <w:r>
              <w:rPr>
                <w:rFonts w:hint="eastAsia"/>
                <w:color w:val="auto"/>
                <w:szCs w:val="24"/>
                <w:highlight w:val="none"/>
              </w:rPr>
              <w:t>　</w:t>
            </w:r>
          </w:p>
        </w:tc>
        <w:tc>
          <w:tcPr>
            <w:tcW w:w="1254" w:type="dxa"/>
            <w:tcBorders>
              <w:top w:val="nil"/>
              <w:left w:val="nil"/>
              <w:bottom w:val="single" w:color="auto" w:sz="4" w:space="0"/>
              <w:right w:val="single" w:color="auto" w:sz="4" w:space="0"/>
            </w:tcBorders>
            <w:vAlign w:val="center"/>
          </w:tcPr>
          <w:p w14:paraId="322DE4F9">
            <w:pPr>
              <w:pStyle w:val="1414"/>
              <w:widowControl/>
              <w:autoSpaceDN w:val="0"/>
              <w:jc w:val="center"/>
              <w:rPr>
                <w:color w:val="auto"/>
                <w:szCs w:val="24"/>
                <w:highlight w:val="none"/>
              </w:rPr>
            </w:pPr>
            <w:r>
              <w:rPr>
                <w:rFonts w:hint="eastAsia"/>
                <w:color w:val="auto"/>
                <w:szCs w:val="24"/>
                <w:highlight w:val="none"/>
              </w:rPr>
              <w:t>　</w:t>
            </w:r>
          </w:p>
        </w:tc>
      </w:tr>
      <w:tr w14:paraId="4E78671B">
        <w:tblPrEx>
          <w:tblCellMar>
            <w:top w:w="0" w:type="dxa"/>
            <w:left w:w="108" w:type="dxa"/>
            <w:bottom w:w="0" w:type="dxa"/>
            <w:right w:w="108" w:type="dxa"/>
          </w:tblCellMar>
        </w:tblPrEx>
        <w:trPr>
          <w:trHeight w:val="567" w:hRule="atLeast"/>
        </w:trPr>
        <w:tc>
          <w:tcPr>
            <w:tcW w:w="540" w:type="dxa"/>
            <w:tcBorders>
              <w:top w:val="nil"/>
              <w:left w:val="single" w:color="auto" w:sz="4" w:space="0"/>
              <w:bottom w:val="single" w:color="auto" w:sz="4" w:space="0"/>
              <w:right w:val="single" w:color="auto" w:sz="4" w:space="0"/>
            </w:tcBorders>
            <w:vAlign w:val="center"/>
          </w:tcPr>
          <w:p w14:paraId="54B3722E">
            <w:pPr>
              <w:pStyle w:val="1414"/>
              <w:widowControl/>
              <w:autoSpaceDN w:val="0"/>
              <w:jc w:val="center"/>
              <w:rPr>
                <w:color w:val="auto"/>
                <w:szCs w:val="24"/>
                <w:highlight w:val="none"/>
              </w:rPr>
            </w:pPr>
            <w:r>
              <w:rPr>
                <w:rFonts w:hint="eastAsia"/>
                <w:color w:val="auto"/>
                <w:szCs w:val="24"/>
                <w:highlight w:val="none"/>
              </w:rPr>
              <w:t>　</w:t>
            </w:r>
          </w:p>
        </w:tc>
        <w:tc>
          <w:tcPr>
            <w:tcW w:w="540" w:type="dxa"/>
            <w:tcBorders>
              <w:top w:val="nil"/>
              <w:left w:val="nil"/>
              <w:bottom w:val="single" w:color="auto" w:sz="4" w:space="0"/>
              <w:right w:val="single" w:color="auto" w:sz="4" w:space="0"/>
            </w:tcBorders>
            <w:vAlign w:val="center"/>
          </w:tcPr>
          <w:p w14:paraId="7FC80213">
            <w:pPr>
              <w:pStyle w:val="1414"/>
              <w:widowControl/>
              <w:autoSpaceDN w:val="0"/>
              <w:jc w:val="center"/>
              <w:rPr>
                <w:color w:val="auto"/>
                <w:szCs w:val="24"/>
                <w:highlight w:val="none"/>
              </w:rPr>
            </w:pPr>
            <w:r>
              <w:rPr>
                <w:rFonts w:hint="eastAsia"/>
                <w:color w:val="auto"/>
                <w:szCs w:val="24"/>
                <w:highlight w:val="none"/>
              </w:rPr>
              <w:t>　</w:t>
            </w:r>
          </w:p>
        </w:tc>
        <w:tc>
          <w:tcPr>
            <w:tcW w:w="1612" w:type="dxa"/>
            <w:tcBorders>
              <w:top w:val="nil"/>
              <w:left w:val="nil"/>
              <w:bottom w:val="single" w:color="auto" w:sz="4" w:space="0"/>
              <w:right w:val="single" w:color="auto" w:sz="4" w:space="0"/>
            </w:tcBorders>
            <w:vAlign w:val="center"/>
          </w:tcPr>
          <w:p w14:paraId="4AB1F93A">
            <w:pPr>
              <w:pStyle w:val="1414"/>
              <w:widowControl/>
              <w:autoSpaceDN w:val="0"/>
              <w:jc w:val="center"/>
              <w:rPr>
                <w:color w:val="auto"/>
                <w:szCs w:val="24"/>
                <w:highlight w:val="none"/>
              </w:rPr>
            </w:pPr>
            <w:r>
              <w:rPr>
                <w:rFonts w:hint="eastAsia"/>
                <w:color w:val="auto"/>
                <w:szCs w:val="24"/>
                <w:highlight w:val="none"/>
              </w:rPr>
              <w:t>　</w:t>
            </w:r>
          </w:p>
        </w:tc>
        <w:tc>
          <w:tcPr>
            <w:tcW w:w="2177" w:type="dxa"/>
            <w:tcBorders>
              <w:top w:val="nil"/>
              <w:left w:val="nil"/>
              <w:bottom w:val="single" w:color="auto" w:sz="4" w:space="0"/>
              <w:right w:val="single" w:color="auto" w:sz="4" w:space="0"/>
            </w:tcBorders>
            <w:vAlign w:val="center"/>
          </w:tcPr>
          <w:p w14:paraId="1C0F6961">
            <w:pPr>
              <w:pStyle w:val="1414"/>
              <w:widowControl/>
              <w:autoSpaceDN w:val="0"/>
              <w:jc w:val="center"/>
              <w:rPr>
                <w:color w:val="auto"/>
                <w:szCs w:val="24"/>
                <w:highlight w:val="none"/>
              </w:rPr>
            </w:pPr>
            <w:r>
              <w:rPr>
                <w:rFonts w:hint="eastAsia"/>
                <w:color w:val="auto"/>
                <w:szCs w:val="24"/>
                <w:highlight w:val="none"/>
              </w:rPr>
              <w:t>　</w:t>
            </w:r>
          </w:p>
        </w:tc>
        <w:tc>
          <w:tcPr>
            <w:tcW w:w="1375" w:type="dxa"/>
            <w:tcBorders>
              <w:top w:val="nil"/>
              <w:left w:val="nil"/>
              <w:bottom w:val="single" w:color="auto" w:sz="4" w:space="0"/>
              <w:right w:val="single" w:color="auto" w:sz="4" w:space="0"/>
            </w:tcBorders>
            <w:vAlign w:val="center"/>
          </w:tcPr>
          <w:p w14:paraId="146F65DB">
            <w:pPr>
              <w:pStyle w:val="1414"/>
              <w:widowControl/>
              <w:autoSpaceDN w:val="0"/>
              <w:jc w:val="center"/>
              <w:rPr>
                <w:color w:val="auto"/>
                <w:szCs w:val="24"/>
                <w:highlight w:val="none"/>
              </w:rPr>
            </w:pPr>
            <w:r>
              <w:rPr>
                <w:rFonts w:hint="eastAsia"/>
                <w:color w:val="auto"/>
                <w:szCs w:val="24"/>
                <w:highlight w:val="none"/>
              </w:rPr>
              <w:t>　</w:t>
            </w:r>
          </w:p>
        </w:tc>
        <w:tc>
          <w:tcPr>
            <w:tcW w:w="779" w:type="dxa"/>
            <w:tcBorders>
              <w:top w:val="nil"/>
              <w:left w:val="nil"/>
              <w:bottom w:val="single" w:color="auto" w:sz="4" w:space="0"/>
              <w:right w:val="single" w:color="auto" w:sz="4" w:space="0"/>
            </w:tcBorders>
            <w:vAlign w:val="center"/>
          </w:tcPr>
          <w:p w14:paraId="5139CE16">
            <w:pPr>
              <w:pStyle w:val="1414"/>
              <w:widowControl/>
              <w:autoSpaceDN w:val="0"/>
              <w:jc w:val="center"/>
              <w:rPr>
                <w:color w:val="auto"/>
                <w:szCs w:val="24"/>
                <w:highlight w:val="none"/>
              </w:rPr>
            </w:pPr>
            <w:r>
              <w:rPr>
                <w:rFonts w:hint="eastAsia"/>
                <w:color w:val="auto"/>
                <w:szCs w:val="24"/>
                <w:highlight w:val="none"/>
              </w:rPr>
              <w:t>　</w:t>
            </w:r>
          </w:p>
        </w:tc>
        <w:tc>
          <w:tcPr>
            <w:tcW w:w="839" w:type="dxa"/>
            <w:tcBorders>
              <w:top w:val="nil"/>
              <w:left w:val="nil"/>
              <w:bottom w:val="single" w:color="auto" w:sz="4" w:space="0"/>
              <w:right w:val="single" w:color="auto" w:sz="4" w:space="0"/>
            </w:tcBorders>
            <w:vAlign w:val="center"/>
          </w:tcPr>
          <w:p w14:paraId="336AD1AA">
            <w:pPr>
              <w:pStyle w:val="1414"/>
              <w:widowControl/>
              <w:autoSpaceDN w:val="0"/>
              <w:jc w:val="center"/>
              <w:rPr>
                <w:color w:val="auto"/>
                <w:szCs w:val="24"/>
                <w:highlight w:val="none"/>
              </w:rPr>
            </w:pPr>
            <w:r>
              <w:rPr>
                <w:rFonts w:hint="eastAsia"/>
                <w:color w:val="auto"/>
                <w:szCs w:val="24"/>
                <w:highlight w:val="none"/>
              </w:rPr>
              <w:t>　</w:t>
            </w:r>
          </w:p>
        </w:tc>
        <w:tc>
          <w:tcPr>
            <w:tcW w:w="1254" w:type="dxa"/>
            <w:tcBorders>
              <w:top w:val="nil"/>
              <w:left w:val="nil"/>
              <w:bottom w:val="single" w:color="auto" w:sz="4" w:space="0"/>
              <w:right w:val="single" w:color="auto" w:sz="4" w:space="0"/>
            </w:tcBorders>
            <w:vAlign w:val="center"/>
          </w:tcPr>
          <w:p w14:paraId="2E332DAC">
            <w:pPr>
              <w:pStyle w:val="1414"/>
              <w:widowControl/>
              <w:autoSpaceDN w:val="0"/>
              <w:jc w:val="center"/>
              <w:rPr>
                <w:color w:val="auto"/>
                <w:szCs w:val="24"/>
                <w:highlight w:val="none"/>
              </w:rPr>
            </w:pPr>
            <w:r>
              <w:rPr>
                <w:rFonts w:hint="eastAsia"/>
                <w:color w:val="auto"/>
                <w:szCs w:val="24"/>
                <w:highlight w:val="none"/>
              </w:rPr>
              <w:t>　</w:t>
            </w:r>
          </w:p>
        </w:tc>
      </w:tr>
    </w:tbl>
    <w:p w14:paraId="7023EB14">
      <w:pPr>
        <w:pStyle w:val="1414"/>
        <w:autoSpaceDN w:val="0"/>
        <w:spacing w:line="360" w:lineRule="auto"/>
        <w:rPr>
          <w:color w:val="auto"/>
          <w:szCs w:val="24"/>
          <w:highlight w:val="none"/>
        </w:rPr>
      </w:pPr>
      <w:r>
        <w:rPr>
          <w:rFonts w:hint="eastAsia"/>
          <w:color w:val="auto"/>
          <w:szCs w:val="24"/>
          <w:highlight w:val="none"/>
        </w:rPr>
        <w:t>注：供应商须在本表中详细列出拟派往本项目工作的服务团队人员情况，并提供关键资质（包括但不限于职称、学历、社保等）的证明材料。</w:t>
      </w:r>
    </w:p>
    <w:p w14:paraId="265F5034">
      <w:pPr>
        <w:pStyle w:val="1414"/>
        <w:autoSpaceDN w:val="0"/>
        <w:spacing w:line="360" w:lineRule="auto"/>
        <w:rPr>
          <w:color w:val="auto"/>
          <w:szCs w:val="24"/>
          <w:highlight w:val="none"/>
        </w:rPr>
      </w:pPr>
    </w:p>
    <w:p w14:paraId="779B7491">
      <w:pPr>
        <w:pStyle w:val="1414"/>
        <w:autoSpaceDN w:val="0"/>
        <w:spacing w:line="360" w:lineRule="auto"/>
        <w:rPr>
          <w:color w:val="auto"/>
          <w:szCs w:val="24"/>
          <w:highlight w:val="none"/>
        </w:rPr>
      </w:pPr>
    </w:p>
    <w:p w14:paraId="2C7E49E3">
      <w:pPr>
        <w:pStyle w:val="1414"/>
        <w:autoSpaceDN w:val="0"/>
        <w:spacing w:line="360" w:lineRule="auto"/>
        <w:rPr>
          <w:color w:val="auto"/>
          <w:szCs w:val="24"/>
          <w:highlight w:val="none"/>
        </w:rPr>
      </w:pPr>
      <w:r>
        <w:rPr>
          <w:rFonts w:hint="eastAsia"/>
          <w:color w:val="auto"/>
          <w:szCs w:val="24"/>
          <w:highlight w:val="none"/>
        </w:rPr>
        <w:t>供应商代表签字</w:t>
      </w:r>
      <w:r>
        <w:rPr>
          <w:color w:val="auto"/>
          <w:szCs w:val="24"/>
          <w:highlight w:val="none"/>
          <w:u w:val="single"/>
        </w:rPr>
        <w:t xml:space="preserve">                            </w:t>
      </w:r>
    </w:p>
    <w:p w14:paraId="12B1C93A">
      <w:pPr>
        <w:pStyle w:val="1414"/>
        <w:autoSpaceDN w:val="0"/>
        <w:spacing w:line="360" w:lineRule="auto"/>
        <w:rPr>
          <w:color w:val="auto"/>
          <w:szCs w:val="24"/>
          <w:highlight w:val="none"/>
        </w:rPr>
      </w:pPr>
      <w:r>
        <w:rPr>
          <w:rFonts w:hint="eastAsia"/>
          <w:color w:val="auto"/>
          <w:szCs w:val="24"/>
          <w:highlight w:val="none"/>
        </w:rPr>
        <w:t>供应商名称（加盖公章）</w:t>
      </w:r>
      <w:r>
        <w:rPr>
          <w:color w:val="auto"/>
          <w:szCs w:val="24"/>
          <w:highlight w:val="none"/>
          <w:u w:val="single"/>
        </w:rPr>
        <w:t xml:space="preserve">                    </w:t>
      </w:r>
    </w:p>
    <w:p w14:paraId="049CD6FD">
      <w:pPr>
        <w:pStyle w:val="1414"/>
        <w:autoSpaceDN w:val="0"/>
        <w:spacing w:line="360" w:lineRule="auto"/>
        <w:rPr>
          <w:color w:val="auto"/>
          <w:szCs w:val="24"/>
          <w:highlight w:val="none"/>
          <w:u w:val="single"/>
        </w:rPr>
      </w:pPr>
      <w:r>
        <w:rPr>
          <w:rFonts w:hint="eastAsia"/>
          <w:color w:val="auto"/>
          <w:szCs w:val="24"/>
          <w:highlight w:val="none"/>
        </w:rPr>
        <w:t>日期</w:t>
      </w:r>
      <w:r>
        <w:rPr>
          <w:color w:val="auto"/>
          <w:szCs w:val="24"/>
          <w:highlight w:val="none"/>
          <w:u w:val="single"/>
        </w:rPr>
        <w:t xml:space="preserve">                                      </w:t>
      </w:r>
    </w:p>
    <w:p w14:paraId="2C75F2AA">
      <w:pPr>
        <w:pStyle w:val="1413"/>
        <w:rPr>
          <w:rFonts w:ascii="宋体"/>
          <w:color w:val="auto"/>
          <w:kern w:val="0"/>
          <w:sz w:val="24"/>
          <w:szCs w:val="24"/>
          <w:highlight w:val="none"/>
        </w:rPr>
      </w:pPr>
      <w:r>
        <w:rPr>
          <w:bCs/>
          <w:color w:val="auto"/>
          <w:sz w:val="24"/>
          <w:szCs w:val="24"/>
          <w:highlight w:val="none"/>
        </w:rPr>
        <w:br w:type="page"/>
      </w:r>
      <w:r>
        <w:rPr>
          <w:rFonts w:hint="eastAsia" w:ascii="宋体"/>
          <w:color w:val="auto"/>
          <w:kern w:val="0"/>
          <w:sz w:val="24"/>
          <w:szCs w:val="24"/>
          <w:highlight w:val="none"/>
        </w:rPr>
        <w:t>附件10</w:t>
      </w:r>
    </w:p>
    <w:p w14:paraId="6D5FA01E">
      <w:pPr>
        <w:jc w:val="center"/>
        <w:outlineLvl w:val="1"/>
        <w:rPr>
          <w:rFonts w:ascii="黑体" w:eastAsia="黑体"/>
          <w:color w:val="auto"/>
          <w:sz w:val="32"/>
          <w:szCs w:val="32"/>
          <w:highlight w:val="none"/>
        </w:rPr>
      </w:pPr>
      <w:bookmarkStart w:id="613" w:name="_Toc7956"/>
      <w:r>
        <w:rPr>
          <w:rFonts w:hint="eastAsia" w:ascii="宋体"/>
          <w:b/>
          <w:color w:val="auto"/>
          <w:sz w:val="24"/>
          <w:highlight w:val="none"/>
        </w:rPr>
        <w:t>拟投入本项目的项目经理简介</w:t>
      </w:r>
      <w:bookmarkEnd w:id="613"/>
    </w:p>
    <w:p w14:paraId="64767F59">
      <w:pPr>
        <w:pStyle w:val="1414"/>
        <w:autoSpaceDN w:val="0"/>
        <w:rPr>
          <w:color w:val="auto"/>
          <w:szCs w:val="21"/>
          <w:highlight w:val="none"/>
        </w:rPr>
      </w:pPr>
    </w:p>
    <w:tbl>
      <w:tblPr>
        <w:tblStyle w:val="62"/>
        <w:tblW w:w="0" w:type="auto"/>
        <w:jc w:val="center"/>
        <w:tblLayout w:type="fixed"/>
        <w:tblCellMar>
          <w:top w:w="0" w:type="dxa"/>
          <w:left w:w="108" w:type="dxa"/>
          <w:bottom w:w="0" w:type="dxa"/>
          <w:right w:w="108" w:type="dxa"/>
        </w:tblCellMar>
      </w:tblPr>
      <w:tblGrid>
        <w:gridCol w:w="1422"/>
        <w:gridCol w:w="213"/>
        <w:gridCol w:w="525"/>
        <w:gridCol w:w="1080"/>
        <w:gridCol w:w="1080"/>
        <w:gridCol w:w="1080"/>
        <w:gridCol w:w="212"/>
        <w:gridCol w:w="1260"/>
        <w:gridCol w:w="381"/>
        <w:gridCol w:w="2070"/>
      </w:tblGrid>
      <w:tr w14:paraId="29BBD8F7">
        <w:tblPrEx>
          <w:tblCellMar>
            <w:top w:w="0" w:type="dxa"/>
            <w:left w:w="108" w:type="dxa"/>
            <w:bottom w:w="0" w:type="dxa"/>
            <w:right w:w="108" w:type="dxa"/>
          </w:tblCellMar>
        </w:tblPrEx>
        <w:trPr>
          <w:trHeight w:val="600" w:hRule="atLeast"/>
          <w:jc w:val="center"/>
        </w:trPr>
        <w:tc>
          <w:tcPr>
            <w:tcW w:w="1422" w:type="dxa"/>
            <w:tcBorders>
              <w:top w:val="single" w:color="000000" w:sz="8" w:space="0"/>
              <w:left w:val="single" w:color="000000" w:sz="8" w:space="0"/>
              <w:bottom w:val="single" w:color="000000" w:sz="8" w:space="0"/>
              <w:right w:val="single" w:color="000000" w:sz="8" w:space="0"/>
            </w:tcBorders>
            <w:vAlign w:val="center"/>
          </w:tcPr>
          <w:p w14:paraId="70B0747F">
            <w:pPr>
              <w:pStyle w:val="1414"/>
              <w:widowControl/>
              <w:autoSpaceDN w:val="0"/>
              <w:spacing w:line="440" w:lineRule="exact"/>
              <w:jc w:val="center"/>
              <w:rPr>
                <w:color w:val="auto"/>
                <w:szCs w:val="24"/>
                <w:highlight w:val="none"/>
              </w:rPr>
            </w:pPr>
            <w:r>
              <w:rPr>
                <w:rFonts w:hint="eastAsia"/>
                <w:color w:val="auto"/>
                <w:szCs w:val="24"/>
                <w:highlight w:val="none"/>
              </w:rPr>
              <w:t>姓</w:t>
            </w:r>
            <w:r>
              <w:rPr>
                <w:color w:val="auto"/>
                <w:szCs w:val="24"/>
                <w:highlight w:val="none"/>
              </w:rPr>
              <w:t xml:space="preserve"> </w:t>
            </w:r>
            <w:r>
              <w:rPr>
                <w:rFonts w:hint="eastAsia"/>
                <w:color w:val="auto"/>
                <w:szCs w:val="24"/>
                <w:highlight w:val="none"/>
              </w:rPr>
              <w:t>名</w:t>
            </w:r>
          </w:p>
        </w:tc>
        <w:tc>
          <w:tcPr>
            <w:tcW w:w="1818" w:type="dxa"/>
            <w:gridSpan w:val="3"/>
            <w:tcBorders>
              <w:top w:val="single" w:color="000000" w:sz="8" w:space="0"/>
              <w:left w:val="nil"/>
              <w:bottom w:val="single" w:color="000000" w:sz="8" w:space="0"/>
              <w:right w:val="single" w:color="000000" w:sz="8" w:space="0"/>
            </w:tcBorders>
            <w:vAlign w:val="center"/>
          </w:tcPr>
          <w:p w14:paraId="2EB74C7A">
            <w:pPr>
              <w:pStyle w:val="1414"/>
              <w:widowControl/>
              <w:autoSpaceDN w:val="0"/>
              <w:spacing w:line="440" w:lineRule="exact"/>
              <w:jc w:val="center"/>
              <w:rPr>
                <w:color w:val="auto"/>
                <w:szCs w:val="24"/>
                <w:highlight w:val="none"/>
              </w:rPr>
            </w:pPr>
          </w:p>
        </w:tc>
        <w:tc>
          <w:tcPr>
            <w:tcW w:w="1080" w:type="dxa"/>
            <w:tcBorders>
              <w:top w:val="single" w:color="000000" w:sz="8" w:space="0"/>
              <w:left w:val="nil"/>
              <w:bottom w:val="single" w:color="000000" w:sz="8" w:space="0"/>
              <w:right w:val="single" w:color="000000" w:sz="8" w:space="0"/>
            </w:tcBorders>
            <w:vAlign w:val="center"/>
          </w:tcPr>
          <w:p w14:paraId="477B1463">
            <w:pPr>
              <w:pStyle w:val="1414"/>
              <w:widowControl/>
              <w:autoSpaceDN w:val="0"/>
              <w:spacing w:line="440" w:lineRule="exact"/>
              <w:jc w:val="center"/>
              <w:rPr>
                <w:color w:val="auto"/>
                <w:szCs w:val="24"/>
                <w:highlight w:val="none"/>
              </w:rPr>
            </w:pPr>
            <w:r>
              <w:rPr>
                <w:rFonts w:hint="eastAsia"/>
                <w:color w:val="auto"/>
                <w:szCs w:val="24"/>
                <w:highlight w:val="none"/>
              </w:rPr>
              <w:t>年</w:t>
            </w:r>
            <w:r>
              <w:rPr>
                <w:color w:val="auto"/>
                <w:szCs w:val="24"/>
                <w:highlight w:val="none"/>
              </w:rPr>
              <w:t xml:space="preserve">  </w:t>
            </w:r>
            <w:r>
              <w:rPr>
                <w:rFonts w:hint="eastAsia"/>
                <w:color w:val="auto"/>
                <w:szCs w:val="24"/>
                <w:highlight w:val="none"/>
              </w:rPr>
              <w:t>龄</w:t>
            </w:r>
          </w:p>
        </w:tc>
        <w:tc>
          <w:tcPr>
            <w:tcW w:w="1080" w:type="dxa"/>
            <w:tcBorders>
              <w:top w:val="single" w:color="000000" w:sz="8" w:space="0"/>
              <w:left w:val="nil"/>
              <w:bottom w:val="single" w:color="000000" w:sz="8" w:space="0"/>
              <w:right w:val="single" w:color="000000" w:sz="8" w:space="0"/>
            </w:tcBorders>
            <w:vAlign w:val="center"/>
          </w:tcPr>
          <w:p w14:paraId="18BCD321">
            <w:pPr>
              <w:pStyle w:val="1414"/>
              <w:widowControl/>
              <w:autoSpaceDN w:val="0"/>
              <w:spacing w:line="440" w:lineRule="exact"/>
              <w:jc w:val="center"/>
              <w:rPr>
                <w:color w:val="auto"/>
                <w:szCs w:val="24"/>
                <w:highlight w:val="none"/>
              </w:rPr>
            </w:pPr>
          </w:p>
        </w:tc>
        <w:tc>
          <w:tcPr>
            <w:tcW w:w="1853" w:type="dxa"/>
            <w:gridSpan w:val="3"/>
            <w:tcBorders>
              <w:top w:val="single" w:color="000000" w:sz="8" w:space="0"/>
              <w:left w:val="nil"/>
              <w:bottom w:val="single" w:color="000000" w:sz="8" w:space="0"/>
              <w:right w:val="single" w:color="000000" w:sz="8" w:space="0"/>
            </w:tcBorders>
            <w:vAlign w:val="center"/>
          </w:tcPr>
          <w:p w14:paraId="09DBA5EF">
            <w:pPr>
              <w:pStyle w:val="1414"/>
              <w:widowControl/>
              <w:autoSpaceDN w:val="0"/>
              <w:spacing w:line="440" w:lineRule="exact"/>
              <w:jc w:val="center"/>
              <w:rPr>
                <w:color w:val="auto"/>
                <w:szCs w:val="24"/>
                <w:highlight w:val="none"/>
              </w:rPr>
            </w:pPr>
            <w:r>
              <w:rPr>
                <w:rFonts w:hint="eastAsia"/>
                <w:color w:val="auto"/>
                <w:szCs w:val="24"/>
                <w:highlight w:val="none"/>
              </w:rPr>
              <w:t>专业</w:t>
            </w:r>
          </w:p>
        </w:tc>
        <w:tc>
          <w:tcPr>
            <w:tcW w:w="2070" w:type="dxa"/>
            <w:tcBorders>
              <w:top w:val="single" w:color="000000" w:sz="8" w:space="0"/>
              <w:left w:val="nil"/>
              <w:bottom w:val="single" w:color="000000" w:sz="8" w:space="0"/>
              <w:right w:val="single" w:color="000000" w:sz="8" w:space="0"/>
            </w:tcBorders>
            <w:vAlign w:val="center"/>
          </w:tcPr>
          <w:p w14:paraId="5598C4C8">
            <w:pPr>
              <w:pStyle w:val="1414"/>
              <w:widowControl/>
              <w:autoSpaceDN w:val="0"/>
              <w:spacing w:line="440" w:lineRule="exact"/>
              <w:jc w:val="center"/>
              <w:rPr>
                <w:color w:val="auto"/>
                <w:szCs w:val="24"/>
                <w:highlight w:val="none"/>
              </w:rPr>
            </w:pPr>
          </w:p>
        </w:tc>
      </w:tr>
      <w:tr w14:paraId="3564360A">
        <w:tblPrEx>
          <w:tblCellMar>
            <w:top w:w="0" w:type="dxa"/>
            <w:left w:w="108" w:type="dxa"/>
            <w:bottom w:w="0" w:type="dxa"/>
            <w:right w:w="108" w:type="dxa"/>
          </w:tblCellMar>
        </w:tblPrEx>
        <w:trPr>
          <w:trHeight w:val="600" w:hRule="atLeast"/>
          <w:jc w:val="center"/>
        </w:trPr>
        <w:tc>
          <w:tcPr>
            <w:tcW w:w="1422" w:type="dxa"/>
            <w:tcBorders>
              <w:top w:val="nil"/>
              <w:left w:val="single" w:color="000000" w:sz="8" w:space="0"/>
              <w:bottom w:val="single" w:color="000000" w:sz="8" w:space="0"/>
              <w:right w:val="single" w:color="000000" w:sz="8" w:space="0"/>
            </w:tcBorders>
            <w:vAlign w:val="center"/>
          </w:tcPr>
          <w:p w14:paraId="2FAC7E9E">
            <w:pPr>
              <w:pStyle w:val="1414"/>
              <w:widowControl/>
              <w:autoSpaceDN w:val="0"/>
              <w:spacing w:line="440" w:lineRule="exact"/>
              <w:jc w:val="center"/>
              <w:rPr>
                <w:color w:val="auto"/>
                <w:szCs w:val="24"/>
                <w:highlight w:val="none"/>
              </w:rPr>
            </w:pPr>
            <w:r>
              <w:rPr>
                <w:rFonts w:hint="eastAsia"/>
                <w:color w:val="auto"/>
                <w:szCs w:val="24"/>
                <w:highlight w:val="none"/>
              </w:rPr>
              <w:t>职</w:t>
            </w:r>
            <w:r>
              <w:rPr>
                <w:color w:val="auto"/>
                <w:szCs w:val="24"/>
                <w:highlight w:val="none"/>
              </w:rPr>
              <w:t xml:space="preserve"> </w:t>
            </w:r>
            <w:r>
              <w:rPr>
                <w:rFonts w:hint="eastAsia"/>
                <w:color w:val="auto"/>
                <w:szCs w:val="24"/>
                <w:highlight w:val="none"/>
              </w:rPr>
              <w:t>称</w:t>
            </w:r>
          </w:p>
        </w:tc>
        <w:tc>
          <w:tcPr>
            <w:tcW w:w="1818" w:type="dxa"/>
            <w:gridSpan w:val="3"/>
            <w:tcBorders>
              <w:top w:val="single" w:color="000000" w:sz="8" w:space="0"/>
              <w:left w:val="nil"/>
              <w:bottom w:val="single" w:color="000000" w:sz="8" w:space="0"/>
              <w:right w:val="single" w:color="000000" w:sz="8" w:space="0"/>
            </w:tcBorders>
            <w:vAlign w:val="center"/>
          </w:tcPr>
          <w:p w14:paraId="46E77EF6">
            <w:pPr>
              <w:pStyle w:val="1414"/>
              <w:widowControl/>
              <w:autoSpaceDN w:val="0"/>
              <w:spacing w:line="440" w:lineRule="exact"/>
              <w:jc w:val="center"/>
              <w:rPr>
                <w:color w:val="auto"/>
                <w:szCs w:val="24"/>
                <w:highlight w:val="none"/>
              </w:rPr>
            </w:pPr>
          </w:p>
        </w:tc>
        <w:tc>
          <w:tcPr>
            <w:tcW w:w="1080" w:type="dxa"/>
            <w:tcBorders>
              <w:top w:val="nil"/>
              <w:left w:val="nil"/>
              <w:bottom w:val="single" w:color="000000" w:sz="8" w:space="0"/>
              <w:right w:val="single" w:color="000000" w:sz="8" w:space="0"/>
            </w:tcBorders>
            <w:vAlign w:val="center"/>
          </w:tcPr>
          <w:p w14:paraId="279F5721">
            <w:pPr>
              <w:pStyle w:val="1414"/>
              <w:widowControl/>
              <w:autoSpaceDN w:val="0"/>
              <w:spacing w:line="288" w:lineRule="auto"/>
              <w:jc w:val="center"/>
              <w:rPr>
                <w:color w:val="auto"/>
                <w:szCs w:val="24"/>
                <w:highlight w:val="none"/>
              </w:rPr>
            </w:pPr>
            <w:r>
              <w:rPr>
                <w:rFonts w:hint="eastAsia"/>
                <w:color w:val="auto"/>
                <w:szCs w:val="24"/>
                <w:highlight w:val="none"/>
              </w:rPr>
              <w:t>公司单位职务</w:t>
            </w:r>
          </w:p>
        </w:tc>
        <w:tc>
          <w:tcPr>
            <w:tcW w:w="1080" w:type="dxa"/>
            <w:tcBorders>
              <w:top w:val="nil"/>
              <w:left w:val="nil"/>
              <w:bottom w:val="single" w:color="000000" w:sz="8" w:space="0"/>
              <w:right w:val="single" w:color="000000" w:sz="8" w:space="0"/>
            </w:tcBorders>
            <w:vAlign w:val="center"/>
          </w:tcPr>
          <w:p w14:paraId="7CDC1FE1">
            <w:pPr>
              <w:pStyle w:val="1414"/>
              <w:widowControl/>
              <w:autoSpaceDN w:val="0"/>
              <w:spacing w:line="440" w:lineRule="exact"/>
              <w:jc w:val="center"/>
              <w:rPr>
                <w:color w:val="auto"/>
                <w:szCs w:val="24"/>
                <w:highlight w:val="none"/>
              </w:rPr>
            </w:pPr>
          </w:p>
        </w:tc>
        <w:tc>
          <w:tcPr>
            <w:tcW w:w="1853" w:type="dxa"/>
            <w:gridSpan w:val="3"/>
            <w:tcBorders>
              <w:top w:val="single" w:color="000000" w:sz="8" w:space="0"/>
              <w:left w:val="nil"/>
              <w:bottom w:val="single" w:color="000000" w:sz="8" w:space="0"/>
              <w:right w:val="single" w:color="000000" w:sz="8" w:space="0"/>
            </w:tcBorders>
            <w:vAlign w:val="center"/>
          </w:tcPr>
          <w:p w14:paraId="53740A68">
            <w:pPr>
              <w:pStyle w:val="1414"/>
              <w:widowControl/>
              <w:autoSpaceDN w:val="0"/>
              <w:spacing w:line="440" w:lineRule="exact"/>
              <w:jc w:val="center"/>
              <w:rPr>
                <w:color w:val="auto"/>
                <w:szCs w:val="24"/>
                <w:highlight w:val="none"/>
              </w:rPr>
            </w:pPr>
            <w:r>
              <w:rPr>
                <w:rFonts w:hint="eastAsia"/>
                <w:color w:val="auto"/>
                <w:szCs w:val="24"/>
                <w:highlight w:val="none"/>
              </w:rPr>
              <w:t>拟在本项目担任职务</w:t>
            </w:r>
          </w:p>
        </w:tc>
        <w:tc>
          <w:tcPr>
            <w:tcW w:w="2070" w:type="dxa"/>
            <w:tcBorders>
              <w:top w:val="nil"/>
              <w:left w:val="nil"/>
              <w:bottom w:val="single" w:color="000000" w:sz="8" w:space="0"/>
              <w:right w:val="single" w:color="000000" w:sz="8" w:space="0"/>
            </w:tcBorders>
            <w:vAlign w:val="center"/>
          </w:tcPr>
          <w:p w14:paraId="275F75C5">
            <w:pPr>
              <w:pStyle w:val="1414"/>
              <w:widowControl/>
              <w:autoSpaceDN w:val="0"/>
              <w:spacing w:line="440" w:lineRule="exact"/>
              <w:jc w:val="center"/>
              <w:rPr>
                <w:color w:val="auto"/>
                <w:szCs w:val="24"/>
                <w:highlight w:val="none"/>
              </w:rPr>
            </w:pPr>
          </w:p>
        </w:tc>
      </w:tr>
      <w:tr w14:paraId="74D35349">
        <w:tblPrEx>
          <w:tblCellMar>
            <w:top w:w="0" w:type="dxa"/>
            <w:left w:w="108" w:type="dxa"/>
            <w:bottom w:w="0" w:type="dxa"/>
            <w:right w:w="108" w:type="dxa"/>
          </w:tblCellMar>
        </w:tblPrEx>
        <w:trPr>
          <w:trHeight w:val="664" w:hRule="atLeast"/>
          <w:jc w:val="center"/>
        </w:trPr>
        <w:tc>
          <w:tcPr>
            <w:tcW w:w="1422" w:type="dxa"/>
            <w:tcBorders>
              <w:top w:val="nil"/>
              <w:left w:val="single" w:color="000000" w:sz="8" w:space="0"/>
              <w:bottom w:val="single" w:color="000000" w:sz="8" w:space="0"/>
              <w:right w:val="single" w:color="000000" w:sz="8" w:space="0"/>
            </w:tcBorders>
            <w:vAlign w:val="center"/>
          </w:tcPr>
          <w:p w14:paraId="07DD8376">
            <w:pPr>
              <w:pStyle w:val="1414"/>
              <w:widowControl/>
              <w:autoSpaceDN w:val="0"/>
              <w:spacing w:line="440" w:lineRule="exact"/>
              <w:jc w:val="center"/>
              <w:rPr>
                <w:color w:val="auto"/>
                <w:szCs w:val="24"/>
                <w:highlight w:val="none"/>
              </w:rPr>
            </w:pPr>
            <w:r>
              <w:rPr>
                <w:rFonts w:hint="eastAsia"/>
                <w:color w:val="auto"/>
                <w:szCs w:val="24"/>
                <w:highlight w:val="none"/>
              </w:rPr>
              <w:t>毕业学校</w:t>
            </w:r>
          </w:p>
        </w:tc>
        <w:tc>
          <w:tcPr>
            <w:tcW w:w="7901" w:type="dxa"/>
            <w:gridSpan w:val="9"/>
            <w:tcBorders>
              <w:top w:val="single" w:color="000000" w:sz="8" w:space="0"/>
              <w:left w:val="nil"/>
              <w:bottom w:val="single" w:color="000000" w:sz="8" w:space="0"/>
              <w:right w:val="single" w:color="000000" w:sz="8" w:space="0"/>
            </w:tcBorders>
            <w:vAlign w:val="center"/>
          </w:tcPr>
          <w:p w14:paraId="3878B937">
            <w:pPr>
              <w:pStyle w:val="1414"/>
              <w:widowControl/>
              <w:autoSpaceDN w:val="0"/>
              <w:spacing w:line="440" w:lineRule="exact"/>
              <w:ind w:left="-4" w:firstLine="90"/>
              <w:jc w:val="center"/>
              <w:rPr>
                <w:color w:val="auto"/>
                <w:szCs w:val="24"/>
                <w:highlight w:val="none"/>
              </w:rPr>
            </w:pPr>
            <w:r>
              <w:rPr>
                <w:color w:val="auto"/>
                <w:szCs w:val="24"/>
                <w:highlight w:val="none"/>
              </w:rPr>
              <w:t xml:space="preserve">    </w:t>
            </w:r>
            <w:r>
              <w:rPr>
                <w:rFonts w:hint="eastAsia"/>
                <w:color w:val="auto"/>
                <w:szCs w:val="24"/>
                <w:highlight w:val="none"/>
              </w:rPr>
              <w:t>年</w:t>
            </w:r>
            <w:r>
              <w:rPr>
                <w:color w:val="auto"/>
                <w:szCs w:val="24"/>
                <w:highlight w:val="none"/>
              </w:rPr>
              <w:t xml:space="preserve">  </w:t>
            </w:r>
            <w:r>
              <w:rPr>
                <w:rFonts w:hint="eastAsia"/>
                <w:color w:val="auto"/>
                <w:szCs w:val="24"/>
                <w:highlight w:val="none"/>
              </w:rPr>
              <w:t>月毕业于</w:t>
            </w:r>
            <w:r>
              <w:rPr>
                <w:color w:val="auto"/>
                <w:szCs w:val="24"/>
                <w:highlight w:val="none"/>
              </w:rPr>
              <w:t xml:space="preserve">                </w:t>
            </w:r>
            <w:r>
              <w:rPr>
                <w:rFonts w:hint="eastAsia"/>
                <w:color w:val="auto"/>
                <w:szCs w:val="24"/>
                <w:highlight w:val="none"/>
              </w:rPr>
              <w:t>学校</w:t>
            </w:r>
            <w:r>
              <w:rPr>
                <w:color w:val="auto"/>
                <w:szCs w:val="24"/>
                <w:highlight w:val="none"/>
              </w:rPr>
              <w:t xml:space="preserve">           </w:t>
            </w:r>
            <w:r>
              <w:rPr>
                <w:rFonts w:hint="eastAsia"/>
                <w:color w:val="auto"/>
                <w:szCs w:val="24"/>
                <w:highlight w:val="none"/>
              </w:rPr>
              <w:t>专业，学制</w:t>
            </w:r>
            <w:r>
              <w:rPr>
                <w:color w:val="auto"/>
                <w:szCs w:val="24"/>
                <w:highlight w:val="none"/>
              </w:rPr>
              <w:t xml:space="preserve">   </w:t>
            </w:r>
            <w:r>
              <w:rPr>
                <w:rFonts w:hint="eastAsia"/>
                <w:color w:val="auto"/>
                <w:szCs w:val="24"/>
                <w:highlight w:val="none"/>
              </w:rPr>
              <w:t>年</w:t>
            </w:r>
          </w:p>
        </w:tc>
      </w:tr>
      <w:tr w14:paraId="78976801">
        <w:tblPrEx>
          <w:tblCellMar>
            <w:top w:w="0" w:type="dxa"/>
            <w:left w:w="108" w:type="dxa"/>
            <w:bottom w:w="0" w:type="dxa"/>
            <w:right w:w="108" w:type="dxa"/>
          </w:tblCellMar>
        </w:tblPrEx>
        <w:trPr>
          <w:trHeight w:val="600" w:hRule="atLeast"/>
          <w:jc w:val="center"/>
        </w:trPr>
        <w:tc>
          <w:tcPr>
            <w:tcW w:w="9323" w:type="dxa"/>
            <w:gridSpan w:val="10"/>
            <w:tcBorders>
              <w:top w:val="single" w:color="000000" w:sz="8" w:space="0"/>
              <w:left w:val="single" w:color="000000" w:sz="8" w:space="0"/>
              <w:bottom w:val="single" w:color="000000" w:sz="8" w:space="0"/>
              <w:right w:val="single" w:color="000000" w:sz="8" w:space="0"/>
            </w:tcBorders>
            <w:vAlign w:val="center"/>
          </w:tcPr>
          <w:p w14:paraId="0759D9A5">
            <w:pPr>
              <w:pStyle w:val="1414"/>
              <w:widowControl/>
              <w:autoSpaceDN w:val="0"/>
              <w:spacing w:line="440" w:lineRule="exact"/>
              <w:jc w:val="center"/>
              <w:rPr>
                <w:color w:val="auto"/>
                <w:szCs w:val="24"/>
                <w:highlight w:val="none"/>
              </w:rPr>
            </w:pPr>
            <w:r>
              <w:rPr>
                <w:rFonts w:hint="eastAsia"/>
                <w:color w:val="auto"/>
                <w:szCs w:val="24"/>
                <w:highlight w:val="none"/>
              </w:rPr>
              <w:t>经历</w:t>
            </w:r>
          </w:p>
        </w:tc>
      </w:tr>
      <w:tr w14:paraId="0D96D219">
        <w:tblPrEx>
          <w:tblCellMar>
            <w:top w:w="0" w:type="dxa"/>
            <w:left w:w="108" w:type="dxa"/>
            <w:bottom w:w="0" w:type="dxa"/>
            <w:right w:w="108" w:type="dxa"/>
          </w:tblCellMar>
        </w:tblPrEx>
        <w:trPr>
          <w:trHeight w:val="455" w:hRule="atLeast"/>
          <w:jc w:val="center"/>
        </w:trPr>
        <w:tc>
          <w:tcPr>
            <w:tcW w:w="1635" w:type="dxa"/>
            <w:gridSpan w:val="2"/>
            <w:tcBorders>
              <w:top w:val="single" w:color="000000" w:sz="8" w:space="0"/>
              <w:left w:val="single" w:color="000000" w:sz="8" w:space="0"/>
              <w:bottom w:val="single" w:color="000000" w:sz="8" w:space="0"/>
              <w:right w:val="single" w:color="000000" w:sz="8" w:space="0"/>
            </w:tcBorders>
            <w:vAlign w:val="center"/>
          </w:tcPr>
          <w:p w14:paraId="3A6704DA">
            <w:pPr>
              <w:pStyle w:val="1414"/>
              <w:widowControl/>
              <w:autoSpaceDN w:val="0"/>
              <w:rPr>
                <w:color w:val="auto"/>
                <w:szCs w:val="24"/>
                <w:highlight w:val="none"/>
              </w:rPr>
            </w:pPr>
            <w:r>
              <w:rPr>
                <w:color w:val="auto"/>
                <w:szCs w:val="24"/>
                <w:highlight w:val="none"/>
              </w:rPr>
              <w:t xml:space="preserve">  </w:t>
            </w:r>
            <w:r>
              <w:rPr>
                <w:rFonts w:hint="eastAsia"/>
                <w:color w:val="auto"/>
                <w:szCs w:val="24"/>
                <w:highlight w:val="none"/>
              </w:rPr>
              <w:t>年～</w:t>
            </w:r>
            <w:r>
              <w:rPr>
                <w:color w:val="auto"/>
                <w:szCs w:val="24"/>
                <w:highlight w:val="none"/>
              </w:rPr>
              <w:t xml:space="preserve">  </w:t>
            </w:r>
            <w:r>
              <w:rPr>
                <w:rFonts w:hint="eastAsia"/>
                <w:color w:val="auto"/>
                <w:szCs w:val="24"/>
                <w:highlight w:val="none"/>
              </w:rPr>
              <w:t>年</w:t>
            </w:r>
          </w:p>
        </w:tc>
        <w:tc>
          <w:tcPr>
            <w:tcW w:w="3977" w:type="dxa"/>
            <w:gridSpan w:val="5"/>
            <w:tcBorders>
              <w:top w:val="single" w:color="000000" w:sz="8" w:space="0"/>
              <w:left w:val="nil"/>
              <w:bottom w:val="single" w:color="000000" w:sz="8" w:space="0"/>
              <w:right w:val="single" w:color="000000" w:sz="8" w:space="0"/>
            </w:tcBorders>
            <w:vAlign w:val="center"/>
          </w:tcPr>
          <w:p w14:paraId="45EE1059">
            <w:pPr>
              <w:pStyle w:val="1414"/>
              <w:widowControl/>
              <w:autoSpaceDN w:val="0"/>
              <w:ind w:firstLine="420"/>
              <w:jc w:val="center"/>
              <w:rPr>
                <w:color w:val="auto"/>
                <w:szCs w:val="24"/>
                <w:highlight w:val="none"/>
              </w:rPr>
            </w:pPr>
            <w:r>
              <w:rPr>
                <w:rFonts w:hint="eastAsia"/>
                <w:color w:val="auto"/>
                <w:szCs w:val="24"/>
                <w:highlight w:val="none"/>
              </w:rPr>
              <w:t>参加过的项目名称</w:t>
            </w:r>
          </w:p>
        </w:tc>
        <w:tc>
          <w:tcPr>
            <w:tcW w:w="1260" w:type="dxa"/>
            <w:tcBorders>
              <w:top w:val="nil"/>
              <w:left w:val="nil"/>
              <w:bottom w:val="single" w:color="000000" w:sz="8" w:space="0"/>
              <w:right w:val="single" w:color="000000" w:sz="8" w:space="0"/>
            </w:tcBorders>
            <w:vAlign w:val="center"/>
          </w:tcPr>
          <w:p w14:paraId="6BAE4B3C">
            <w:pPr>
              <w:pStyle w:val="1414"/>
              <w:widowControl/>
              <w:autoSpaceDN w:val="0"/>
              <w:jc w:val="center"/>
              <w:rPr>
                <w:color w:val="auto"/>
                <w:szCs w:val="24"/>
                <w:highlight w:val="none"/>
              </w:rPr>
            </w:pPr>
            <w:r>
              <w:rPr>
                <w:rFonts w:hint="eastAsia"/>
                <w:color w:val="auto"/>
                <w:szCs w:val="24"/>
                <w:highlight w:val="none"/>
              </w:rPr>
              <w:t>担任何职</w:t>
            </w:r>
          </w:p>
        </w:tc>
        <w:tc>
          <w:tcPr>
            <w:tcW w:w="2451" w:type="dxa"/>
            <w:gridSpan w:val="2"/>
            <w:tcBorders>
              <w:top w:val="single" w:color="000000" w:sz="8" w:space="0"/>
              <w:left w:val="nil"/>
              <w:bottom w:val="single" w:color="000000" w:sz="8" w:space="0"/>
              <w:right w:val="single" w:color="000000" w:sz="8" w:space="0"/>
            </w:tcBorders>
            <w:vAlign w:val="center"/>
          </w:tcPr>
          <w:p w14:paraId="5F906188">
            <w:pPr>
              <w:pStyle w:val="1414"/>
              <w:widowControl/>
              <w:autoSpaceDN w:val="0"/>
              <w:rPr>
                <w:color w:val="auto"/>
                <w:szCs w:val="24"/>
                <w:highlight w:val="none"/>
              </w:rPr>
            </w:pPr>
            <w:r>
              <w:rPr>
                <w:rFonts w:hint="eastAsia"/>
                <w:color w:val="auto"/>
                <w:szCs w:val="24"/>
                <w:highlight w:val="none"/>
              </w:rPr>
              <w:t>用户代表及联系电话</w:t>
            </w:r>
          </w:p>
        </w:tc>
      </w:tr>
      <w:tr w14:paraId="31A2EA06">
        <w:tblPrEx>
          <w:tblCellMar>
            <w:top w:w="0" w:type="dxa"/>
            <w:left w:w="108" w:type="dxa"/>
            <w:bottom w:w="0" w:type="dxa"/>
            <w:right w:w="108" w:type="dxa"/>
          </w:tblCellMar>
        </w:tblPrEx>
        <w:trPr>
          <w:trHeight w:val="284" w:hRule="atLeast"/>
          <w:jc w:val="center"/>
        </w:trPr>
        <w:tc>
          <w:tcPr>
            <w:tcW w:w="1635" w:type="dxa"/>
            <w:gridSpan w:val="2"/>
            <w:tcBorders>
              <w:top w:val="single" w:color="000000" w:sz="8" w:space="0"/>
              <w:left w:val="single" w:color="000000" w:sz="8" w:space="0"/>
              <w:bottom w:val="single" w:color="000000" w:sz="8" w:space="0"/>
              <w:right w:val="single" w:color="000000" w:sz="8" w:space="0"/>
            </w:tcBorders>
            <w:vAlign w:val="center"/>
          </w:tcPr>
          <w:p w14:paraId="648DC3B4">
            <w:pPr>
              <w:pStyle w:val="1414"/>
              <w:widowControl/>
              <w:autoSpaceDN w:val="0"/>
              <w:spacing w:line="440" w:lineRule="exact"/>
              <w:jc w:val="center"/>
              <w:rPr>
                <w:color w:val="auto"/>
                <w:szCs w:val="24"/>
                <w:highlight w:val="none"/>
              </w:rPr>
            </w:pPr>
          </w:p>
        </w:tc>
        <w:tc>
          <w:tcPr>
            <w:tcW w:w="3977" w:type="dxa"/>
            <w:gridSpan w:val="5"/>
            <w:tcBorders>
              <w:top w:val="single" w:color="000000" w:sz="8" w:space="0"/>
              <w:left w:val="nil"/>
              <w:bottom w:val="single" w:color="000000" w:sz="8" w:space="0"/>
              <w:right w:val="single" w:color="000000" w:sz="8" w:space="0"/>
            </w:tcBorders>
            <w:vAlign w:val="center"/>
          </w:tcPr>
          <w:p w14:paraId="011BAE69">
            <w:pPr>
              <w:pStyle w:val="1414"/>
              <w:widowControl/>
              <w:autoSpaceDN w:val="0"/>
              <w:spacing w:line="440" w:lineRule="exact"/>
              <w:jc w:val="center"/>
              <w:rPr>
                <w:color w:val="auto"/>
                <w:szCs w:val="24"/>
                <w:highlight w:val="none"/>
              </w:rPr>
            </w:pPr>
          </w:p>
        </w:tc>
        <w:tc>
          <w:tcPr>
            <w:tcW w:w="1260" w:type="dxa"/>
            <w:tcBorders>
              <w:top w:val="nil"/>
              <w:left w:val="nil"/>
              <w:bottom w:val="single" w:color="000000" w:sz="8" w:space="0"/>
              <w:right w:val="single" w:color="000000" w:sz="8" w:space="0"/>
            </w:tcBorders>
            <w:vAlign w:val="center"/>
          </w:tcPr>
          <w:p w14:paraId="0F8596DC">
            <w:pPr>
              <w:pStyle w:val="1414"/>
              <w:widowControl/>
              <w:autoSpaceDN w:val="0"/>
              <w:spacing w:line="440" w:lineRule="exact"/>
              <w:jc w:val="center"/>
              <w:rPr>
                <w:color w:val="auto"/>
                <w:szCs w:val="24"/>
                <w:highlight w:val="none"/>
              </w:rPr>
            </w:pPr>
          </w:p>
        </w:tc>
        <w:tc>
          <w:tcPr>
            <w:tcW w:w="2451" w:type="dxa"/>
            <w:gridSpan w:val="2"/>
            <w:tcBorders>
              <w:top w:val="single" w:color="000000" w:sz="8" w:space="0"/>
              <w:left w:val="nil"/>
              <w:bottom w:val="single" w:color="000000" w:sz="8" w:space="0"/>
              <w:right w:val="single" w:color="000000" w:sz="8" w:space="0"/>
            </w:tcBorders>
            <w:vAlign w:val="center"/>
          </w:tcPr>
          <w:p w14:paraId="26293816">
            <w:pPr>
              <w:pStyle w:val="1414"/>
              <w:widowControl/>
              <w:autoSpaceDN w:val="0"/>
              <w:spacing w:line="440" w:lineRule="exact"/>
              <w:jc w:val="center"/>
              <w:rPr>
                <w:color w:val="auto"/>
                <w:szCs w:val="24"/>
                <w:highlight w:val="none"/>
              </w:rPr>
            </w:pPr>
          </w:p>
        </w:tc>
      </w:tr>
      <w:tr w14:paraId="4A3E8875">
        <w:tblPrEx>
          <w:tblCellMar>
            <w:top w:w="0" w:type="dxa"/>
            <w:left w:w="108" w:type="dxa"/>
            <w:bottom w:w="0" w:type="dxa"/>
            <w:right w:w="108" w:type="dxa"/>
          </w:tblCellMar>
        </w:tblPrEx>
        <w:trPr>
          <w:trHeight w:val="284" w:hRule="atLeast"/>
          <w:jc w:val="center"/>
        </w:trPr>
        <w:tc>
          <w:tcPr>
            <w:tcW w:w="1635" w:type="dxa"/>
            <w:gridSpan w:val="2"/>
            <w:tcBorders>
              <w:top w:val="single" w:color="000000" w:sz="8" w:space="0"/>
              <w:left w:val="single" w:color="000000" w:sz="8" w:space="0"/>
              <w:bottom w:val="single" w:color="000000" w:sz="8" w:space="0"/>
              <w:right w:val="single" w:color="000000" w:sz="8" w:space="0"/>
            </w:tcBorders>
            <w:vAlign w:val="center"/>
          </w:tcPr>
          <w:p w14:paraId="0C707171">
            <w:pPr>
              <w:pStyle w:val="1414"/>
              <w:widowControl/>
              <w:autoSpaceDN w:val="0"/>
              <w:spacing w:line="440" w:lineRule="exact"/>
              <w:jc w:val="center"/>
              <w:rPr>
                <w:color w:val="auto"/>
                <w:szCs w:val="24"/>
                <w:highlight w:val="none"/>
              </w:rPr>
            </w:pPr>
          </w:p>
        </w:tc>
        <w:tc>
          <w:tcPr>
            <w:tcW w:w="3977" w:type="dxa"/>
            <w:gridSpan w:val="5"/>
            <w:tcBorders>
              <w:top w:val="single" w:color="000000" w:sz="8" w:space="0"/>
              <w:left w:val="nil"/>
              <w:bottom w:val="single" w:color="000000" w:sz="8" w:space="0"/>
              <w:right w:val="single" w:color="000000" w:sz="8" w:space="0"/>
            </w:tcBorders>
            <w:vAlign w:val="center"/>
          </w:tcPr>
          <w:p w14:paraId="4AB1E808">
            <w:pPr>
              <w:pStyle w:val="1414"/>
              <w:widowControl/>
              <w:autoSpaceDN w:val="0"/>
              <w:spacing w:line="440" w:lineRule="exact"/>
              <w:jc w:val="center"/>
              <w:rPr>
                <w:color w:val="auto"/>
                <w:szCs w:val="24"/>
                <w:highlight w:val="none"/>
              </w:rPr>
            </w:pPr>
          </w:p>
        </w:tc>
        <w:tc>
          <w:tcPr>
            <w:tcW w:w="1260" w:type="dxa"/>
            <w:tcBorders>
              <w:top w:val="nil"/>
              <w:left w:val="nil"/>
              <w:bottom w:val="single" w:color="000000" w:sz="8" w:space="0"/>
              <w:right w:val="single" w:color="000000" w:sz="8" w:space="0"/>
            </w:tcBorders>
            <w:vAlign w:val="center"/>
          </w:tcPr>
          <w:p w14:paraId="5A385A48">
            <w:pPr>
              <w:pStyle w:val="1414"/>
              <w:widowControl/>
              <w:autoSpaceDN w:val="0"/>
              <w:spacing w:line="440" w:lineRule="exact"/>
              <w:jc w:val="center"/>
              <w:rPr>
                <w:color w:val="auto"/>
                <w:szCs w:val="24"/>
                <w:highlight w:val="none"/>
              </w:rPr>
            </w:pPr>
          </w:p>
        </w:tc>
        <w:tc>
          <w:tcPr>
            <w:tcW w:w="2451" w:type="dxa"/>
            <w:gridSpan w:val="2"/>
            <w:tcBorders>
              <w:top w:val="single" w:color="000000" w:sz="8" w:space="0"/>
              <w:left w:val="nil"/>
              <w:bottom w:val="single" w:color="000000" w:sz="8" w:space="0"/>
              <w:right w:val="single" w:color="000000" w:sz="8" w:space="0"/>
            </w:tcBorders>
            <w:vAlign w:val="center"/>
          </w:tcPr>
          <w:p w14:paraId="7A4C005A">
            <w:pPr>
              <w:pStyle w:val="1414"/>
              <w:widowControl/>
              <w:autoSpaceDN w:val="0"/>
              <w:spacing w:line="440" w:lineRule="exact"/>
              <w:jc w:val="center"/>
              <w:rPr>
                <w:color w:val="auto"/>
                <w:szCs w:val="24"/>
                <w:highlight w:val="none"/>
              </w:rPr>
            </w:pPr>
          </w:p>
        </w:tc>
      </w:tr>
      <w:tr w14:paraId="5B978CB6">
        <w:tblPrEx>
          <w:tblCellMar>
            <w:top w:w="0" w:type="dxa"/>
            <w:left w:w="108" w:type="dxa"/>
            <w:bottom w:w="0" w:type="dxa"/>
            <w:right w:w="108" w:type="dxa"/>
          </w:tblCellMar>
        </w:tblPrEx>
        <w:trPr>
          <w:trHeight w:val="284" w:hRule="atLeast"/>
          <w:jc w:val="center"/>
        </w:trPr>
        <w:tc>
          <w:tcPr>
            <w:tcW w:w="1635" w:type="dxa"/>
            <w:gridSpan w:val="2"/>
            <w:tcBorders>
              <w:top w:val="single" w:color="000000" w:sz="8" w:space="0"/>
              <w:left w:val="single" w:color="000000" w:sz="8" w:space="0"/>
              <w:bottom w:val="single" w:color="000000" w:sz="8" w:space="0"/>
              <w:right w:val="single" w:color="000000" w:sz="8" w:space="0"/>
            </w:tcBorders>
            <w:vAlign w:val="center"/>
          </w:tcPr>
          <w:p w14:paraId="03E3EAF5">
            <w:pPr>
              <w:pStyle w:val="1414"/>
              <w:widowControl/>
              <w:autoSpaceDN w:val="0"/>
              <w:spacing w:line="440" w:lineRule="exact"/>
              <w:jc w:val="center"/>
              <w:rPr>
                <w:color w:val="auto"/>
                <w:szCs w:val="24"/>
                <w:highlight w:val="none"/>
              </w:rPr>
            </w:pPr>
          </w:p>
        </w:tc>
        <w:tc>
          <w:tcPr>
            <w:tcW w:w="3977" w:type="dxa"/>
            <w:gridSpan w:val="5"/>
            <w:tcBorders>
              <w:top w:val="single" w:color="000000" w:sz="8" w:space="0"/>
              <w:left w:val="nil"/>
              <w:bottom w:val="single" w:color="000000" w:sz="8" w:space="0"/>
              <w:right w:val="single" w:color="000000" w:sz="8" w:space="0"/>
            </w:tcBorders>
            <w:vAlign w:val="center"/>
          </w:tcPr>
          <w:p w14:paraId="4CDB7ED7">
            <w:pPr>
              <w:pStyle w:val="1414"/>
              <w:widowControl/>
              <w:autoSpaceDN w:val="0"/>
              <w:spacing w:line="440" w:lineRule="exact"/>
              <w:jc w:val="center"/>
              <w:rPr>
                <w:color w:val="auto"/>
                <w:szCs w:val="24"/>
                <w:highlight w:val="none"/>
              </w:rPr>
            </w:pPr>
          </w:p>
        </w:tc>
        <w:tc>
          <w:tcPr>
            <w:tcW w:w="1260" w:type="dxa"/>
            <w:tcBorders>
              <w:top w:val="nil"/>
              <w:left w:val="nil"/>
              <w:bottom w:val="single" w:color="000000" w:sz="8" w:space="0"/>
              <w:right w:val="single" w:color="000000" w:sz="8" w:space="0"/>
            </w:tcBorders>
            <w:vAlign w:val="center"/>
          </w:tcPr>
          <w:p w14:paraId="2ABDB3B5">
            <w:pPr>
              <w:pStyle w:val="1414"/>
              <w:widowControl/>
              <w:autoSpaceDN w:val="0"/>
              <w:spacing w:line="440" w:lineRule="exact"/>
              <w:jc w:val="center"/>
              <w:rPr>
                <w:color w:val="auto"/>
                <w:szCs w:val="24"/>
                <w:highlight w:val="none"/>
              </w:rPr>
            </w:pPr>
          </w:p>
        </w:tc>
        <w:tc>
          <w:tcPr>
            <w:tcW w:w="2451" w:type="dxa"/>
            <w:gridSpan w:val="2"/>
            <w:tcBorders>
              <w:top w:val="single" w:color="000000" w:sz="8" w:space="0"/>
              <w:left w:val="nil"/>
              <w:bottom w:val="single" w:color="000000" w:sz="8" w:space="0"/>
              <w:right w:val="single" w:color="000000" w:sz="8" w:space="0"/>
            </w:tcBorders>
            <w:vAlign w:val="center"/>
          </w:tcPr>
          <w:p w14:paraId="19E31D34">
            <w:pPr>
              <w:pStyle w:val="1414"/>
              <w:widowControl/>
              <w:autoSpaceDN w:val="0"/>
              <w:spacing w:line="440" w:lineRule="exact"/>
              <w:jc w:val="center"/>
              <w:rPr>
                <w:color w:val="auto"/>
                <w:szCs w:val="24"/>
                <w:highlight w:val="none"/>
              </w:rPr>
            </w:pPr>
          </w:p>
        </w:tc>
      </w:tr>
      <w:tr w14:paraId="70D0D111">
        <w:tblPrEx>
          <w:tblCellMar>
            <w:top w:w="0" w:type="dxa"/>
            <w:left w:w="108" w:type="dxa"/>
            <w:bottom w:w="0" w:type="dxa"/>
            <w:right w:w="108" w:type="dxa"/>
          </w:tblCellMar>
        </w:tblPrEx>
        <w:trPr>
          <w:trHeight w:val="284" w:hRule="atLeast"/>
          <w:jc w:val="center"/>
        </w:trPr>
        <w:tc>
          <w:tcPr>
            <w:tcW w:w="1635" w:type="dxa"/>
            <w:gridSpan w:val="2"/>
            <w:tcBorders>
              <w:top w:val="single" w:color="000000" w:sz="8" w:space="0"/>
              <w:left w:val="single" w:color="000000" w:sz="8" w:space="0"/>
              <w:bottom w:val="single" w:color="000000" w:sz="8" w:space="0"/>
              <w:right w:val="single" w:color="000000" w:sz="8" w:space="0"/>
            </w:tcBorders>
            <w:vAlign w:val="center"/>
          </w:tcPr>
          <w:p w14:paraId="35BEEA27">
            <w:pPr>
              <w:pStyle w:val="1414"/>
              <w:widowControl/>
              <w:autoSpaceDN w:val="0"/>
              <w:spacing w:line="440" w:lineRule="exact"/>
              <w:jc w:val="center"/>
              <w:rPr>
                <w:color w:val="auto"/>
                <w:szCs w:val="24"/>
                <w:highlight w:val="none"/>
              </w:rPr>
            </w:pPr>
          </w:p>
        </w:tc>
        <w:tc>
          <w:tcPr>
            <w:tcW w:w="3977" w:type="dxa"/>
            <w:gridSpan w:val="5"/>
            <w:tcBorders>
              <w:top w:val="single" w:color="000000" w:sz="8" w:space="0"/>
              <w:left w:val="nil"/>
              <w:bottom w:val="single" w:color="000000" w:sz="8" w:space="0"/>
              <w:right w:val="single" w:color="000000" w:sz="8" w:space="0"/>
            </w:tcBorders>
            <w:vAlign w:val="center"/>
          </w:tcPr>
          <w:p w14:paraId="5A0D310D">
            <w:pPr>
              <w:pStyle w:val="1414"/>
              <w:widowControl/>
              <w:autoSpaceDN w:val="0"/>
              <w:spacing w:line="440" w:lineRule="exact"/>
              <w:jc w:val="center"/>
              <w:rPr>
                <w:color w:val="auto"/>
                <w:szCs w:val="24"/>
                <w:highlight w:val="none"/>
              </w:rPr>
            </w:pPr>
          </w:p>
        </w:tc>
        <w:tc>
          <w:tcPr>
            <w:tcW w:w="1260" w:type="dxa"/>
            <w:tcBorders>
              <w:top w:val="nil"/>
              <w:left w:val="nil"/>
              <w:bottom w:val="single" w:color="000000" w:sz="8" w:space="0"/>
              <w:right w:val="single" w:color="000000" w:sz="8" w:space="0"/>
            </w:tcBorders>
            <w:vAlign w:val="center"/>
          </w:tcPr>
          <w:p w14:paraId="2E2DA270">
            <w:pPr>
              <w:pStyle w:val="1414"/>
              <w:widowControl/>
              <w:autoSpaceDN w:val="0"/>
              <w:spacing w:line="440" w:lineRule="exact"/>
              <w:jc w:val="center"/>
              <w:rPr>
                <w:color w:val="auto"/>
                <w:szCs w:val="24"/>
                <w:highlight w:val="none"/>
              </w:rPr>
            </w:pPr>
          </w:p>
        </w:tc>
        <w:tc>
          <w:tcPr>
            <w:tcW w:w="2451" w:type="dxa"/>
            <w:gridSpan w:val="2"/>
            <w:tcBorders>
              <w:top w:val="single" w:color="000000" w:sz="8" w:space="0"/>
              <w:left w:val="nil"/>
              <w:bottom w:val="single" w:color="000000" w:sz="8" w:space="0"/>
              <w:right w:val="single" w:color="000000" w:sz="8" w:space="0"/>
            </w:tcBorders>
            <w:vAlign w:val="center"/>
          </w:tcPr>
          <w:p w14:paraId="04B2E641">
            <w:pPr>
              <w:pStyle w:val="1414"/>
              <w:widowControl/>
              <w:autoSpaceDN w:val="0"/>
              <w:spacing w:line="440" w:lineRule="exact"/>
              <w:jc w:val="center"/>
              <w:rPr>
                <w:color w:val="auto"/>
                <w:szCs w:val="24"/>
                <w:highlight w:val="none"/>
              </w:rPr>
            </w:pPr>
          </w:p>
        </w:tc>
      </w:tr>
      <w:tr w14:paraId="1D3A73D5">
        <w:tblPrEx>
          <w:tblCellMar>
            <w:top w:w="0" w:type="dxa"/>
            <w:left w:w="108" w:type="dxa"/>
            <w:bottom w:w="0" w:type="dxa"/>
            <w:right w:w="108" w:type="dxa"/>
          </w:tblCellMar>
        </w:tblPrEx>
        <w:trPr>
          <w:trHeight w:val="284" w:hRule="atLeast"/>
          <w:jc w:val="center"/>
        </w:trPr>
        <w:tc>
          <w:tcPr>
            <w:tcW w:w="1635" w:type="dxa"/>
            <w:gridSpan w:val="2"/>
            <w:tcBorders>
              <w:top w:val="single" w:color="auto" w:sz="8" w:space="0"/>
              <w:left w:val="single" w:color="auto" w:sz="8" w:space="0"/>
              <w:bottom w:val="nil"/>
              <w:right w:val="single" w:color="000000" w:sz="8" w:space="0"/>
            </w:tcBorders>
            <w:vAlign w:val="center"/>
          </w:tcPr>
          <w:p w14:paraId="19BB3CAB">
            <w:pPr>
              <w:pStyle w:val="1414"/>
              <w:widowControl/>
              <w:autoSpaceDN w:val="0"/>
              <w:spacing w:line="440" w:lineRule="exact"/>
              <w:jc w:val="center"/>
              <w:rPr>
                <w:color w:val="auto"/>
                <w:szCs w:val="24"/>
                <w:highlight w:val="none"/>
              </w:rPr>
            </w:pPr>
            <w:r>
              <w:rPr>
                <w:color w:val="auto"/>
                <w:szCs w:val="24"/>
                <w:highlight w:val="none"/>
              </w:rPr>
              <w:t>…</w:t>
            </w:r>
          </w:p>
        </w:tc>
        <w:tc>
          <w:tcPr>
            <w:tcW w:w="3977" w:type="dxa"/>
            <w:gridSpan w:val="5"/>
            <w:tcBorders>
              <w:top w:val="single" w:color="auto" w:sz="8" w:space="0"/>
              <w:left w:val="nil"/>
              <w:bottom w:val="nil"/>
              <w:right w:val="single" w:color="000000" w:sz="8" w:space="0"/>
            </w:tcBorders>
            <w:vAlign w:val="center"/>
          </w:tcPr>
          <w:p w14:paraId="6702F35B">
            <w:pPr>
              <w:pStyle w:val="1414"/>
              <w:widowControl/>
              <w:autoSpaceDN w:val="0"/>
              <w:spacing w:line="440" w:lineRule="exact"/>
              <w:jc w:val="center"/>
              <w:rPr>
                <w:color w:val="auto"/>
                <w:szCs w:val="24"/>
                <w:highlight w:val="none"/>
              </w:rPr>
            </w:pPr>
          </w:p>
        </w:tc>
        <w:tc>
          <w:tcPr>
            <w:tcW w:w="1260" w:type="dxa"/>
            <w:tcBorders>
              <w:top w:val="single" w:color="auto" w:sz="8" w:space="0"/>
              <w:left w:val="nil"/>
              <w:bottom w:val="nil"/>
              <w:right w:val="single" w:color="000000" w:sz="8" w:space="0"/>
            </w:tcBorders>
            <w:vAlign w:val="center"/>
          </w:tcPr>
          <w:p w14:paraId="5D04278D">
            <w:pPr>
              <w:pStyle w:val="1414"/>
              <w:widowControl/>
              <w:autoSpaceDN w:val="0"/>
              <w:spacing w:line="440" w:lineRule="exact"/>
              <w:jc w:val="center"/>
              <w:rPr>
                <w:color w:val="auto"/>
                <w:szCs w:val="24"/>
                <w:highlight w:val="none"/>
              </w:rPr>
            </w:pPr>
          </w:p>
        </w:tc>
        <w:tc>
          <w:tcPr>
            <w:tcW w:w="2451" w:type="dxa"/>
            <w:gridSpan w:val="2"/>
            <w:tcBorders>
              <w:top w:val="single" w:color="auto" w:sz="8" w:space="0"/>
              <w:left w:val="nil"/>
              <w:bottom w:val="nil"/>
              <w:right w:val="single" w:color="000000" w:sz="8" w:space="0"/>
            </w:tcBorders>
            <w:vAlign w:val="center"/>
          </w:tcPr>
          <w:p w14:paraId="6AB1EDD8">
            <w:pPr>
              <w:pStyle w:val="1414"/>
              <w:widowControl/>
              <w:tabs>
                <w:tab w:val="left" w:pos="1703"/>
              </w:tabs>
              <w:autoSpaceDN w:val="0"/>
              <w:spacing w:line="440" w:lineRule="exact"/>
              <w:jc w:val="center"/>
              <w:rPr>
                <w:color w:val="auto"/>
                <w:szCs w:val="24"/>
                <w:highlight w:val="none"/>
              </w:rPr>
            </w:pPr>
          </w:p>
        </w:tc>
      </w:tr>
      <w:tr w14:paraId="02992F06">
        <w:tblPrEx>
          <w:tblCellMar>
            <w:top w:w="0" w:type="dxa"/>
            <w:left w:w="108" w:type="dxa"/>
            <w:bottom w:w="0" w:type="dxa"/>
            <w:right w:w="108" w:type="dxa"/>
          </w:tblCellMar>
        </w:tblPrEx>
        <w:trPr>
          <w:trHeight w:val="600" w:hRule="atLeast"/>
          <w:jc w:val="center"/>
        </w:trPr>
        <w:tc>
          <w:tcPr>
            <w:tcW w:w="4320" w:type="dxa"/>
            <w:gridSpan w:val="5"/>
            <w:tcBorders>
              <w:top w:val="single" w:color="auto" w:sz="4" w:space="0"/>
              <w:left w:val="single" w:color="auto" w:sz="8" w:space="0"/>
              <w:bottom w:val="single" w:color="auto" w:sz="4" w:space="0"/>
              <w:right w:val="single" w:color="000000" w:sz="4" w:space="0"/>
            </w:tcBorders>
            <w:vAlign w:val="center"/>
          </w:tcPr>
          <w:p w14:paraId="15A8023A">
            <w:pPr>
              <w:pStyle w:val="1414"/>
              <w:widowControl/>
              <w:autoSpaceDN w:val="0"/>
              <w:spacing w:line="440" w:lineRule="exact"/>
              <w:jc w:val="center"/>
              <w:rPr>
                <w:color w:val="auto"/>
                <w:szCs w:val="24"/>
                <w:highlight w:val="none"/>
              </w:rPr>
            </w:pPr>
            <w:r>
              <w:rPr>
                <w:rFonts w:hint="eastAsia"/>
                <w:color w:val="auto"/>
                <w:szCs w:val="24"/>
                <w:highlight w:val="none"/>
              </w:rPr>
              <w:t>获奖情况</w:t>
            </w:r>
          </w:p>
        </w:tc>
        <w:tc>
          <w:tcPr>
            <w:tcW w:w="5003" w:type="dxa"/>
            <w:gridSpan w:val="5"/>
            <w:tcBorders>
              <w:top w:val="single" w:color="auto" w:sz="4" w:space="0"/>
              <w:left w:val="nil"/>
              <w:bottom w:val="single" w:color="auto" w:sz="4" w:space="0"/>
              <w:right w:val="single" w:color="000000" w:sz="8" w:space="0"/>
            </w:tcBorders>
            <w:vAlign w:val="center"/>
          </w:tcPr>
          <w:p w14:paraId="39F1E026">
            <w:pPr>
              <w:pStyle w:val="1414"/>
              <w:widowControl/>
              <w:autoSpaceDN w:val="0"/>
              <w:spacing w:line="440" w:lineRule="exact"/>
              <w:jc w:val="center"/>
              <w:rPr>
                <w:color w:val="auto"/>
                <w:szCs w:val="24"/>
                <w:highlight w:val="none"/>
              </w:rPr>
            </w:pPr>
          </w:p>
        </w:tc>
      </w:tr>
      <w:tr w14:paraId="68AF2D90">
        <w:tblPrEx>
          <w:tblCellMar>
            <w:top w:w="0" w:type="dxa"/>
            <w:left w:w="108" w:type="dxa"/>
            <w:bottom w:w="0" w:type="dxa"/>
            <w:right w:w="108" w:type="dxa"/>
          </w:tblCellMar>
        </w:tblPrEx>
        <w:trPr>
          <w:cantSplit/>
          <w:trHeight w:val="378" w:hRule="atLeast"/>
          <w:jc w:val="center"/>
        </w:trPr>
        <w:tc>
          <w:tcPr>
            <w:tcW w:w="2160" w:type="dxa"/>
            <w:gridSpan w:val="3"/>
            <w:vMerge w:val="restart"/>
            <w:tcBorders>
              <w:top w:val="single" w:color="auto" w:sz="4" w:space="0"/>
              <w:left w:val="single" w:color="auto" w:sz="8" w:space="0"/>
              <w:bottom w:val="single" w:color="000000" w:sz="4" w:space="0"/>
              <w:right w:val="single" w:color="000000" w:sz="4" w:space="0"/>
            </w:tcBorders>
            <w:vAlign w:val="center"/>
          </w:tcPr>
          <w:p w14:paraId="417648BD">
            <w:pPr>
              <w:pStyle w:val="1414"/>
              <w:widowControl/>
              <w:autoSpaceDN w:val="0"/>
              <w:jc w:val="center"/>
              <w:rPr>
                <w:color w:val="auto"/>
                <w:szCs w:val="24"/>
                <w:highlight w:val="none"/>
              </w:rPr>
            </w:pPr>
            <w:r>
              <w:rPr>
                <w:rFonts w:hint="eastAsia"/>
                <w:color w:val="auto"/>
                <w:szCs w:val="24"/>
                <w:highlight w:val="none"/>
              </w:rPr>
              <w:t>目前任职项目状况</w:t>
            </w:r>
          </w:p>
        </w:tc>
        <w:tc>
          <w:tcPr>
            <w:tcW w:w="2160" w:type="dxa"/>
            <w:gridSpan w:val="2"/>
            <w:tcBorders>
              <w:top w:val="single" w:color="auto" w:sz="4" w:space="0"/>
              <w:left w:val="nil"/>
              <w:bottom w:val="single" w:color="auto" w:sz="4" w:space="0"/>
              <w:right w:val="single" w:color="000000" w:sz="4" w:space="0"/>
            </w:tcBorders>
            <w:vAlign w:val="center"/>
          </w:tcPr>
          <w:p w14:paraId="5FDE5ACA">
            <w:pPr>
              <w:pStyle w:val="1414"/>
              <w:widowControl/>
              <w:autoSpaceDN w:val="0"/>
              <w:jc w:val="center"/>
              <w:rPr>
                <w:color w:val="auto"/>
                <w:szCs w:val="24"/>
                <w:highlight w:val="none"/>
              </w:rPr>
            </w:pPr>
            <w:r>
              <w:rPr>
                <w:rFonts w:hint="eastAsia"/>
                <w:color w:val="auto"/>
                <w:szCs w:val="24"/>
                <w:highlight w:val="none"/>
              </w:rPr>
              <w:t>项目名称</w:t>
            </w:r>
          </w:p>
        </w:tc>
        <w:tc>
          <w:tcPr>
            <w:tcW w:w="5003" w:type="dxa"/>
            <w:gridSpan w:val="5"/>
            <w:tcBorders>
              <w:top w:val="single" w:color="auto" w:sz="4" w:space="0"/>
              <w:left w:val="nil"/>
              <w:bottom w:val="single" w:color="auto" w:sz="4" w:space="0"/>
              <w:right w:val="single" w:color="000000" w:sz="8" w:space="0"/>
            </w:tcBorders>
            <w:vAlign w:val="center"/>
          </w:tcPr>
          <w:p w14:paraId="09A280EE">
            <w:pPr>
              <w:pStyle w:val="1414"/>
              <w:widowControl/>
              <w:autoSpaceDN w:val="0"/>
              <w:spacing w:line="440" w:lineRule="exact"/>
              <w:jc w:val="center"/>
              <w:rPr>
                <w:color w:val="auto"/>
                <w:szCs w:val="24"/>
                <w:highlight w:val="none"/>
              </w:rPr>
            </w:pPr>
          </w:p>
        </w:tc>
      </w:tr>
      <w:tr w14:paraId="4FC16147">
        <w:tblPrEx>
          <w:tblCellMar>
            <w:top w:w="0" w:type="dxa"/>
            <w:left w:w="108" w:type="dxa"/>
            <w:bottom w:w="0" w:type="dxa"/>
            <w:right w:w="108" w:type="dxa"/>
          </w:tblCellMar>
        </w:tblPrEx>
        <w:trPr>
          <w:cantSplit/>
          <w:trHeight w:val="245" w:hRule="atLeast"/>
          <w:jc w:val="center"/>
        </w:trPr>
        <w:tc>
          <w:tcPr>
            <w:tcW w:w="2160" w:type="dxa"/>
            <w:gridSpan w:val="3"/>
            <w:vMerge w:val="continue"/>
            <w:tcBorders>
              <w:top w:val="single" w:color="auto" w:sz="4" w:space="0"/>
              <w:left w:val="single" w:color="auto" w:sz="8" w:space="0"/>
              <w:bottom w:val="single" w:color="000000" w:sz="4" w:space="0"/>
              <w:right w:val="single" w:color="000000" w:sz="4" w:space="0"/>
            </w:tcBorders>
            <w:vAlign w:val="center"/>
          </w:tcPr>
          <w:p w14:paraId="6F30E0D9">
            <w:pPr>
              <w:rPr>
                <w:color w:val="auto"/>
                <w:highlight w:val="none"/>
              </w:rPr>
            </w:pPr>
          </w:p>
        </w:tc>
        <w:tc>
          <w:tcPr>
            <w:tcW w:w="2160" w:type="dxa"/>
            <w:gridSpan w:val="2"/>
            <w:tcBorders>
              <w:top w:val="single" w:color="auto" w:sz="4" w:space="0"/>
              <w:left w:val="nil"/>
              <w:bottom w:val="single" w:color="auto" w:sz="4" w:space="0"/>
              <w:right w:val="single" w:color="000000" w:sz="4" w:space="0"/>
            </w:tcBorders>
            <w:vAlign w:val="center"/>
          </w:tcPr>
          <w:p w14:paraId="101E1078">
            <w:pPr>
              <w:pStyle w:val="1414"/>
              <w:widowControl/>
              <w:autoSpaceDN w:val="0"/>
              <w:jc w:val="center"/>
              <w:rPr>
                <w:color w:val="auto"/>
                <w:szCs w:val="24"/>
                <w:highlight w:val="none"/>
              </w:rPr>
            </w:pPr>
            <w:r>
              <w:rPr>
                <w:rFonts w:hint="eastAsia"/>
                <w:color w:val="auto"/>
                <w:szCs w:val="24"/>
                <w:highlight w:val="none"/>
              </w:rPr>
              <w:t>担任职位</w:t>
            </w:r>
          </w:p>
        </w:tc>
        <w:tc>
          <w:tcPr>
            <w:tcW w:w="5003" w:type="dxa"/>
            <w:gridSpan w:val="5"/>
            <w:tcBorders>
              <w:top w:val="single" w:color="auto" w:sz="4" w:space="0"/>
              <w:left w:val="nil"/>
              <w:bottom w:val="single" w:color="auto" w:sz="4" w:space="0"/>
              <w:right w:val="single" w:color="000000" w:sz="8" w:space="0"/>
            </w:tcBorders>
            <w:vAlign w:val="center"/>
          </w:tcPr>
          <w:p w14:paraId="7D8C7E6F">
            <w:pPr>
              <w:pStyle w:val="1414"/>
              <w:widowControl/>
              <w:autoSpaceDN w:val="0"/>
              <w:spacing w:line="440" w:lineRule="exact"/>
              <w:jc w:val="center"/>
              <w:rPr>
                <w:color w:val="auto"/>
                <w:szCs w:val="24"/>
                <w:highlight w:val="none"/>
              </w:rPr>
            </w:pPr>
          </w:p>
        </w:tc>
      </w:tr>
      <w:tr w14:paraId="69D58031">
        <w:tblPrEx>
          <w:tblCellMar>
            <w:top w:w="0" w:type="dxa"/>
            <w:left w:w="108" w:type="dxa"/>
            <w:bottom w:w="0" w:type="dxa"/>
            <w:right w:w="108" w:type="dxa"/>
          </w:tblCellMar>
        </w:tblPrEx>
        <w:trPr>
          <w:cantSplit/>
          <w:trHeight w:val="263" w:hRule="atLeast"/>
          <w:jc w:val="center"/>
        </w:trPr>
        <w:tc>
          <w:tcPr>
            <w:tcW w:w="2160" w:type="dxa"/>
            <w:gridSpan w:val="3"/>
            <w:vMerge w:val="continue"/>
            <w:tcBorders>
              <w:top w:val="single" w:color="auto" w:sz="4" w:space="0"/>
              <w:left w:val="single" w:color="auto" w:sz="8" w:space="0"/>
              <w:bottom w:val="single" w:color="000000" w:sz="4" w:space="0"/>
              <w:right w:val="single" w:color="000000" w:sz="4" w:space="0"/>
            </w:tcBorders>
            <w:vAlign w:val="center"/>
          </w:tcPr>
          <w:p w14:paraId="4A97C305">
            <w:pPr>
              <w:rPr>
                <w:color w:val="auto"/>
                <w:highlight w:val="none"/>
              </w:rPr>
            </w:pPr>
          </w:p>
        </w:tc>
        <w:tc>
          <w:tcPr>
            <w:tcW w:w="2160" w:type="dxa"/>
            <w:gridSpan w:val="2"/>
            <w:tcBorders>
              <w:top w:val="single" w:color="auto" w:sz="4" w:space="0"/>
              <w:left w:val="nil"/>
              <w:bottom w:val="single" w:color="auto" w:sz="4" w:space="0"/>
              <w:right w:val="single" w:color="000000" w:sz="4" w:space="0"/>
            </w:tcBorders>
            <w:vAlign w:val="center"/>
          </w:tcPr>
          <w:p w14:paraId="2932B299">
            <w:pPr>
              <w:pStyle w:val="1414"/>
              <w:widowControl/>
              <w:autoSpaceDN w:val="0"/>
              <w:jc w:val="center"/>
              <w:rPr>
                <w:color w:val="auto"/>
                <w:szCs w:val="24"/>
                <w:highlight w:val="none"/>
              </w:rPr>
            </w:pPr>
            <w:r>
              <w:rPr>
                <w:rFonts w:hint="eastAsia"/>
                <w:color w:val="auto"/>
                <w:szCs w:val="24"/>
                <w:highlight w:val="none"/>
              </w:rPr>
              <w:t>可以调离日期</w:t>
            </w:r>
          </w:p>
        </w:tc>
        <w:tc>
          <w:tcPr>
            <w:tcW w:w="5003" w:type="dxa"/>
            <w:gridSpan w:val="5"/>
            <w:tcBorders>
              <w:top w:val="single" w:color="auto" w:sz="4" w:space="0"/>
              <w:left w:val="nil"/>
              <w:bottom w:val="single" w:color="auto" w:sz="4" w:space="0"/>
              <w:right w:val="single" w:color="000000" w:sz="8" w:space="0"/>
            </w:tcBorders>
            <w:vAlign w:val="center"/>
          </w:tcPr>
          <w:p w14:paraId="3B8C436B">
            <w:pPr>
              <w:pStyle w:val="1414"/>
              <w:widowControl/>
              <w:autoSpaceDN w:val="0"/>
              <w:spacing w:line="440" w:lineRule="exact"/>
              <w:jc w:val="center"/>
              <w:rPr>
                <w:color w:val="auto"/>
                <w:szCs w:val="24"/>
                <w:highlight w:val="none"/>
              </w:rPr>
            </w:pPr>
          </w:p>
        </w:tc>
      </w:tr>
      <w:tr w14:paraId="2D420928">
        <w:tblPrEx>
          <w:tblCellMar>
            <w:top w:w="0" w:type="dxa"/>
            <w:left w:w="108" w:type="dxa"/>
            <w:bottom w:w="0" w:type="dxa"/>
            <w:right w:w="108" w:type="dxa"/>
          </w:tblCellMar>
        </w:tblPrEx>
        <w:trPr>
          <w:trHeight w:val="832" w:hRule="atLeast"/>
          <w:jc w:val="center"/>
        </w:trPr>
        <w:tc>
          <w:tcPr>
            <w:tcW w:w="4320" w:type="dxa"/>
            <w:gridSpan w:val="5"/>
            <w:tcBorders>
              <w:top w:val="single" w:color="auto" w:sz="4" w:space="0"/>
              <w:left w:val="single" w:color="auto" w:sz="8" w:space="0"/>
              <w:bottom w:val="single" w:color="000000" w:sz="8" w:space="0"/>
              <w:right w:val="single" w:color="000000" w:sz="4" w:space="0"/>
            </w:tcBorders>
            <w:vAlign w:val="center"/>
          </w:tcPr>
          <w:p w14:paraId="199A7FB2">
            <w:pPr>
              <w:pStyle w:val="1414"/>
              <w:widowControl/>
              <w:autoSpaceDN w:val="0"/>
              <w:spacing w:line="440" w:lineRule="exact"/>
              <w:jc w:val="center"/>
              <w:rPr>
                <w:color w:val="auto"/>
                <w:szCs w:val="24"/>
                <w:highlight w:val="none"/>
              </w:rPr>
            </w:pPr>
            <w:r>
              <w:rPr>
                <w:rFonts w:hint="eastAsia"/>
                <w:color w:val="auto"/>
                <w:szCs w:val="24"/>
                <w:highlight w:val="none"/>
              </w:rPr>
              <w:t>备注</w:t>
            </w:r>
          </w:p>
        </w:tc>
        <w:tc>
          <w:tcPr>
            <w:tcW w:w="5003" w:type="dxa"/>
            <w:gridSpan w:val="5"/>
            <w:tcBorders>
              <w:top w:val="single" w:color="auto" w:sz="4" w:space="0"/>
              <w:left w:val="single" w:color="auto" w:sz="4" w:space="0"/>
              <w:bottom w:val="single" w:color="000000" w:sz="8" w:space="0"/>
              <w:right w:val="single" w:color="000000" w:sz="8" w:space="0"/>
            </w:tcBorders>
            <w:vAlign w:val="center"/>
          </w:tcPr>
          <w:p w14:paraId="74208534">
            <w:pPr>
              <w:pStyle w:val="1414"/>
              <w:widowControl/>
              <w:autoSpaceDN w:val="0"/>
              <w:spacing w:line="440" w:lineRule="exact"/>
              <w:rPr>
                <w:color w:val="auto"/>
                <w:szCs w:val="24"/>
                <w:highlight w:val="none"/>
              </w:rPr>
            </w:pPr>
          </w:p>
        </w:tc>
      </w:tr>
    </w:tbl>
    <w:p w14:paraId="735467F8">
      <w:pPr>
        <w:pStyle w:val="1415"/>
        <w:autoSpaceDN w:val="0"/>
        <w:snapToGrid w:val="0"/>
        <w:spacing w:before="0" w:beforeAutospacing="0" w:after="0" w:afterAutospacing="0"/>
        <w:ind w:left="2940" w:hanging="840"/>
        <w:rPr>
          <w:rFonts w:ascii="Times New Roman"/>
          <w:color w:val="auto"/>
          <w:highlight w:val="none"/>
          <w:lang w:eastAsia="zh-CN"/>
        </w:rPr>
      </w:pPr>
    </w:p>
    <w:p w14:paraId="2F92E7C2">
      <w:pPr>
        <w:pStyle w:val="1415"/>
        <w:autoSpaceDN w:val="0"/>
        <w:snapToGrid w:val="0"/>
        <w:spacing w:before="0" w:beforeAutospacing="0" w:after="0" w:afterAutospacing="0"/>
        <w:rPr>
          <w:rFonts w:ascii="Times New Roman"/>
          <w:color w:val="auto"/>
          <w:highlight w:val="none"/>
          <w:lang w:eastAsia="zh-CN"/>
        </w:rPr>
      </w:pPr>
      <w:r>
        <w:rPr>
          <w:rFonts w:hint="eastAsia" w:ascii="Times New Roman"/>
          <w:color w:val="auto"/>
          <w:highlight w:val="none"/>
          <w:lang w:eastAsia="zh-CN"/>
        </w:rPr>
        <w:t>注：</w:t>
      </w:r>
      <w:r>
        <w:rPr>
          <w:rFonts w:ascii="Times New Roman"/>
          <w:color w:val="auto"/>
          <w:highlight w:val="none"/>
          <w:lang w:eastAsia="zh-CN"/>
        </w:rPr>
        <w:t>1</w:t>
      </w:r>
      <w:r>
        <w:rPr>
          <w:rFonts w:hint="eastAsia" w:ascii="Times New Roman"/>
          <w:color w:val="auto"/>
          <w:highlight w:val="none"/>
          <w:lang w:eastAsia="zh-CN"/>
        </w:rPr>
        <w:t>．本表后应附项目经理的身份证、职称资格证书、社保证明以及其他相关证书的复印件。</w:t>
      </w:r>
    </w:p>
    <w:p w14:paraId="189262B3">
      <w:pPr>
        <w:pStyle w:val="1415"/>
        <w:autoSpaceDN w:val="0"/>
        <w:snapToGrid w:val="0"/>
        <w:spacing w:before="0" w:beforeAutospacing="0" w:after="0" w:afterAutospacing="0"/>
        <w:rPr>
          <w:rFonts w:ascii="Times New Roman"/>
          <w:color w:val="auto"/>
          <w:highlight w:val="none"/>
          <w:lang w:eastAsia="zh-CN"/>
        </w:rPr>
      </w:pPr>
      <w:r>
        <w:rPr>
          <w:rFonts w:ascii="Times New Roman"/>
          <w:color w:val="auto"/>
          <w:highlight w:val="none"/>
          <w:lang w:eastAsia="zh-CN"/>
        </w:rPr>
        <w:t>2</w:t>
      </w:r>
      <w:r>
        <w:rPr>
          <w:rFonts w:hint="eastAsia" w:ascii="Times New Roman"/>
          <w:color w:val="auto"/>
          <w:highlight w:val="none"/>
          <w:lang w:eastAsia="zh-CN"/>
        </w:rPr>
        <w:t>．目前未在具体项目上任职的，请在备注栏说明现在负责的工作内容。</w:t>
      </w:r>
    </w:p>
    <w:p w14:paraId="31B6C08A">
      <w:pPr>
        <w:pStyle w:val="1414"/>
        <w:autoSpaceDN w:val="0"/>
        <w:rPr>
          <w:color w:val="auto"/>
          <w:szCs w:val="24"/>
          <w:highlight w:val="none"/>
        </w:rPr>
      </w:pPr>
      <w:r>
        <w:rPr>
          <w:color w:val="auto"/>
          <w:szCs w:val="24"/>
          <w:highlight w:val="none"/>
        </w:rPr>
        <w:t>3</w:t>
      </w:r>
      <w:r>
        <w:rPr>
          <w:rFonts w:hint="eastAsia"/>
          <w:color w:val="auto"/>
          <w:szCs w:val="24"/>
          <w:highlight w:val="none"/>
        </w:rPr>
        <w:t>．所有证件、证明材料的复印件均应清晰可辩，否则责任自负。</w:t>
      </w:r>
    </w:p>
    <w:p w14:paraId="2D3FAA2A">
      <w:pPr>
        <w:spacing w:line="360" w:lineRule="auto"/>
        <w:rPr>
          <w:rFonts w:ascii="宋体"/>
          <w:color w:val="auto"/>
          <w:kern w:val="0"/>
          <w:sz w:val="24"/>
          <w:highlight w:val="none"/>
        </w:rPr>
      </w:pPr>
      <w:r>
        <w:rPr>
          <w:b/>
          <w:bCs/>
          <w:color w:val="auto"/>
          <w:szCs w:val="32"/>
          <w:highlight w:val="none"/>
        </w:rPr>
        <w:br w:type="page"/>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Start w:id="614" w:name="_Toc230099817"/>
      <w:bookmarkStart w:id="615" w:name="_Toc249515384"/>
      <w:bookmarkStart w:id="616" w:name="_Toc249525265"/>
      <w:bookmarkStart w:id="617" w:name="_Toc275099843"/>
      <w:bookmarkStart w:id="618" w:name="_Toc307848343"/>
      <w:bookmarkStart w:id="619" w:name="_Toc232176296"/>
      <w:bookmarkStart w:id="620" w:name="_Toc230583566"/>
      <w:bookmarkStart w:id="621" w:name="_Toc230013652"/>
      <w:bookmarkStart w:id="622" w:name="_Toc232395236"/>
      <w:bookmarkStart w:id="623" w:name="_Toc256342166"/>
      <w:r>
        <w:rPr>
          <w:rFonts w:hint="eastAsia" w:ascii="宋体"/>
          <w:color w:val="auto"/>
          <w:kern w:val="0"/>
          <w:sz w:val="24"/>
          <w:highlight w:val="none"/>
        </w:rPr>
        <w:t>附件11</w:t>
      </w:r>
    </w:p>
    <w:p w14:paraId="574C3053">
      <w:pPr>
        <w:jc w:val="center"/>
        <w:outlineLvl w:val="1"/>
        <w:rPr>
          <w:rFonts w:ascii="宋体"/>
          <w:b/>
          <w:color w:val="auto"/>
          <w:sz w:val="24"/>
          <w:highlight w:val="none"/>
        </w:rPr>
      </w:pPr>
      <w:bookmarkStart w:id="624" w:name="_Toc10146"/>
      <w:bookmarkStart w:id="625" w:name="_Toc485990852"/>
      <w:r>
        <w:rPr>
          <w:rFonts w:hint="eastAsia" w:ascii="宋体"/>
          <w:b/>
          <w:bCs/>
          <w:color w:val="auto"/>
          <w:kern w:val="0"/>
          <w:sz w:val="24"/>
          <w:highlight w:val="none"/>
        </w:rPr>
        <w:t>质 疑 函</w:t>
      </w:r>
      <w:bookmarkEnd w:id="624"/>
      <w:bookmarkEnd w:id="625"/>
    </w:p>
    <w:p w14:paraId="27419187">
      <w:pPr>
        <w:pStyle w:val="1379"/>
        <w:rPr>
          <w:rFonts w:ascii="宋体"/>
          <w:color w:val="auto"/>
          <w:sz w:val="24"/>
          <w:szCs w:val="24"/>
          <w:highlight w:val="none"/>
        </w:rPr>
      </w:pPr>
      <w:r>
        <w:rPr>
          <w:rFonts w:hint="eastAsia" w:ascii="宋体"/>
          <w:color w:val="auto"/>
          <w:sz w:val="24"/>
          <w:szCs w:val="24"/>
          <w:highlight w:val="none"/>
        </w:rPr>
        <w:t>质疑人名称：</w:t>
      </w:r>
    </w:p>
    <w:p w14:paraId="4BF0F7F2">
      <w:pPr>
        <w:pStyle w:val="1379"/>
        <w:rPr>
          <w:rFonts w:ascii="宋体"/>
          <w:color w:val="auto"/>
          <w:sz w:val="24"/>
          <w:szCs w:val="24"/>
          <w:highlight w:val="none"/>
        </w:rPr>
      </w:pPr>
      <w:r>
        <w:rPr>
          <w:rFonts w:hint="eastAsia" w:ascii="宋体"/>
          <w:color w:val="auto"/>
          <w:sz w:val="24"/>
          <w:szCs w:val="24"/>
          <w:highlight w:val="none"/>
        </w:rPr>
        <w:t xml:space="preserve">质疑人地址：                                       </w:t>
      </w:r>
    </w:p>
    <w:p w14:paraId="398E7A43">
      <w:pPr>
        <w:pStyle w:val="1379"/>
        <w:rPr>
          <w:rFonts w:ascii="宋体"/>
          <w:color w:val="auto"/>
          <w:sz w:val="24"/>
          <w:szCs w:val="24"/>
          <w:highlight w:val="none"/>
        </w:rPr>
      </w:pPr>
      <w:r>
        <w:rPr>
          <w:rFonts w:hint="eastAsia" w:ascii="宋体"/>
          <w:color w:val="auto"/>
          <w:sz w:val="24"/>
          <w:szCs w:val="24"/>
          <w:highlight w:val="none"/>
        </w:rPr>
        <w:t xml:space="preserve">质疑人邮编：                                  </w:t>
      </w:r>
    </w:p>
    <w:p w14:paraId="2830D309">
      <w:pPr>
        <w:pStyle w:val="1379"/>
        <w:rPr>
          <w:rFonts w:ascii="宋体"/>
          <w:color w:val="auto"/>
          <w:sz w:val="24"/>
          <w:szCs w:val="24"/>
          <w:highlight w:val="none"/>
        </w:rPr>
      </w:pPr>
      <w:r>
        <w:rPr>
          <w:rFonts w:hint="eastAsia" w:ascii="宋体"/>
          <w:color w:val="auto"/>
          <w:sz w:val="24"/>
          <w:szCs w:val="24"/>
          <w:highlight w:val="none"/>
        </w:rPr>
        <w:t xml:space="preserve">联系人：                                      </w:t>
      </w:r>
    </w:p>
    <w:p w14:paraId="7C49D7F5">
      <w:pPr>
        <w:pStyle w:val="1379"/>
        <w:rPr>
          <w:rFonts w:ascii="宋体"/>
          <w:color w:val="auto"/>
          <w:sz w:val="24"/>
          <w:szCs w:val="24"/>
          <w:highlight w:val="none"/>
        </w:rPr>
      </w:pPr>
      <w:r>
        <w:rPr>
          <w:rFonts w:hint="eastAsia" w:ascii="宋体"/>
          <w:color w:val="auto"/>
          <w:sz w:val="24"/>
          <w:szCs w:val="24"/>
          <w:highlight w:val="none"/>
        </w:rPr>
        <w:t xml:space="preserve">手机：                                  </w:t>
      </w:r>
    </w:p>
    <w:p w14:paraId="4B614876">
      <w:pPr>
        <w:pStyle w:val="1379"/>
        <w:rPr>
          <w:rFonts w:ascii="宋体"/>
          <w:color w:val="auto"/>
          <w:sz w:val="24"/>
          <w:szCs w:val="24"/>
          <w:highlight w:val="none"/>
        </w:rPr>
      </w:pPr>
      <w:r>
        <w:rPr>
          <w:rFonts w:hint="eastAsia" w:ascii="宋体"/>
          <w:color w:val="auto"/>
          <w:sz w:val="24"/>
          <w:szCs w:val="24"/>
          <w:highlight w:val="none"/>
        </w:rPr>
        <w:t xml:space="preserve">电子邮箱：                                  </w:t>
      </w:r>
    </w:p>
    <w:p w14:paraId="4025EE8B">
      <w:pPr>
        <w:pStyle w:val="1379"/>
        <w:rPr>
          <w:rFonts w:ascii="宋体"/>
          <w:color w:val="auto"/>
          <w:sz w:val="24"/>
          <w:szCs w:val="24"/>
          <w:highlight w:val="none"/>
        </w:rPr>
      </w:pPr>
    </w:p>
    <w:p w14:paraId="1B73EC9E">
      <w:pPr>
        <w:pStyle w:val="1379"/>
        <w:rPr>
          <w:rFonts w:ascii="宋体"/>
          <w:color w:val="auto"/>
          <w:sz w:val="24"/>
          <w:szCs w:val="24"/>
          <w:highlight w:val="none"/>
        </w:rPr>
      </w:pPr>
      <w:r>
        <w:rPr>
          <w:rFonts w:hint="eastAsia" w:ascii="宋体"/>
          <w:color w:val="auto"/>
          <w:sz w:val="24"/>
          <w:szCs w:val="24"/>
          <w:highlight w:val="none"/>
        </w:rPr>
        <w:t xml:space="preserve">质疑项目名称：                                  </w:t>
      </w:r>
    </w:p>
    <w:p w14:paraId="5C3D25B7">
      <w:pPr>
        <w:pStyle w:val="1379"/>
        <w:rPr>
          <w:rFonts w:ascii="宋体"/>
          <w:color w:val="auto"/>
          <w:sz w:val="24"/>
          <w:szCs w:val="24"/>
          <w:highlight w:val="none"/>
        </w:rPr>
      </w:pPr>
      <w:r>
        <w:rPr>
          <w:rFonts w:hint="eastAsia" w:ascii="宋体"/>
          <w:color w:val="auto"/>
          <w:sz w:val="24"/>
          <w:szCs w:val="24"/>
          <w:highlight w:val="none"/>
        </w:rPr>
        <w:t xml:space="preserve">项目编号：                                      </w:t>
      </w:r>
    </w:p>
    <w:p w14:paraId="572247D7">
      <w:pPr>
        <w:pStyle w:val="1379"/>
        <w:rPr>
          <w:rFonts w:ascii="宋体"/>
          <w:color w:val="auto"/>
          <w:sz w:val="24"/>
          <w:szCs w:val="24"/>
          <w:highlight w:val="none"/>
        </w:rPr>
      </w:pPr>
      <w:r>
        <w:rPr>
          <w:rFonts w:hint="eastAsia" w:ascii="宋体"/>
          <w:color w:val="auto"/>
          <w:sz w:val="24"/>
          <w:szCs w:val="24"/>
          <w:highlight w:val="none"/>
        </w:rPr>
        <w:t>质疑类型：□采购文件 □评审过程 □成交结果 □其他</w:t>
      </w:r>
    </w:p>
    <w:p w14:paraId="63EEB771">
      <w:pPr>
        <w:pStyle w:val="1379"/>
        <w:rPr>
          <w:rFonts w:ascii="宋体"/>
          <w:color w:val="auto"/>
          <w:sz w:val="24"/>
          <w:szCs w:val="24"/>
          <w:highlight w:val="none"/>
        </w:rPr>
      </w:pPr>
      <w:r>
        <w:rPr>
          <w:rFonts w:hint="eastAsia" w:ascii="宋体"/>
          <w:color w:val="auto"/>
          <w:sz w:val="24"/>
          <w:szCs w:val="24"/>
          <w:highlight w:val="none"/>
        </w:rPr>
        <w:t>质疑事项：</w:t>
      </w:r>
    </w:p>
    <w:p w14:paraId="0514274D">
      <w:pPr>
        <w:pStyle w:val="1379"/>
        <w:rPr>
          <w:rFonts w:ascii="宋体"/>
          <w:color w:val="auto"/>
          <w:sz w:val="24"/>
          <w:szCs w:val="24"/>
          <w:highlight w:val="none"/>
        </w:rPr>
      </w:pPr>
      <w:r>
        <w:rPr>
          <w:rFonts w:hint="eastAsia" w:ascii="宋体"/>
          <w:color w:val="auto"/>
          <w:sz w:val="24"/>
          <w:szCs w:val="24"/>
          <w:highlight w:val="none"/>
        </w:rPr>
        <w:t xml:space="preserve">                                 </w:t>
      </w:r>
    </w:p>
    <w:p w14:paraId="016A6241">
      <w:pPr>
        <w:pStyle w:val="1379"/>
        <w:rPr>
          <w:rFonts w:ascii="宋体"/>
          <w:color w:val="auto"/>
          <w:sz w:val="24"/>
          <w:szCs w:val="24"/>
          <w:highlight w:val="none"/>
        </w:rPr>
      </w:pPr>
      <w:r>
        <w:rPr>
          <w:rFonts w:hint="eastAsia" w:ascii="宋体"/>
          <w:color w:val="auto"/>
          <w:sz w:val="24"/>
          <w:szCs w:val="24"/>
          <w:highlight w:val="none"/>
        </w:rPr>
        <w:t xml:space="preserve">事实依据和证明材料：（可另附页详细说明） </w:t>
      </w:r>
    </w:p>
    <w:p w14:paraId="44D93CB0">
      <w:pPr>
        <w:pStyle w:val="1379"/>
        <w:rPr>
          <w:rFonts w:ascii="宋体"/>
          <w:color w:val="auto"/>
          <w:sz w:val="24"/>
          <w:szCs w:val="24"/>
          <w:highlight w:val="none"/>
        </w:rPr>
      </w:pPr>
      <w:r>
        <w:rPr>
          <w:rFonts w:hint="eastAsia" w:ascii="宋体"/>
          <w:color w:val="auto"/>
          <w:sz w:val="24"/>
          <w:szCs w:val="24"/>
          <w:highlight w:val="none"/>
        </w:rPr>
        <w:t xml:space="preserve">                                 </w:t>
      </w:r>
    </w:p>
    <w:p w14:paraId="4A3348B3">
      <w:pPr>
        <w:pStyle w:val="1379"/>
        <w:rPr>
          <w:rFonts w:ascii="宋体"/>
          <w:color w:val="auto"/>
          <w:sz w:val="24"/>
          <w:szCs w:val="24"/>
          <w:highlight w:val="none"/>
        </w:rPr>
      </w:pPr>
      <w:r>
        <w:rPr>
          <w:rFonts w:hint="eastAsia" w:ascii="宋体"/>
          <w:color w:val="auto"/>
          <w:sz w:val="24"/>
          <w:szCs w:val="24"/>
          <w:highlight w:val="none"/>
        </w:rPr>
        <w:t xml:space="preserve">法律依据：（可另附页详细说明）  </w:t>
      </w:r>
    </w:p>
    <w:p w14:paraId="0A8E6657">
      <w:pPr>
        <w:pStyle w:val="1379"/>
        <w:rPr>
          <w:rFonts w:ascii="宋体"/>
          <w:color w:val="auto"/>
          <w:sz w:val="24"/>
          <w:szCs w:val="24"/>
          <w:highlight w:val="none"/>
        </w:rPr>
      </w:pPr>
      <w:r>
        <w:rPr>
          <w:rFonts w:hint="eastAsia" w:ascii="宋体"/>
          <w:color w:val="auto"/>
          <w:sz w:val="24"/>
          <w:szCs w:val="24"/>
          <w:highlight w:val="none"/>
        </w:rPr>
        <w:t xml:space="preserve">                                </w:t>
      </w:r>
    </w:p>
    <w:p w14:paraId="747B0FBC">
      <w:pPr>
        <w:pStyle w:val="1379"/>
        <w:rPr>
          <w:rFonts w:ascii="宋体"/>
          <w:color w:val="auto"/>
          <w:sz w:val="24"/>
          <w:szCs w:val="24"/>
          <w:highlight w:val="none"/>
        </w:rPr>
      </w:pPr>
      <w:r>
        <w:rPr>
          <w:rFonts w:hint="eastAsia" w:ascii="宋体"/>
          <w:color w:val="auto"/>
          <w:sz w:val="24"/>
          <w:szCs w:val="24"/>
          <w:highlight w:val="none"/>
        </w:rPr>
        <w:t xml:space="preserve">其他需要说明的事项：（可另附页详细说明）                                  </w:t>
      </w:r>
    </w:p>
    <w:p w14:paraId="7A67FCC0">
      <w:pPr>
        <w:pStyle w:val="1379"/>
        <w:rPr>
          <w:rFonts w:ascii="宋体"/>
          <w:color w:val="auto"/>
          <w:sz w:val="24"/>
          <w:szCs w:val="24"/>
          <w:highlight w:val="none"/>
        </w:rPr>
      </w:pPr>
    </w:p>
    <w:p w14:paraId="06188B73">
      <w:pPr>
        <w:pStyle w:val="1379"/>
        <w:rPr>
          <w:rFonts w:ascii="宋体"/>
          <w:color w:val="auto"/>
          <w:sz w:val="24"/>
          <w:szCs w:val="24"/>
          <w:highlight w:val="none"/>
        </w:rPr>
      </w:pPr>
    </w:p>
    <w:p w14:paraId="4594D33B">
      <w:pPr>
        <w:pStyle w:val="1379"/>
        <w:rPr>
          <w:rFonts w:ascii="宋体"/>
          <w:color w:val="auto"/>
          <w:sz w:val="24"/>
          <w:szCs w:val="24"/>
          <w:highlight w:val="none"/>
        </w:rPr>
      </w:pPr>
    </w:p>
    <w:p w14:paraId="550464A5">
      <w:pPr>
        <w:pStyle w:val="1379"/>
        <w:rPr>
          <w:color w:val="auto"/>
          <w:sz w:val="28"/>
          <w:szCs w:val="28"/>
          <w:highlight w:val="none"/>
        </w:rPr>
      </w:pPr>
    </w:p>
    <w:p w14:paraId="6ECF30ED">
      <w:pPr>
        <w:pStyle w:val="1379"/>
        <w:wordWrap w:val="0"/>
        <w:ind w:right="1120" w:firstLine="5040"/>
        <w:rPr>
          <w:rFonts w:ascii="宋体"/>
          <w:color w:val="auto"/>
          <w:sz w:val="24"/>
          <w:szCs w:val="24"/>
          <w:highlight w:val="none"/>
        </w:rPr>
      </w:pPr>
      <w:r>
        <w:rPr>
          <w:rFonts w:hint="eastAsia" w:ascii="宋体"/>
          <w:color w:val="auto"/>
          <w:sz w:val="24"/>
          <w:szCs w:val="24"/>
          <w:highlight w:val="none"/>
        </w:rPr>
        <w:t>日期：  年  月  日</w:t>
      </w:r>
    </w:p>
    <w:p w14:paraId="54ED006C">
      <w:pPr>
        <w:pStyle w:val="1379"/>
        <w:wordWrap w:val="0"/>
        <w:ind w:right="1120" w:firstLine="5040"/>
        <w:rPr>
          <w:rFonts w:ascii="宋体"/>
          <w:color w:val="auto"/>
          <w:sz w:val="24"/>
          <w:szCs w:val="24"/>
          <w:highlight w:val="none"/>
        </w:rPr>
      </w:pPr>
    </w:p>
    <w:p w14:paraId="2ACA541D">
      <w:pPr>
        <w:pStyle w:val="1379"/>
        <w:ind w:right="740"/>
        <w:jc w:val="right"/>
        <w:rPr>
          <w:rFonts w:ascii="宋体"/>
          <w:color w:val="auto"/>
          <w:sz w:val="24"/>
          <w:szCs w:val="24"/>
          <w:highlight w:val="none"/>
        </w:rPr>
      </w:pPr>
      <w:r>
        <w:rPr>
          <w:rFonts w:hint="eastAsia" w:ascii="宋体"/>
          <w:color w:val="auto"/>
          <w:sz w:val="24"/>
          <w:szCs w:val="24"/>
          <w:highlight w:val="none"/>
        </w:rPr>
        <w:t>质疑人单位法人代表签字：</w:t>
      </w:r>
    </w:p>
    <w:p w14:paraId="3D292881">
      <w:pPr>
        <w:pStyle w:val="1379"/>
        <w:ind w:right="740"/>
        <w:jc w:val="right"/>
        <w:rPr>
          <w:rFonts w:ascii="宋体"/>
          <w:color w:val="auto"/>
          <w:sz w:val="24"/>
          <w:szCs w:val="24"/>
          <w:highlight w:val="none"/>
        </w:rPr>
      </w:pPr>
    </w:p>
    <w:p w14:paraId="121EC2A8">
      <w:pPr>
        <w:pStyle w:val="1379"/>
        <w:ind w:right="900"/>
        <w:jc w:val="right"/>
        <w:rPr>
          <w:rFonts w:ascii="宋体"/>
          <w:color w:val="auto"/>
          <w:sz w:val="24"/>
          <w:szCs w:val="24"/>
          <w:highlight w:val="none"/>
        </w:rPr>
      </w:pPr>
      <w:r>
        <w:rPr>
          <w:rFonts w:hint="eastAsia" w:ascii="宋体"/>
          <w:color w:val="auto"/>
          <w:sz w:val="24"/>
          <w:szCs w:val="24"/>
          <w:highlight w:val="none"/>
        </w:rPr>
        <w:t>质疑人单位全称（盖章）：</w:t>
      </w:r>
    </w:p>
    <w:p w14:paraId="538A14FF">
      <w:pPr>
        <w:pStyle w:val="1379"/>
        <w:rPr>
          <w:rFonts w:ascii="Calibri" w:hAnsi="Calibri"/>
          <w:color w:val="auto"/>
          <w:szCs w:val="22"/>
          <w:highlight w:val="none"/>
        </w:rPr>
      </w:pPr>
    </w:p>
    <w:p w14:paraId="4422F5E0">
      <w:pPr>
        <w:pStyle w:val="1379"/>
        <w:rPr>
          <w:color w:val="auto"/>
          <w:highlight w:val="none"/>
        </w:rPr>
      </w:pPr>
    </w:p>
    <w:p w14:paraId="65CAB1E1">
      <w:pPr>
        <w:pStyle w:val="1379"/>
        <w:rPr>
          <w:color w:val="auto"/>
          <w:highlight w:val="none"/>
        </w:rPr>
      </w:pPr>
    </w:p>
    <w:p w14:paraId="3AFB5A1F">
      <w:pPr>
        <w:pStyle w:val="1379"/>
        <w:rPr>
          <w:color w:val="auto"/>
          <w:highlight w:val="none"/>
        </w:rPr>
      </w:pPr>
    </w:p>
    <w:p w14:paraId="54168B51">
      <w:pPr>
        <w:pStyle w:val="1379"/>
        <w:rPr>
          <w:color w:val="auto"/>
          <w:highlight w:val="none"/>
        </w:rPr>
      </w:pPr>
    </w:p>
    <w:p w14:paraId="6FA89CCD">
      <w:pPr>
        <w:pStyle w:val="1379"/>
        <w:rPr>
          <w:color w:val="auto"/>
          <w:highlight w:val="none"/>
        </w:rPr>
      </w:pPr>
      <w:r>
        <w:rPr>
          <w:rFonts w:hint="eastAsia"/>
          <w:color w:val="auto"/>
          <w:highlight w:val="none"/>
        </w:rPr>
        <w:t>注：</w:t>
      </w:r>
      <w:r>
        <w:rPr>
          <w:color w:val="auto"/>
          <w:highlight w:val="none"/>
        </w:rPr>
        <w:t>1.</w:t>
      </w:r>
      <w:r>
        <w:rPr>
          <w:rFonts w:hint="eastAsia"/>
          <w:color w:val="auto"/>
          <w:highlight w:val="none"/>
        </w:rPr>
        <w:t>供应商为自然人的，由本人签字；供应商为法人或者其他组织的，应当由法定代表人签字并加盖公章。</w:t>
      </w:r>
    </w:p>
    <w:p w14:paraId="2BA1B520">
      <w:pPr>
        <w:pStyle w:val="1379"/>
        <w:ind w:firstLine="315"/>
        <w:rPr>
          <w:color w:val="auto"/>
          <w:highlight w:val="none"/>
        </w:rPr>
      </w:pPr>
      <w:r>
        <w:rPr>
          <w:rFonts w:hint="eastAsia" w:ascii="宋体"/>
          <w:color w:val="auto"/>
          <w:kern w:val="0"/>
          <w:szCs w:val="21"/>
          <w:highlight w:val="none"/>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color w:val="auto"/>
          <w:highlight w:val="none"/>
        </w:rPr>
        <w:t>。</w:t>
      </w:r>
    </w:p>
    <w:p w14:paraId="24CFAADE">
      <w:pPr>
        <w:pStyle w:val="1251"/>
        <w:rPr>
          <w:color w:val="auto"/>
          <w:highlight w:val="none"/>
        </w:rPr>
      </w:pPr>
    </w:p>
    <w:p w14:paraId="67BB523C">
      <w:pPr>
        <w:pStyle w:val="1251"/>
        <w:rPr>
          <w:color w:val="auto"/>
          <w:highlight w:val="none"/>
        </w:rPr>
      </w:pPr>
    </w:p>
    <w:p w14:paraId="5F841C47">
      <w:pPr>
        <w:pStyle w:val="161"/>
        <w:ind w:firstLine="300"/>
        <w:rPr>
          <w:color w:val="auto"/>
          <w:highlight w:val="none"/>
        </w:rPr>
      </w:pPr>
    </w:p>
    <w:p w14:paraId="641DB3EC">
      <w:pPr>
        <w:pStyle w:val="161"/>
        <w:ind w:firstLine="300"/>
        <w:rPr>
          <w:color w:val="auto"/>
          <w:highlight w:val="none"/>
        </w:rPr>
      </w:pPr>
    </w:p>
    <w:p w14:paraId="7F8EDB25">
      <w:pPr>
        <w:pStyle w:val="161"/>
        <w:ind w:firstLine="300"/>
        <w:rPr>
          <w:color w:val="auto"/>
          <w:highlight w:val="none"/>
        </w:rPr>
      </w:pPr>
    </w:p>
    <w:p w14:paraId="2E7741C4">
      <w:pPr>
        <w:pStyle w:val="161"/>
        <w:ind w:firstLine="300"/>
        <w:rPr>
          <w:color w:val="auto"/>
          <w:highlight w:val="none"/>
        </w:rPr>
      </w:pPr>
    </w:p>
    <w:p w14:paraId="63D7C12E">
      <w:pPr>
        <w:pStyle w:val="161"/>
        <w:ind w:firstLine="300"/>
        <w:rPr>
          <w:color w:val="auto"/>
          <w:highlight w:val="none"/>
        </w:rPr>
      </w:pPr>
    </w:p>
    <w:p w14:paraId="0FAA32D5">
      <w:pPr>
        <w:spacing w:line="360" w:lineRule="auto"/>
        <w:rPr>
          <w:rFonts w:ascii="宋体"/>
          <w:color w:val="auto"/>
          <w:kern w:val="0"/>
          <w:sz w:val="24"/>
          <w:szCs w:val="21"/>
          <w:highlight w:val="none"/>
          <w:u w:val="single"/>
        </w:rPr>
      </w:pPr>
      <w:bookmarkStart w:id="626" w:name="_Toc151193889"/>
      <w:bookmarkStart w:id="627" w:name="_Toc177995500"/>
      <w:bookmarkStart w:id="628" w:name="_Toc168709961"/>
      <w:bookmarkStart w:id="629" w:name="_Toc151193966"/>
      <w:bookmarkStart w:id="630" w:name="_Toc178058922"/>
    </w:p>
    <w:p w14:paraId="773823A8">
      <w:pPr>
        <w:adjustRightInd w:val="0"/>
        <w:spacing w:before="240" w:beforeLines="100"/>
        <w:ind w:right="958"/>
        <w:jc w:val="left"/>
        <w:textAlignment w:val="baseline"/>
        <w:rPr>
          <w:rFonts w:ascii="宋体"/>
          <w:color w:val="auto"/>
          <w:kern w:val="0"/>
          <w:sz w:val="28"/>
          <w:szCs w:val="28"/>
          <w:highlight w:val="none"/>
        </w:rPr>
      </w:pPr>
      <w:r>
        <w:rPr>
          <w:rFonts w:hint="eastAsia" w:ascii="宋体"/>
          <w:color w:val="auto"/>
          <w:kern w:val="0"/>
          <w:sz w:val="24"/>
          <w:highlight w:val="none"/>
        </w:rPr>
        <w:t xml:space="preserve">附件12 </w:t>
      </w:r>
    </w:p>
    <w:p w14:paraId="711F7940">
      <w:pPr>
        <w:jc w:val="center"/>
        <w:outlineLvl w:val="1"/>
        <w:rPr>
          <w:rFonts w:ascii="宋体"/>
          <w:b/>
          <w:bCs/>
          <w:color w:val="auto"/>
          <w:kern w:val="0"/>
          <w:sz w:val="24"/>
          <w:highlight w:val="none"/>
        </w:rPr>
      </w:pPr>
      <w:bookmarkStart w:id="631" w:name="_Toc19780"/>
      <w:r>
        <w:rPr>
          <w:rFonts w:hint="eastAsia" w:ascii="宋体"/>
          <w:b/>
          <w:bCs/>
          <w:color w:val="auto"/>
          <w:kern w:val="0"/>
          <w:sz w:val="24"/>
          <w:highlight w:val="none"/>
        </w:rPr>
        <w:t>没有重大违法记录的书面声明</w:t>
      </w:r>
      <w:bookmarkEnd w:id="631"/>
    </w:p>
    <w:p w14:paraId="5BC84411">
      <w:pPr>
        <w:spacing w:line="360" w:lineRule="auto"/>
        <w:jc w:val="center"/>
        <w:rPr>
          <w:rFonts w:ascii="宋体"/>
          <w:b/>
          <w:color w:val="auto"/>
          <w:sz w:val="28"/>
          <w:szCs w:val="28"/>
          <w:highlight w:val="none"/>
        </w:rPr>
      </w:pPr>
    </w:p>
    <w:p w14:paraId="60BFCE2E">
      <w:pPr>
        <w:spacing w:line="360" w:lineRule="auto"/>
        <w:rPr>
          <w:rFonts w:ascii="宋体"/>
          <w:color w:val="auto"/>
          <w:sz w:val="24"/>
          <w:highlight w:val="none"/>
        </w:rPr>
      </w:pPr>
      <w:r>
        <w:rPr>
          <w:rFonts w:hint="eastAsia" w:ascii="宋体"/>
          <w:color w:val="auto"/>
          <w:sz w:val="24"/>
          <w:highlight w:val="none"/>
        </w:rPr>
        <w:t>致：中华人民共和国阳江海关</w:t>
      </w:r>
    </w:p>
    <w:p w14:paraId="415A6F9E">
      <w:pPr>
        <w:spacing w:line="360" w:lineRule="auto"/>
        <w:ind w:firstLine="540"/>
        <w:rPr>
          <w:rFonts w:ascii="宋体"/>
          <w:color w:val="auto"/>
          <w:sz w:val="24"/>
          <w:highlight w:val="none"/>
        </w:rPr>
      </w:pPr>
      <w:r>
        <w:rPr>
          <w:rFonts w:hint="eastAsia" w:ascii="宋体"/>
          <w:color w:val="auto"/>
          <w:sz w:val="24"/>
          <w:highlight w:val="none"/>
        </w:rPr>
        <w:t>根据《政府采购法》第二十二条的规定，本公司郑重声明：</w:t>
      </w:r>
      <w:r>
        <w:rPr>
          <w:rFonts w:hint="eastAsia" w:ascii="宋体"/>
          <w:b/>
          <w:color w:val="auto"/>
          <w:sz w:val="24"/>
          <w:highlight w:val="none"/>
        </w:rPr>
        <w:t>参加此次采购活动前三年内在经营活动中没有发生过以下重大违法记录</w:t>
      </w:r>
      <w:r>
        <w:rPr>
          <w:rFonts w:hint="eastAsia" w:ascii="宋体"/>
          <w:color w:val="auto"/>
          <w:sz w:val="24"/>
          <w:highlight w:val="none"/>
        </w:rPr>
        <w:t>：</w:t>
      </w:r>
    </w:p>
    <w:p w14:paraId="25E9796E">
      <w:pPr>
        <w:numPr>
          <w:ilvl w:val="0"/>
          <w:numId w:val="15"/>
        </w:numPr>
        <w:spacing w:line="360" w:lineRule="auto"/>
        <w:rPr>
          <w:rFonts w:ascii="宋体"/>
          <w:color w:val="auto"/>
          <w:sz w:val="24"/>
          <w:highlight w:val="none"/>
        </w:rPr>
      </w:pPr>
      <w:r>
        <w:rPr>
          <w:rFonts w:hint="eastAsia" w:ascii="宋体"/>
          <w:color w:val="auto"/>
          <w:sz w:val="24"/>
          <w:highlight w:val="none"/>
        </w:rPr>
        <w:t>因违法经营受到刑事处罚；</w:t>
      </w:r>
    </w:p>
    <w:p w14:paraId="00A05FBC">
      <w:pPr>
        <w:numPr>
          <w:ilvl w:val="0"/>
          <w:numId w:val="15"/>
        </w:numPr>
        <w:spacing w:line="360" w:lineRule="auto"/>
        <w:rPr>
          <w:rFonts w:ascii="宋体"/>
          <w:color w:val="auto"/>
          <w:sz w:val="24"/>
          <w:highlight w:val="none"/>
        </w:rPr>
      </w:pPr>
      <w:r>
        <w:rPr>
          <w:rFonts w:hint="eastAsia" w:ascii="宋体"/>
          <w:color w:val="auto"/>
          <w:sz w:val="24"/>
          <w:highlight w:val="none"/>
        </w:rPr>
        <w:t>因违法经营受到责令停产停业、吊销许可证或者执照、较大数额罚款等行政处罚。</w:t>
      </w:r>
    </w:p>
    <w:p w14:paraId="348CBEE1">
      <w:pPr>
        <w:spacing w:line="360" w:lineRule="auto"/>
        <w:ind w:firstLine="540"/>
        <w:rPr>
          <w:rFonts w:ascii="宋体"/>
          <w:color w:val="auto"/>
          <w:sz w:val="24"/>
          <w:highlight w:val="none"/>
        </w:rPr>
      </w:pPr>
      <w:r>
        <w:rPr>
          <w:rFonts w:hint="eastAsia" w:ascii="宋体" w:cs="Arial"/>
          <w:color w:val="auto"/>
          <w:sz w:val="24"/>
          <w:highlight w:val="none"/>
        </w:rPr>
        <w:t>本公司对上述声明的真实性负责。如有虚假，将依法承担相应责任。</w:t>
      </w:r>
    </w:p>
    <w:p w14:paraId="2F8DB9CC">
      <w:pPr>
        <w:spacing w:line="360" w:lineRule="auto"/>
        <w:ind w:firstLine="540"/>
        <w:rPr>
          <w:rFonts w:ascii="宋体"/>
          <w:color w:val="auto"/>
          <w:sz w:val="24"/>
          <w:highlight w:val="none"/>
        </w:rPr>
      </w:pPr>
    </w:p>
    <w:p w14:paraId="02169708">
      <w:pPr>
        <w:spacing w:line="360" w:lineRule="auto"/>
        <w:ind w:firstLine="540"/>
        <w:rPr>
          <w:rFonts w:ascii="宋体"/>
          <w:color w:val="auto"/>
          <w:sz w:val="24"/>
          <w:highlight w:val="none"/>
        </w:rPr>
      </w:pPr>
    </w:p>
    <w:p w14:paraId="2944E690">
      <w:pPr>
        <w:spacing w:line="360" w:lineRule="auto"/>
        <w:ind w:firstLine="540"/>
        <w:rPr>
          <w:rFonts w:ascii="宋体"/>
          <w:color w:val="auto"/>
          <w:sz w:val="24"/>
          <w:highlight w:val="none"/>
        </w:rPr>
      </w:pPr>
    </w:p>
    <w:p w14:paraId="0A63ED29">
      <w:pPr>
        <w:pStyle w:val="1419"/>
        <w:spacing w:line="360" w:lineRule="auto"/>
        <w:ind w:right="480"/>
        <w:jc w:val="center"/>
        <w:rPr>
          <w:rFonts w:ascii="宋体"/>
          <w:color w:val="auto"/>
          <w:sz w:val="24"/>
          <w:szCs w:val="24"/>
          <w:highlight w:val="none"/>
        </w:rPr>
      </w:pPr>
      <w:r>
        <w:rPr>
          <w:rFonts w:hint="eastAsia" w:ascii="宋体"/>
          <w:color w:val="auto"/>
          <w:sz w:val="24"/>
          <w:highlight w:val="none"/>
        </w:rPr>
        <w:t xml:space="preserve">                                    供应商</w:t>
      </w:r>
      <w:r>
        <w:rPr>
          <w:rFonts w:hint="eastAsia" w:ascii="宋体"/>
          <w:color w:val="auto"/>
          <w:sz w:val="24"/>
          <w:szCs w:val="24"/>
          <w:highlight w:val="none"/>
        </w:rPr>
        <w:t>名称（加盖公章）：</w:t>
      </w:r>
    </w:p>
    <w:p w14:paraId="2F181358">
      <w:pPr>
        <w:pStyle w:val="1419"/>
        <w:spacing w:line="360" w:lineRule="auto"/>
        <w:ind w:right="480"/>
        <w:jc w:val="center"/>
        <w:rPr>
          <w:rFonts w:ascii="宋体"/>
          <w:color w:val="auto"/>
          <w:sz w:val="24"/>
          <w:szCs w:val="24"/>
          <w:highlight w:val="none"/>
        </w:rPr>
      </w:pPr>
      <w:r>
        <w:rPr>
          <w:rFonts w:hint="eastAsia" w:ascii="宋体"/>
          <w:color w:val="auto"/>
          <w:sz w:val="24"/>
          <w:highlight w:val="none"/>
        </w:rPr>
        <w:t xml:space="preserve">                              供应商</w:t>
      </w:r>
      <w:r>
        <w:rPr>
          <w:rFonts w:hint="eastAsia" w:ascii="宋体"/>
          <w:color w:val="auto"/>
          <w:sz w:val="24"/>
          <w:szCs w:val="24"/>
          <w:highlight w:val="none"/>
        </w:rPr>
        <w:t>代表签字：</w:t>
      </w:r>
    </w:p>
    <w:p w14:paraId="1450C59B">
      <w:pPr>
        <w:pStyle w:val="1419"/>
        <w:spacing w:line="360" w:lineRule="auto"/>
        <w:ind w:right="480"/>
        <w:jc w:val="center"/>
        <w:rPr>
          <w:rFonts w:ascii="宋体"/>
          <w:color w:val="auto"/>
          <w:sz w:val="24"/>
          <w:szCs w:val="24"/>
          <w:highlight w:val="none"/>
        </w:rPr>
      </w:pPr>
      <w:r>
        <w:rPr>
          <w:rFonts w:hint="eastAsia" w:ascii="宋体"/>
          <w:color w:val="auto"/>
          <w:sz w:val="24"/>
          <w:szCs w:val="24"/>
          <w:highlight w:val="none"/>
        </w:rPr>
        <w:t xml:space="preserve">                    日期：          </w:t>
      </w:r>
    </w:p>
    <w:p w14:paraId="45DC67B3">
      <w:pPr>
        <w:spacing w:line="360" w:lineRule="auto"/>
        <w:rPr>
          <w:rFonts w:ascii="宋体"/>
          <w:color w:val="auto"/>
          <w:sz w:val="28"/>
          <w:szCs w:val="28"/>
          <w:highlight w:val="none"/>
        </w:rPr>
      </w:pPr>
    </w:p>
    <w:p w14:paraId="7DB789C2">
      <w:pPr>
        <w:spacing w:line="360" w:lineRule="auto"/>
        <w:ind w:firstLine="540"/>
        <w:rPr>
          <w:rFonts w:ascii="宋体"/>
          <w:color w:val="auto"/>
          <w:sz w:val="24"/>
          <w:highlight w:val="none"/>
        </w:rPr>
      </w:pPr>
      <w:r>
        <w:rPr>
          <w:rFonts w:hint="eastAsia" w:ascii="宋体"/>
          <w:color w:val="auto"/>
          <w:sz w:val="24"/>
          <w:highlight w:val="none"/>
        </w:rPr>
        <w:t>注：1、供应商在参加此次采购活动前三年内因违法经营被禁止在一定期限内参加政府采购活动，期限届满的，可以参加此次采购活动。</w:t>
      </w:r>
    </w:p>
    <w:p w14:paraId="579DE775">
      <w:pPr>
        <w:adjustRightInd w:val="0"/>
        <w:spacing w:before="240" w:beforeLines="100"/>
        <w:ind w:right="-106" w:firstLine="960" w:firstLineChars="400"/>
        <w:jc w:val="left"/>
        <w:textAlignment w:val="baseline"/>
        <w:rPr>
          <w:rFonts w:ascii="宋体"/>
          <w:color w:val="auto"/>
          <w:sz w:val="24"/>
          <w:highlight w:val="none"/>
        </w:rPr>
      </w:pPr>
      <w:r>
        <w:rPr>
          <w:rFonts w:hint="eastAsia" w:ascii="宋体"/>
          <w:color w:val="auto"/>
          <w:sz w:val="24"/>
          <w:highlight w:val="none"/>
        </w:rPr>
        <w:t>2、没有提供此项声明的，将视同缺少实质性响应的内容，按无效响应处理</w:t>
      </w:r>
    </w:p>
    <w:p w14:paraId="453CBC9A">
      <w:pPr>
        <w:adjustRightInd w:val="0"/>
        <w:spacing w:before="240" w:beforeLines="100"/>
        <w:ind w:right="958" w:firstLine="960" w:firstLineChars="400"/>
        <w:jc w:val="left"/>
        <w:textAlignment w:val="baseline"/>
        <w:outlineLvl w:val="0"/>
        <w:rPr>
          <w:rFonts w:ascii="宋体"/>
          <w:color w:val="auto"/>
          <w:sz w:val="24"/>
          <w:highlight w:val="none"/>
        </w:rPr>
      </w:pPr>
    </w:p>
    <w:p w14:paraId="097C2A6A">
      <w:pPr>
        <w:adjustRightInd w:val="0"/>
        <w:spacing w:before="240" w:beforeLines="100"/>
        <w:ind w:right="958" w:firstLine="960" w:firstLineChars="400"/>
        <w:jc w:val="left"/>
        <w:textAlignment w:val="baseline"/>
        <w:outlineLvl w:val="0"/>
        <w:rPr>
          <w:rFonts w:ascii="宋体"/>
          <w:color w:val="auto"/>
          <w:sz w:val="24"/>
          <w:highlight w:val="none"/>
        </w:rPr>
      </w:pPr>
    </w:p>
    <w:p w14:paraId="23150031">
      <w:pPr>
        <w:adjustRightInd w:val="0"/>
        <w:spacing w:before="240" w:beforeLines="100"/>
        <w:ind w:right="958" w:firstLine="960" w:firstLineChars="400"/>
        <w:jc w:val="left"/>
        <w:textAlignment w:val="baseline"/>
        <w:outlineLvl w:val="0"/>
        <w:rPr>
          <w:rFonts w:ascii="宋体"/>
          <w:color w:val="auto"/>
          <w:sz w:val="24"/>
          <w:highlight w:val="none"/>
        </w:rPr>
      </w:pPr>
    </w:p>
    <w:p w14:paraId="3BD8E32B">
      <w:pPr>
        <w:adjustRightInd w:val="0"/>
        <w:spacing w:before="240" w:beforeLines="100"/>
        <w:ind w:right="958" w:firstLine="960" w:firstLineChars="400"/>
        <w:jc w:val="left"/>
        <w:textAlignment w:val="baseline"/>
        <w:outlineLvl w:val="0"/>
        <w:rPr>
          <w:rFonts w:ascii="宋体"/>
          <w:color w:val="auto"/>
          <w:sz w:val="24"/>
          <w:highlight w:val="none"/>
        </w:rPr>
      </w:pPr>
    </w:p>
    <w:p w14:paraId="73CD0193">
      <w:pPr>
        <w:adjustRightInd w:val="0"/>
        <w:spacing w:before="240" w:beforeLines="100"/>
        <w:ind w:right="958" w:firstLine="960" w:firstLineChars="400"/>
        <w:jc w:val="left"/>
        <w:textAlignment w:val="baseline"/>
        <w:outlineLvl w:val="0"/>
        <w:rPr>
          <w:rFonts w:ascii="宋体"/>
          <w:color w:val="auto"/>
          <w:sz w:val="24"/>
          <w:highlight w:val="none"/>
        </w:rPr>
      </w:pPr>
    </w:p>
    <w:p w14:paraId="0C8F5F10">
      <w:pPr>
        <w:pStyle w:val="37"/>
        <w:rPr>
          <w:color w:val="auto"/>
          <w:highlight w:val="none"/>
        </w:rPr>
      </w:pPr>
    </w:p>
    <w:p w14:paraId="1F868AB8">
      <w:pPr>
        <w:pStyle w:val="37"/>
        <w:rPr>
          <w:color w:val="auto"/>
          <w:highlight w:val="none"/>
        </w:rPr>
      </w:pPr>
    </w:p>
    <w:p w14:paraId="2B96DEAB">
      <w:pPr>
        <w:pStyle w:val="37"/>
        <w:rPr>
          <w:color w:val="auto"/>
          <w:highlight w:val="none"/>
        </w:rPr>
      </w:pPr>
    </w:p>
    <w:p w14:paraId="275C3448">
      <w:pPr>
        <w:pStyle w:val="37"/>
        <w:rPr>
          <w:color w:val="auto"/>
          <w:highlight w:val="none"/>
        </w:rPr>
      </w:pPr>
    </w:p>
    <w:p w14:paraId="542D070B">
      <w:pPr>
        <w:adjustRightInd w:val="0"/>
        <w:spacing w:before="240" w:beforeLines="100"/>
        <w:ind w:right="958"/>
        <w:jc w:val="left"/>
        <w:textAlignment w:val="baseline"/>
        <w:outlineLvl w:val="0"/>
        <w:rPr>
          <w:rFonts w:ascii="宋体"/>
          <w:color w:val="auto"/>
          <w:sz w:val="24"/>
          <w:highlight w:val="none"/>
        </w:rPr>
      </w:pPr>
    </w:p>
    <w:p w14:paraId="2E1E4047">
      <w:pPr>
        <w:adjustRightInd w:val="0"/>
        <w:spacing w:before="240" w:beforeLines="100"/>
        <w:ind w:right="958"/>
        <w:jc w:val="left"/>
        <w:textAlignment w:val="baseline"/>
        <w:rPr>
          <w:rFonts w:ascii="宋体"/>
          <w:color w:val="auto"/>
          <w:kern w:val="0"/>
          <w:sz w:val="24"/>
          <w:highlight w:val="none"/>
        </w:rPr>
      </w:pPr>
      <w:r>
        <w:rPr>
          <w:rFonts w:hint="eastAsia" w:ascii="宋体"/>
          <w:color w:val="auto"/>
          <w:kern w:val="0"/>
          <w:sz w:val="24"/>
          <w:highlight w:val="none"/>
        </w:rPr>
        <w:t>附件13</w:t>
      </w:r>
    </w:p>
    <w:p w14:paraId="6ED66177">
      <w:pPr>
        <w:jc w:val="center"/>
        <w:outlineLvl w:val="1"/>
        <w:rPr>
          <w:rFonts w:ascii="宋体"/>
          <w:b/>
          <w:bCs/>
          <w:color w:val="auto"/>
          <w:kern w:val="0"/>
          <w:sz w:val="24"/>
          <w:highlight w:val="none"/>
        </w:rPr>
      </w:pPr>
      <w:bookmarkStart w:id="632" w:name="_Toc14760"/>
      <w:r>
        <w:rPr>
          <w:rFonts w:hint="eastAsia" w:ascii="宋体"/>
          <w:b/>
          <w:bCs/>
          <w:color w:val="auto"/>
          <w:kern w:val="0"/>
          <w:sz w:val="24"/>
          <w:highlight w:val="none"/>
        </w:rPr>
        <w:t>中小企业声明函</w:t>
      </w:r>
      <w:bookmarkEnd w:id="632"/>
    </w:p>
    <w:p w14:paraId="2765BCFE">
      <w:pPr>
        <w:pStyle w:val="1420"/>
        <w:widowControl/>
        <w:autoSpaceDN w:val="0"/>
        <w:spacing w:before="100" w:beforeAutospacing="1" w:after="100" w:afterAutospacing="1" w:line="432" w:lineRule="auto"/>
        <w:rPr>
          <w:rFonts w:ascii="宋体"/>
          <w:color w:val="auto"/>
          <w:sz w:val="24"/>
          <w:szCs w:val="24"/>
          <w:highlight w:val="none"/>
        </w:rPr>
      </w:pPr>
      <w:r>
        <w:rPr>
          <w:rFonts w:hint="eastAsia" w:ascii="宋体"/>
          <w:color w:val="auto"/>
          <w:sz w:val="24"/>
          <w:szCs w:val="24"/>
          <w:highlight w:val="none"/>
        </w:rPr>
        <w:t>　　本公司郑重声明，根据《政府采购促进中小企业发展管理办法》(财库〔2020〕46号)的规定，本公司为______（请填写：中型、小型、微型）企业。即，本公司同时满足以下条件：</w:t>
      </w:r>
    </w:p>
    <w:p w14:paraId="2A5909A9">
      <w:pPr>
        <w:pStyle w:val="1420"/>
        <w:widowControl/>
        <w:autoSpaceDN w:val="0"/>
        <w:spacing w:before="100" w:beforeAutospacing="1" w:after="100" w:afterAutospacing="1" w:line="432" w:lineRule="auto"/>
        <w:rPr>
          <w:rFonts w:ascii="宋体"/>
          <w:color w:val="auto"/>
          <w:sz w:val="24"/>
          <w:szCs w:val="24"/>
          <w:highlight w:val="none"/>
        </w:rPr>
      </w:pPr>
      <w:r>
        <w:rPr>
          <w:rFonts w:hint="eastAsia" w:ascii="宋体"/>
          <w:color w:val="auto"/>
          <w:sz w:val="24"/>
          <w:szCs w:val="24"/>
          <w:highlight w:val="none"/>
        </w:rPr>
        <w:t>　　1.根据《工业和信息化部、国家统计局、国家发展和改革委员会、财政部关于印发中小企业划型标准规定的通知》（工信部联企业[2011]300号）规定的划分标准，本公司为______（请填写：中型、小型、微型）企业。</w:t>
      </w:r>
    </w:p>
    <w:p w14:paraId="0A4BB0B3">
      <w:pPr>
        <w:pStyle w:val="1420"/>
        <w:widowControl/>
        <w:autoSpaceDN w:val="0"/>
        <w:spacing w:before="100" w:beforeAutospacing="1" w:after="100" w:afterAutospacing="1" w:line="432" w:lineRule="auto"/>
        <w:rPr>
          <w:rFonts w:ascii="宋体"/>
          <w:color w:val="auto"/>
          <w:sz w:val="24"/>
          <w:szCs w:val="24"/>
          <w:highlight w:val="none"/>
        </w:rPr>
      </w:pPr>
      <w:r>
        <w:rPr>
          <w:rFonts w:hint="eastAsia" w:ascii="宋体"/>
          <w:color w:val="auto"/>
          <w:sz w:val="24"/>
          <w:szCs w:val="24"/>
          <w:highlight w:val="none"/>
        </w:rPr>
        <w:t>　　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1990C0C9">
      <w:pPr>
        <w:pStyle w:val="1420"/>
        <w:widowControl/>
        <w:autoSpaceDN w:val="0"/>
        <w:spacing w:before="100" w:beforeAutospacing="1" w:after="100" w:afterAutospacing="1" w:line="432" w:lineRule="auto"/>
        <w:rPr>
          <w:rFonts w:ascii="宋体"/>
          <w:color w:val="auto"/>
          <w:sz w:val="24"/>
          <w:szCs w:val="24"/>
          <w:highlight w:val="none"/>
        </w:rPr>
      </w:pPr>
      <w:r>
        <w:rPr>
          <w:rFonts w:hint="eastAsia" w:ascii="宋体"/>
          <w:color w:val="auto"/>
          <w:sz w:val="24"/>
          <w:szCs w:val="24"/>
          <w:highlight w:val="none"/>
        </w:rPr>
        <w:t>　　 本公司对上述声明的真实性负责。如有虚假，将依法承担相应责任。</w:t>
      </w:r>
    </w:p>
    <w:p w14:paraId="6A67F8B2">
      <w:pPr>
        <w:pStyle w:val="1420"/>
        <w:autoSpaceDN w:val="0"/>
        <w:spacing w:line="240" w:lineRule="atLeast"/>
        <w:rPr>
          <w:rFonts w:ascii="宋体"/>
          <w:color w:val="auto"/>
          <w:sz w:val="24"/>
          <w:szCs w:val="24"/>
          <w:highlight w:val="none"/>
        </w:rPr>
      </w:pPr>
      <w:r>
        <w:rPr>
          <w:rFonts w:hint="eastAsia" w:ascii="宋体"/>
          <w:color w:val="auto"/>
          <w:sz w:val="24"/>
          <w:szCs w:val="24"/>
          <w:highlight w:val="none"/>
        </w:rPr>
        <w:t>供应商名称（加盖公章）：</w:t>
      </w:r>
    </w:p>
    <w:p w14:paraId="50219469">
      <w:pPr>
        <w:pStyle w:val="1420"/>
        <w:autoSpaceDN w:val="0"/>
        <w:rPr>
          <w:rFonts w:ascii="宋体"/>
          <w:color w:val="auto"/>
          <w:sz w:val="24"/>
          <w:szCs w:val="24"/>
          <w:highlight w:val="none"/>
        </w:rPr>
      </w:pPr>
      <w:r>
        <w:rPr>
          <w:rFonts w:hint="eastAsia" w:ascii="宋体"/>
          <w:color w:val="auto"/>
          <w:sz w:val="24"/>
          <w:szCs w:val="24"/>
          <w:highlight w:val="none"/>
        </w:rPr>
        <w:t>供应商代表签字：</w:t>
      </w:r>
    </w:p>
    <w:p w14:paraId="4166E520">
      <w:pPr>
        <w:pStyle w:val="1420"/>
        <w:autoSpaceDN w:val="0"/>
        <w:rPr>
          <w:rFonts w:ascii="宋体"/>
          <w:color w:val="auto"/>
          <w:sz w:val="24"/>
          <w:szCs w:val="24"/>
          <w:highlight w:val="none"/>
        </w:rPr>
      </w:pPr>
      <w:r>
        <w:rPr>
          <w:rFonts w:hint="eastAsia" w:ascii="宋体"/>
          <w:color w:val="auto"/>
          <w:sz w:val="24"/>
          <w:szCs w:val="24"/>
          <w:highlight w:val="none"/>
        </w:rPr>
        <w:t xml:space="preserve">日期：          </w:t>
      </w:r>
    </w:p>
    <w:p w14:paraId="4423E270">
      <w:pPr>
        <w:adjustRightInd w:val="0"/>
        <w:spacing w:before="240" w:beforeLines="100"/>
        <w:ind w:right="958" w:firstLine="960" w:firstLineChars="400"/>
        <w:jc w:val="left"/>
        <w:textAlignment w:val="baseline"/>
        <w:outlineLvl w:val="0"/>
        <w:rPr>
          <w:rFonts w:ascii="宋体"/>
          <w:color w:val="auto"/>
          <w:sz w:val="24"/>
          <w:highlight w:val="none"/>
        </w:rPr>
      </w:pPr>
    </w:p>
    <w:p w14:paraId="0B569749">
      <w:pPr>
        <w:adjustRightInd w:val="0"/>
        <w:spacing w:before="240" w:beforeLines="100"/>
        <w:ind w:right="958" w:firstLine="960" w:firstLineChars="400"/>
        <w:jc w:val="left"/>
        <w:textAlignment w:val="baseline"/>
        <w:outlineLvl w:val="0"/>
        <w:rPr>
          <w:rFonts w:ascii="宋体"/>
          <w:color w:val="auto"/>
          <w:sz w:val="24"/>
          <w:highlight w:val="none"/>
        </w:rPr>
      </w:pPr>
    </w:p>
    <w:p w14:paraId="15F6F168">
      <w:pPr>
        <w:pStyle w:val="1421"/>
        <w:spacing w:line="360" w:lineRule="auto"/>
        <w:ind w:firstLine="435"/>
        <w:rPr>
          <w:rFonts w:ascii="宋体"/>
          <w:color w:val="auto"/>
          <w:sz w:val="24"/>
          <w:highlight w:val="none"/>
        </w:rPr>
      </w:pPr>
    </w:p>
    <w:p w14:paraId="5075AE7E">
      <w:pPr>
        <w:pStyle w:val="1421"/>
        <w:spacing w:line="360" w:lineRule="auto"/>
        <w:ind w:firstLine="435"/>
        <w:rPr>
          <w:rFonts w:ascii="宋体"/>
          <w:color w:val="auto"/>
          <w:sz w:val="24"/>
          <w:highlight w:val="none"/>
        </w:rPr>
      </w:pPr>
    </w:p>
    <w:p w14:paraId="7BA9B392">
      <w:pPr>
        <w:pStyle w:val="1421"/>
        <w:spacing w:line="360" w:lineRule="auto"/>
        <w:ind w:firstLine="435"/>
        <w:rPr>
          <w:rFonts w:ascii="宋体"/>
          <w:color w:val="auto"/>
          <w:sz w:val="24"/>
          <w:highlight w:val="none"/>
        </w:rPr>
      </w:pPr>
    </w:p>
    <w:p w14:paraId="2163E2C9">
      <w:pPr>
        <w:pStyle w:val="1421"/>
        <w:spacing w:line="360" w:lineRule="auto"/>
        <w:ind w:firstLine="435"/>
        <w:rPr>
          <w:rFonts w:ascii="宋体"/>
          <w:color w:val="auto"/>
          <w:sz w:val="24"/>
          <w:highlight w:val="none"/>
        </w:rPr>
      </w:pPr>
    </w:p>
    <w:p w14:paraId="494CBFF8">
      <w:pPr>
        <w:pStyle w:val="1421"/>
        <w:spacing w:line="360" w:lineRule="auto"/>
        <w:ind w:firstLine="435"/>
        <w:rPr>
          <w:rFonts w:ascii="宋体"/>
          <w:color w:val="auto"/>
          <w:sz w:val="24"/>
          <w:highlight w:val="none"/>
        </w:rPr>
      </w:pPr>
    </w:p>
    <w:p w14:paraId="61C3D181">
      <w:pPr>
        <w:pStyle w:val="1421"/>
        <w:spacing w:line="360" w:lineRule="auto"/>
        <w:ind w:firstLine="435"/>
        <w:rPr>
          <w:rFonts w:ascii="宋体"/>
          <w:color w:val="auto"/>
          <w:sz w:val="24"/>
          <w:highlight w:val="none"/>
        </w:rPr>
      </w:pPr>
    </w:p>
    <w:p w14:paraId="006107C4">
      <w:pPr>
        <w:pStyle w:val="1421"/>
        <w:spacing w:line="360" w:lineRule="auto"/>
        <w:ind w:firstLine="435"/>
        <w:rPr>
          <w:rFonts w:ascii="宋体"/>
          <w:color w:val="auto"/>
          <w:sz w:val="24"/>
          <w:highlight w:val="none"/>
        </w:rPr>
      </w:pPr>
    </w:p>
    <w:p w14:paraId="0862BC6A">
      <w:pPr>
        <w:pStyle w:val="1421"/>
        <w:spacing w:line="360" w:lineRule="auto"/>
        <w:ind w:firstLine="435"/>
        <w:rPr>
          <w:rFonts w:ascii="宋体"/>
          <w:color w:val="auto"/>
          <w:sz w:val="24"/>
          <w:highlight w:val="none"/>
        </w:rPr>
      </w:pPr>
    </w:p>
    <w:p w14:paraId="508408DB">
      <w:pPr>
        <w:pStyle w:val="1421"/>
        <w:spacing w:line="360" w:lineRule="auto"/>
        <w:rPr>
          <w:rFonts w:ascii="宋体"/>
          <w:color w:val="auto"/>
          <w:sz w:val="24"/>
          <w:highlight w:val="none"/>
        </w:rPr>
      </w:pPr>
    </w:p>
    <w:p w14:paraId="7451939F">
      <w:pPr>
        <w:adjustRightInd w:val="0"/>
        <w:spacing w:before="240" w:beforeLines="100"/>
        <w:ind w:right="958"/>
        <w:jc w:val="left"/>
        <w:textAlignment w:val="baseline"/>
        <w:rPr>
          <w:rFonts w:ascii="宋体"/>
          <w:color w:val="auto"/>
          <w:kern w:val="0"/>
          <w:sz w:val="24"/>
          <w:highlight w:val="none"/>
        </w:rPr>
      </w:pPr>
      <w:r>
        <w:rPr>
          <w:rFonts w:hint="eastAsia" w:ascii="宋体"/>
          <w:color w:val="auto"/>
          <w:kern w:val="0"/>
          <w:sz w:val="24"/>
          <w:highlight w:val="none"/>
        </w:rPr>
        <w:t>附件14</w:t>
      </w:r>
    </w:p>
    <w:p w14:paraId="7C589990">
      <w:pPr>
        <w:jc w:val="center"/>
        <w:outlineLvl w:val="1"/>
        <w:rPr>
          <w:rFonts w:ascii="宋体"/>
          <w:b/>
          <w:bCs/>
          <w:color w:val="auto"/>
          <w:kern w:val="0"/>
          <w:sz w:val="24"/>
          <w:highlight w:val="none"/>
        </w:rPr>
      </w:pPr>
      <w:bookmarkStart w:id="633" w:name="_Toc19218"/>
      <w:r>
        <w:rPr>
          <w:rFonts w:hint="eastAsia" w:ascii="宋体"/>
          <w:b/>
          <w:bCs/>
          <w:color w:val="auto"/>
          <w:kern w:val="0"/>
          <w:sz w:val="24"/>
          <w:highlight w:val="none"/>
        </w:rPr>
        <w:t>残疾人福利性单位声明函</w:t>
      </w:r>
      <w:bookmarkEnd w:id="633"/>
    </w:p>
    <w:p w14:paraId="55FD3E8C">
      <w:pPr>
        <w:pStyle w:val="1422"/>
        <w:jc w:val="center"/>
        <w:rPr>
          <w:rFonts w:ascii="黑体" w:eastAsia="黑体"/>
          <w:color w:val="auto"/>
          <w:sz w:val="32"/>
          <w:szCs w:val="32"/>
          <w:highlight w:val="none"/>
        </w:rPr>
      </w:pPr>
    </w:p>
    <w:p w14:paraId="3F7E926B">
      <w:pPr>
        <w:pStyle w:val="1422"/>
        <w:jc w:val="center"/>
        <w:rPr>
          <w:rFonts w:ascii="黑体" w:eastAsia="黑体"/>
          <w:color w:val="auto"/>
          <w:sz w:val="32"/>
          <w:szCs w:val="32"/>
          <w:highlight w:val="none"/>
        </w:rPr>
      </w:pPr>
    </w:p>
    <w:p w14:paraId="3D870419">
      <w:pPr>
        <w:pStyle w:val="1422"/>
        <w:ind w:firstLine="480" w:firstLineChars="200"/>
        <w:jc w:val="left"/>
        <w:rPr>
          <w:rFonts w:ascii="宋体"/>
          <w:color w:val="auto"/>
          <w:sz w:val="24"/>
          <w:highlight w:val="none"/>
        </w:rPr>
      </w:pPr>
      <w:r>
        <w:rPr>
          <w:rFonts w:hint="eastAsia" w:ascii="宋体"/>
          <w:color w:val="auto"/>
          <w:sz w:val="24"/>
          <w:highlight w:val="none"/>
        </w:rPr>
        <w:t>本单位郑重声明，根据《财政部、民政部中国残疾人联合会关于促进残疾人就业政府采购政策的通知》（财库</w:t>
      </w:r>
      <w:r>
        <w:rPr>
          <w:rFonts w:hint="eastAsia" w:ascii="宋体"/>
          <w:color w:val="auto"/>
          <w:sz w:val="24"/>
          <w:szCs w:val="24"/>
          <w:highlight w:val="none"/>
        </w:rPr>
        <w:t>〔</w:t>
      </w:r>
      <w:r>
        <w:rPr>
          <w:rFonts w:hint="eastAsia" w:ascii="宋体"/>
          <w:color w:val="auto"/>
          <w:sz w:val="24"/>
          <w:highlight w:val="none"/>
        </w:rPr>
        <w:t>2017</w:t>
      </w:r>
      <w:r>
        <w:rPr>
          <w:rFonts w:hint="eastAsia" w:ascii="宋体"/>
          <w:color w:val="auto"/>
          <w:sz w:val="24"/>
          <w:szCs w:val="24"/>
          <w:highlight w:val="none"/>
        </w:rPr>
        <w:t>〕</w:t>
      </w:r>
      <w:r>
        <w:rPr>
          <w:rFonts w:hint="eastAsia" w:ascii="宋体"/>
          <w:color w:val="auto"/>
          <w:sz w:val="24"/>
          <w:highlight w:val="none"/>
        </w:rPr>
        <w:t>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14:paraId="60FE5CB1">
      <w:pPr>
        <w:pStyle w:val="1422"/>
        <w:ind w:firstLine="480" w:firstLineChars="200"/>
        <w:jc w:val="left"/>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41B98C51">
      <w:pPr>
        <w:pStyle w:val="1422"/>
        <w:ind w:firstLine="480" w:firstLineChars="200"/>
        <w:jc w:val="left"/>
        <w:rPr>
          <w:rFonts w:ascii="宋体"/>
          <w:color w:val="auto"/>
          <w:sz w:val="24"/>
          <w:highlight w:val="none"/>
        </w:rPr>
      </w:pPr>
    </w:p>
    <w:p w14:paraId="21F201E8">
      <w:pPr>
        <w:pStyle w:val="1422"/>
        <w:ind w:firstLine="480" w:firstLineChars="200"/>
        <w:jc w:val="left"/>
        <w:rPr>
          <w:rFonts w:ascii="宋体"/>
          <w:color w:val="auto"/>
          <w:sz w:val="24"/>
          <w:highlight w:val="none"/>
        </w:rPr>
      </w:pPr>
    </w:p>
    <w:p w14:paraId="0D261683">
      <w:pPr>
        <w:pStyle w:val="1422"/>
        <w:ind w:firstLine="480" w:firstLineChars="200"/>
        <w:jc w:val="left"/>
        <w:rPr>
          <w:rFonts w:ascii="宋体"/>
          <w:color w:val="auto"/>
          <w:sz w:val="24"/>
          <w:highlight w:val="none"/>
        </w:rPr>
      </w:pPr>
      <w:r>
        <w:rPr>
          <w:rFonts w:hint="eastAsia" w:ascii="宋体"/>
          <w:color w:val="auto"/>
          <w:sz w:val="24"/>
          <w:highlight w:val="none"/>
        </w:rPr>
        <w:t>供应商名称（盖章）：</w:t>
      </w:r>
    </w:p>
    <w:p w14:paraId="4C015A1A">
      <w:pPr>
        <w:pStyle w:val="1422"/>
        <w:ind w:firstLine="480" w:firstLineChars="200"/>
        <w:jc w:val="left"/>
        <w:rPr>
          <w:rFonts w:ascii="宋体"/>
          <w:color w:val="auto"/>
          <w:sz w:val="24"/>
          <w:highlight w:val="none"/>
        </w:rPr>
      </w:pPr>
      <w:r>
        <w:rPr>
          <w:rFonts w:hint="eastAsia" w:ascii="宋体"/>
          <w:color w:val="auto"/>
          <w:sz w:val="24"/>
          <w:highlight w:val="none"/>
        </w:rPr>
        <w:t>供应商代表签字：</w:t>
      </w:r>
    </w:p>
    <w:p w14:paraId="39FF236E">
      <w:pPr>
        <w:pStyle w:val="1422"/>
        <w:ind w:firstLine="480" w:firstLineChars="200"/>
        <w:jc w:val="left"/>
        <w:rPr>
          <w:rFonts w:ascii="宋体"/>
          <w:color w:val="auto"/>
          <w:sz w:val="24"/>
          <w:highlight w:val="none"/>
        </w:rPr>
      </w:pPr>
      <w:r>
        <w:rPr>
          <w:rFonts w:hint="eastAsia" w:ascii="宋体"/>
          <w:color w:val="auto"/>
          <w:sz w:val="24"/>
          <w:highlight w:val="none"/>
        </w:rPr>
        <w:t>日期：</w:t>
      </w:r>
    </w:p>
    <w:p w14:paraId="070C49DB">
      <w:pPr>
        <w:pStyle w:val="1422"/>
        <w:ind w:firstLine="480" w:firstLineChars="200"/>
        <w:jc w:val="left"/>
        <w:rPr>
          <w:rFonts w:ascii="宋体"/>
          <w:color w:val="auto"/>
          <w:sz w:val="24"/>
          <w:highlight w:val="none"/>
        </w:rPr>
      </w:pPr>
    </w:p>
    <w:p w14:paraId="2227159C">
      <w:pPr>
        <w:pStyle w:val="1422"/>
        <w:ind w:firstLine="480" w:firstLineChars="200"/>
        <w:jc w:val="left"/>
        <w:rPr>
          <w:rFonts w:ascii="宋体"/>
          <w:color w:val="auto"/>
          <w:sz w:val="24"/>
          <w:highlight w:val="none"/>
        </w:rPr>
      </w:pPr>
    </w:p>
    <w:p w14:paraId="3EEEE7F9">
      <w:pPr>
        <w:pStyle w:val="1422"/>
        <w:ind w:firstLine="420" w:firstLineChars="200"/>
        <w:jc w:val="left"/>
        <w:rPr>
          <w:rFonts w:ascii="Calibri" w:hAnsi="Calibri"/>
          <w:color w:val="auto"/>
          <w:highlight w:val="none"/>
        </w:rPr>
      </w:pPr>
    </w:p>
    <w:p w14:paraId="312FD751">
      <w:pPr>
        <w:pStyle w:val="1422"/>
        <w:ind w:firstLine="420" w:firstLineChars="200"/>
        <w:jc w:val="left"/>
        <w:rPr>
          <w:rFonts w:ascii="Calibri" w:hAnsi="Calibri"/>
          <w:color w:val="auto"/>
          <w:highlight w:val="none"/>
        </w:rPr>
      </w:pPr>
    </w:p>
    <w:p w14:paraId="4B07BEB6">
      <w:pPr>
        <w:pStyle w:val="1422"/>
        <w:ind w:firstLine="420" w:firstLineChars="200"/>
        <w:jc w:val="left"/>
        <w:rPr>
          <w:color w:val="auto"/>
          <w:highlight w:val="none"/>
        </w:rPr>
      </w:pPr>
    </w:p>
    <w:p w14:paraId="7130ED6E">
      <w:pPr>
        <w:pStyle w:val="1422"/>
        <w:ind w:firstLine="420" w:firstLineChars="200"/>
        <w:jc w:val="left"/>
        <w:rPr>
          <w:color w:val="auto"/>
          <w:highlight w:val="none"/>
        </w:rPr>
      </w:pPr>
    </w:p>
    <w:p w14:paraId="14BFEA0F">
      <w:pPr>
        <w:pStyle w:val="1422"/>
        <w:ind w:firstLine="420" w:firstLineChars="200"/>
        <w:jc w:val="left"/>
        <w:rPr>
          <w:color w:val="auto"/>
          <w:highlight w:val="none"/>
        </w:rPr>
      </w:pPr>
    </w:p>
    <w:p w14:paraId="0A42BC56">
      <w:pPr>
        <w:pStyle w:val="1422"/>
        <w:ind w:firstLine="420" w:firstLineChars="200"/>
        <w:jc w:val="left"/>
        <w:rPr>
          <w:color w:val="auto"/>
          <w:highlight w:val="none"/>
        </w:rPr>
      </w:pPr>
    </w:p>
    <w:p w14:paraId="4BDDA00A">
      <w:pPr>
        <w:pStyle w:val="1422"/>
        <w:ind w:firstLine="420" w:firstLineChars="200"/>
        <w:jc w:val="left"/>
        <w:rPr>
          <w:color w:val="auto"/>
          <w:highlight w:val="none"/>
        </w:rPr>
      </w:pPr>
    </w:p>
    <w:p w14:paraId="1BA2E389">
      <w:pPr>
        <w:pStyle w:val="1422"/>
        <w:ind w:firstLine="420" w:firstLineChars="200"/>
        <w:jc w:val="left"/>
        <w:rPr>
          <w:color w:val="auto"/>
          <w:highlight w:val="none"/>
        </w:rPr>
      </w:pPr>
    </w:p>
    <w:p w14:paraId="4C54DB1A">
      <w:pPr>
        <w:pStyle w:val="1422"/>
        <w:ind w:firstLine="420" w:firstLineChars="200"/>
        <w:jc w:val="left"/>
        <w:rPr>
          <w:color w:val="auto"/>
          <w:highlight w:val="none"/>
        </w:rPr>
      </w:pPr>
    </w:p>
    <w:p w14:paraId="334B008C">
      <w:pPr>
        <w:pStyle w:val="1422"/>
        <w:ind w:firstLine="420" w:firstLineChars="200"/>
        <w:jc w:val="left"/>
        <w:rPr>
          <w:color w:val="auto"/>
          <w:highlight w:val="none"/>
        </w:rPr>
      </w:pPr>
    </w:p>
    <w:p w14:paraId="72164DBB">
      <w:pPr>
        <w:pStyle w:val="1422"/>
        <w:ind w:firstLine="420" w:firstLineChars="200"/>
        <w:jc w:val="left"/>
        <w:rPr>
          <w:color w:val="auto"/>
          <w:highlight w:val="none"/>
        </w:rPr>
      </w:pPr>
    </w:p>
    <w:p w14:paraId="6F41A353">
      <w:pPr>
        <w:pStyle w:val="1422"/>
        <w:ind w:firstLine="420" w:firstLineChars="200"/>
        <w:jc w:val="left"/>
        <w:rPr>
          <w:color w:val="auto"/>
          <w:highlight w:val="none"/>
        </w:rPr>
      </w:pPr>
    </w:p>
    <w:p w14:paraId="009A42A0">
      <w:pPr>
        <w:pStyle w:val="1422"/>
        <w:ind w:firstLine="420" w:firstLineChars="200"/>
        <w:jc w:val="left"/>
        <w:rPr>
          <w:rFonts w:ascii="Calibri" w:hAnsi="Calibri"/>
          <w:color w:val="auto"/>
          <w:highlight w:val="none"/>
        </w:rPr>
      </w:pPr>
    </w:p>
    <w:p w14:paraId="6EF0B269">
      <w:pPr>
        <w:pStyle w:val="1422"/>
        <w:ind w:firstLine="420" w:firstLineChars="200"/>
        <w:jc w:val="left"/>
        <w:rPr>
          <w:rFonts w:ascii="Calibri" w:hAnsi="Calibri"/>
          <w:color w:val="auto"/>
          <w:highlight w:val="none"/>
        </w:rPr>
      </w:pPr>
    </w:p>
    <w:p w14:paraId="42783587">
      <w:pPr>
        <w:pStyle w:val="1422"/>
        <w:ind w:firstLine="420" w:firstLineChars="200"/>
        <w:jc w:val="left"/>
        <w:rPr>
          <w:rFonts w:ascii="Calibri" w:hAnsi="Calibri"/>
          <w:color w:val="auto"/>
          <w:highlight w:val="none"/>
        </w:rPr>
      </w:pPr>
    </w:p>
    <w:p w14:paraId="5C9537B9">
      <w:pPr>
        <w:pStyle w:val="1422"/>
        <w:ind w:firstLine="420" w:firstLineChars="200"/>
        <w:jc w:val="left"/>
        <w:rPr>
          <w:rFonts w:ascii="Calibri" w:hAnsi="Calibri"/>
          <w:color w:val="auto"/>
          <w:highlight w:val="none"/>
        </w:rPr>
      </w:pPr>
    </w:p>
    <w:p w14:paraId="792417A3">
      <w:pPr>
        <w:pStyle w:val="1422"/>
        <w:ind w:firstLine="420" w:firstLineChars="200"/>
        <w:jc w:val="left"/>
        <w:rPr>
          <w:color w:val="auto"/>
          <w:highlight w:val="none"/>
        </w:rPr>
      </w:pPr>
    </w:p>
    <w:p w14:paraId="564B2C07">
      <w:pPr>
        <w:pStyle w:val="1423"/>
        <w:rPr>
          <w:rFonts w:ascii="宋体"/>
          <w:b/>
          <w:bCs/>
          <w:color w:val="auto"/>
          <w:kern w:val="0"/>
          <w:sz w:val="24"/>
          <w:szCs w:val="24"/>
          <w:highlight w:val="none"/>
        </w:rPr>
      </w:pPr>
      <w:r>
        <w:rPr>
          <w:color w:val="auto"/>
          <w:highlight w:val="none"/>
        </w:rPr>
        <w:br w:type="page"/>
      </w:r>
    </w:p>
    <w:p w14:paraId="3747E356">
      <w:pPr>
        <w:pStyle w:val="1436"/>
        <w:rPr>
          <w:rFonts w:ascii="宋体"/>
          <w:color w:val="auto"/>
          <w:kern w:val="0"/>
          <w:sz w:val="24"/>
          <w:szCs w:val="24"/>
          <w:highlight w:val="none"/>
        </w:rPr>
      </w:pPr>
      <w:r>
        <w:rPr>
          <w:rFonts w:hint="eastAsia" w:ascii="宋体"/>
          <w:color w:val="auto"/>
          <w:kern w:val="0"/>
          <w:sz w:val="24"/>
          <w:szCs w:val="24"/>
          <w:highlight w:val="none"/>
        </w:rPr>
        <w:t>附件15</w:t>
      </w:r>
    </w:p>
    <w:p w14:paraId="1258BA8B">
      <w:pPr>
        <w:jc w:val="center"/>
        <w:outlineLvl w:val="1"/>
        <w:rPr>
          <w:rFonts w:hint="eastAsia" w:ascii="宋体" w:eastAsia="宋体"/>
          <w:b/>
          <w:bCs/>
          <w:color w:val="auto"/>
          <w:kern w:val="0"/>
          <w:sz w:val="24"/>
          <w:highlight w:val="none"/>
          <w:lang w:eastAsia="zh-CN"/>
        </w:rPr>
      </w:pPr>
      <w:bookmarkStart w:id="634" w:name="_Toc1989"/>
      <w:r>
        <w:rPr>
          <w:rFonts w:hint="eastAsia" w:ascii="宋体"/>
          <w:b/>
          <w:bCs/>
          <w:color w:val="auto"/>
          <w:kern w:val="0"/>
          <w:sz w:val="24"/>
          <w:highlight w:val="none"/>
        </w:rPr>
        <w:t>银行资信证明</w:t>
      </w:r>
      <w:r>
        <w:rPr>
          <w:rFonts w:hint="eastAsia" w:ascii="宋体"/>
          <w:b/>
          <w:bCs/>
          <w:color w:val="auto"/>
          <w:kern w:val="0"/>
          <w:sz w:val="24"/>
          <w:highlight w:val="none"/>
          <w:lang w:eastAsia="zh-CN"/>
        </w:rPr>
        <w:t>（</w:t>
      </w:r>
      <w:r>
        <w:rPr>
          <w:rFonts w:hint="eastAsia" w:ascii="宋体"/>
          <w:b/>
          <w:bCs/>
          <w:color w:val="auto"/>
          <w:kern w:val="0"/>
          <w:sz w:val="24"/>
          <w:highlight w:val="none"/>
          <w:lang w:val="en-US" w:eastAsia="zh-CN"/>
        </w:rPr>
        <w:t>如有</w:t>
      </w:r>
      <w:r>
        <w:rPr>
          <w:rFonts w:hint="eastAsia" w:ascii="宋体"/>
          <w:b/>
          <w:bCs/>
          <w:color w:val="auto"/>
          <w:kern w:val="0"/>
          <w:sz w:val="24"/>
          <w:highlight w:val="none"/>
          <w:lang w:eastAsia="zh-CN"/>
        </w:rPr>
        <w:t>）</w:t>
      </w:r>
      <w:bookmarkEnd w:id="634"/>
    </w:p>
    <w:p w14:paraId="28F3E4E4">
      <w:pPr>
        <w:pStyle w:val="1424"/>
        <w:autoSpaceDN w:val="0"/>
        <w:ind w:firstLine="420"/>
        <w:rPr>
          <w:color w:val="auto"/>
          <w:szCs w:val="24"/>
          <w:highlight w:val="none"/>
        </w:rPr>
      </w:pPr>
    </w:p>
    <w:p w14:paraId="3A7D613A">
      <w:pPr>
        <w:pStyle w:val="1424"/>
        <w:autoSpaceDN w:val="0"/>
        <w:ind w:firstLine="420"/>
        <w:rPr>
          <w:color w:val="auto"/>
          <w:szCs w:val="24"/>
          <w:highlight w:val="none"/>
        </w:rPr>
      </w:pPr>
      <w:r>
        <w:rPr>
          <w:color w:val="auto"/>
          <w:szCs w:val="24"/>
          <w:highlight w:val="none"/>
        </w:rPr>
        <w:t>应答</w:t>
      </w:r>
      <w:r>
        <w:rPr>
          <w:rFonts w:hint="eastAsia"/>
          <w:color w:val="auto"/>
          <w:szCs w:val="24"/>
          <w:highlight w:val="none"/>
        </w:rPr>
        <w:t>文件正本中应为银行在</w:t>
      </w:r>
      <w:r>
        <w:rPr>
          <w:color w:val="auto"/>
          <w:szCs w:val="24"/>
          <w:highlight w:val="none"/>
        </w:rPr>
        <w:t>递交应答文件</w:t>
      </w:r>
      <w:r>
        <w:rPr>
          <w:rFonts w:hint="eastAsia"/>
          <w:color w:val="auto"/>
          <w:szCs w:val="24"/>
          <w:highlight w:val="none"/>
        </w:rPr>
        <w:t>日前三个月内开具的针对本项目或非特指项目的资信证明原件</w:t>
      </w:r>
      <w:r>
        <w:rPr>
          <w:color w:val="auto"/>
          <w:szCs w:val="24"/>
          <w:highlight w:val="none"/>
        </w:rPr>
        <w:t>或复印件</w:t>
      </w:r>
      <w:r>
        <w:rPr>
          <w:rFonts w:hint="eastAsia"/>
          <w:color w:val="auto"/>
          <w:szCs w:val="24"/>
          <w:highlight w:val="none"/>
        </w:rPr>
        <w:t>，资信证明至少应满足以下要求：</w:t>
      </w:r>
    </w:p>
    <w:p w14:paraId="20ACC4B0">
      <w:pPr>
        <w:pStyle w:val="1424"/>
        <w:numPr>
          <w:ilvl w:val="0"/>
          <w:numId w:val="16"/>
        </w:numPr>
        <w:autoSpaceDN w:val="0"/>
        <w:rPr>
          <w:color w:val="auto"/>
          <w:szCs w:val="24"/>
          <w:highlight w:val="none"/>
        </w:rPr>
      </w:pPr>
      <w:r>
        <w:rPr>
          <w:rFonts w:hint="eastAsia"/>
          <w:color w:val="auto"/>
          <w:szCs w:val="24"/>
          <w:highlight w:val="none"/>
        </w:rPr>
        <w:t>供应商基本账户开户行或其上级银行提供；</w:t>
      </w:r>
    </w:p>
    <w:p w14:paraId="38907840">
      <w:pPr>
        <w:pStyle w:val="1424"/>
        <w:numPr>
          <w:ilvl w:val="0"/>
          <w:numId w:val="16"/>
        </w:numPr>
        <w:autoSpaceDN w:val="0"/>
        <w:rPr>
          <w:color w:val="auto"/>
          <w:szCs w:val="24"/>
          <w:highlight w:val="none"/>
        </w:rPr>
      </w:pPr>
      <w:r>
        <w:rPr>
          <w:rFonts w:hint="eastAsia"/>
          <w:color w:val="auto"/>
          <w:szCs w:val="24"/>
          <w:highlight w:val="none"/>
        </w:rPr>
        <w:t>证明供应商</w:t>
      </w:r>
      <w:r>
        <w:rPr>
          <w:rFonts w:hint="eastAsia"/>
          <w:b/>
          <w:bCs/>
          <w:color w:val="auto"/>
          <w:szCs w:val="24"/>
          <w:highlight w:val="none"/>
        </w:rPr>
        <w:t>资信状况良好，往来账款正常，无透支行为</w:t>
      </w:r>
      <w:r>
        <w:rPr>
          <w:rFonts w:hint="eastAsia"/>
          <w:color w:val="auto"/>
          <w:szCs w:val="24"/>
          <w:highlight w:val="none"/>
        </w:rPr>
        <w:t>；</w:t>
      </w:r>
    </w:p>
    <w:p w14:paraId="72C73719">
      <w:pPr>
        <w:pStyle w:val="1424"/>
        <w:numPr>
          <w:ilvl w:val="0"/>
          <w:numId w:val="16"/>
        </w:numPr>
        <w:autoSpaceDN w:val="0"/>
        <w:rPr>
          <w:color w:val="auto"/>
          <w:szCs w:val="24"/>
          <w:highlight w:val="none"/>
        </w:rPr>
      </w:pPr>
      <w:r>
        <w:rPr>
          <w:rFonts w:hint="eastAsia"/>
          <w:b/>
          <w:bCs/>
          <w:color w:val="auto"/>
          <w:szCs w:val="24"/>
          <w:highlight w:val="none"/>
        </w:rPr>
        <w:t>是否有到期未归还的贷款及金额</w:t>
      </w:r>
      <w:r>
        <w:rPr>
          <w:rFonts w:hint="eastAsia"/>
          <w:color w:val="auto"/>
          <w:szCs w:val="24"/>
          <w:highlight w:val="none"/>
        </w:rPr>
        <w:t>；</w:t>
      </w:r>
    </w:p>
    <w:p w14:paraId="330F71BC">
      <w:pPr>
        <w:pStyle w:val="1424"/>
        <w:numPr>
          <w:ilvl w:val="0"/>
          <w:numId w:val="16"/>
        </w:numPr>
        <w:autoSpaceDN w:val="0"/>
        <w:rPr>
          <w:color w:val="auto"/>
          <w:szCs w:val="24"/>
          <w:highlight w:val="none"/>
        </w:rPr>
      </w:pPr>
      <w:r>
        <w:rPr>
          <w:rFonts w:hint="eastAsia"/>
          <w:color w:val="auto"/>
          <w:szCs w:val="24"/>
          <w:highlight w:val="none"/>
        </w:rPr>
        <w:t>具有资信证明开出行有效公章。</w:t>
      </w:r>
    </w:p>
    <w:p w14:paraId="5A16505A">
      <w:pPr>
        <w:pStyle w:val="1424"/>
        <w:autoSpaceDN w:val="0"/>
        <w:rPr>
          <w:color w:val="auto"/>
          <w:szCs w:val="24"/>
          <w:highlight w:val="none"/>
        </w:rPr>
      </w:pPr>
    </w:p>
    <w:p w14:paraId="0F3941BA">
      <w:pPr>
        <w:pStyle w:val="36"/>
        <w:ind w:firstLine="420" w:firstLineChars="200"/>
        <w:rPr>
          <w:color w:val="auto"/>
          <w:highlight w:val="none"/>
        </w:rPr>
      </w:pPr>
    </w:p>
    <w:p w14:paraId="707E099D">
      <w:pPr>
        <w:pStyle w:val="1436"/>
        <w:rPr>
          <w:rFonts w:hint="eastAsia" w:ascii="宋体" w:eastAsia="宋体"/>
          <w:color w:val="auto"/>
          <w:kern w:val="0"/>
          <w:sz w:val="24"/>
          <w:szCs w:val="24"/>
          <w:highlight w:val="none"/>
          <w:lang w:val="en-US" w:eastAsia="zh-CN"/>
        </w:rPr>
      </w:pPr>
      <w:r>
        <w:rPr>
          <w:rFonts w:hint="eastAsia" w:ascii="宋体"/>
          <w:color w:val="auto"/>
          <w:highlight w:val="none"/>
        </w:rPr>
        <w:br w:type="page"/>
      </w:r>
      <w:bookmarkEnd w:id="626"/>
      <w:bookmarkEnd w:id="627"/>
      <w:bookmarkEnd w:id="628"/>
      <w:bookmarkEnd w:id="629"/>
      <w:bookmarkEnd w:id="630"/>
      <w:bookmarkStart w:id="635" w:name="_Toc101545332"/>
      <w:bookmarkStart w:id="636" w:name="_Toc35421492"/>
      <w:bookmarkStart w:id="637" w:name="_Toc249515385"/>
      <w:bookmarkStart w:id="638" w:name="_Toc415499916"/>
      <w:bookmarkStart w:id="639" w:name="_Toc388292434"/>
      <w:bookmarkStart w:id="640" w:name="_Toc249525266"/>
      <w:bookmarkStart w:id="641" w:name="_Toc275099844"/>
      <w:bookmarkStart w:id="642" w:name="_Toc256342167"/>
      <w:bookmarkStart w:id="643" w:name="_Toc307848344"/>
      <w:r>
        <w:rPr>
          <w:rFonts w:hint="eastAsia" w:ascii="宋体"/>
          <w:color w:val="auto"/>
          <w:kern w:val="0"/>
          <w:sz w:val="24"/>
          <w:szCs w:val="24"/>
          <w:highlight w:val="none"/>
        </w:rPr>
        <w:t>附件1</w:t>
      </w:r>
      <w:r>
        <w:rPr>
          <w:rFonts w:hint="eastAsia" w:ascii="宋体"/>
          <w:color w:val="auto"/>
          <w:kern w:val="0"/>
          <w:sz w:val="24"/>
          <w:szCs w:val="24"/>
          <w:highlight w:val="none"/>
          <w:lang w:val="en-US" w:eastAsia="zh-CN"/>
        </w:rPr>
        <w:t>6</w:t>
      </w:r>
    </w:p>
    <w:p w14:paraId="17FB8ADD">
      <w:pPr>
        <w:numPr>
          <w:ilvl w:val="0"/>
          <w:numId w:val="4"/>
        </w:numPr>
        <w:spacing w:line="360" w:lineRule="auto"/>
        <w:contextualSpacing/>
        <w:jc w:val="center"/>
        <w:outlineLvl w:val="1"/>
        <w:rPr>
          <w:rFonts w:ascii="宋体"/>
          <w:b/>
          <w:bCs/>
          <w:color w:val="auto"/>
          <w:kern w:val="0"/>
          <w:sz w:val="24"/>
          <w:highlight w:val="none"/>
        </w:rPr>
      </w:pPr>
      <w:bookmarkStart w:id="644" w:name="_Toc24781"/>
      <w:r>
        <w:rPr>
          <w:rFonts w:hint="eastAsia" w:ascii="宋体"/>
          <w:b/>
          <w:bCs/>
          <w:color w:val="auto"/>
          <w:kern w:val="0"/>
          <w:sz w:val="24"/>
          <w:highlight w:val="none"/>
        </w:rPr>
        <w:t>项目服务方案</w:t>
      </w:r>
      <w:bookmarkEnd w:id="635"/>
      <w:bookmarkEnd w:id="636"/>
      <w:bookmarkEnd w:id="644"/>
    </w:p>
    <w:p w14:paraId="2AEC34F7">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contextualSpacing/>
        <w:rPr>
          <w:color w:val="auto"/>
          <w:szCs w:val="21"/>
          <w:highlight w:val="none"/>
        </w:rPr>
      </w:pPr>
      <w:r>
        <w:rPr>
          <w:rFonts w:hint="eastAsia"/>
          <w:b/>
          <w:bCs/>
          <w:color w:val="auto"/>
          <w:szCs w:val="21"/>
          <w:highlight w:val="none"/>
        </w:rPr>
        <w:t>响应供应商名称：</w:t>
      </w:r>
      <w:r>
        <w:rPr>
          <w:rFonts w:hint="eastAsia"/>
          <w:b/>
          <w:bCs/>
          <w:color w:val="auto"/>
          <w:szCs w:val="21"/>
          <w:highlight w:val="none"/>
          <w:u w:val="single"/>
        </w:rPr>
        <w:t xml:space="preserve">                              </w:t>
      </w:r>
    </w:p>
    <w:p w14:paraId="61C82C22">
      <w:pPr>
        <w:pStyle w:val="21"/>
        <w:ind w:firstLine="420"/>
        <w:contextualSpacing/>
        <w:rPr>
          <w:color w:val="auto"/>
          <w:sz w:val="21"/>
          <w:szCs w:val="21"/>
          <w:highlight w:val="none"/>
        </w:rPr>
      </w:pPr>
      <w:r>
        <w:rPr>
          <w:rFonts w:hint="eastAsia"/>
          <w:color w:val="auto"/>
          <w:sz w:val="21"/>
          <w:szCs w:val="21"/>
          <w:highlight w:val="none"/>
        </w:rPr>
        <w:t>主要内容应包括但不限于以下内容：</w:t>
      </w:r>
    </w:p>
    <w:p w14:paraId="294F883D">
      <w:pPr>
        <w:pStyle w:val="21"/>
        <w:ind w:firstLine="420"/>
        <w:contextualSpacing/>
        <w:rPr>
          <w:color w:val="auto"/>
          <w:sz w:val="21"/>
          <w:szCs w:val="21"/>
          <w:highlight w:val="none"/>
        </w:rPr>
      </w:pPr>
      <w:r>
        <w:rPr>
          <w:rFonts w:hint="eastAsia"/>
          <w:color w:val="auto"/>
          <w:sz w:val="21"/>
          <w:szCs w:val="21"/>
          <w:highlight w:val="none"/>
        </w:rPr>
        <w:t>1、食品质量保证方案；</w:t>
      </w:r>
    </w:p>
    <w:p w14:paraId="6456AF55">
      <w:pPr>
        <w:pStyle w:val="21"/>
        <w:ind w:firstLine="420"/>
        <w:contextualSpacing/>
        <w:rPr>
          <w:color w:val="auto"/>
          <w:sz w:val="21"/>
          <w:szCs w:val="21"/>
          <w:highlight w:val="none"/>
        </w:rPr>
      </w:pPr>
      <w:r>
        <w:rPr>
          <w:rFonts w:hint="eastAsia"/>
          <w:color w:val="auto"/>
          <w:sz w:val="21"/>
          <w:szCs w:val="21"/>
          <w:highlight w:val="none"/>
        </w:rPr>
        <w:t>2、食品安全保障措施方案；</w:t>
      </w:r>
    </w:p>
    <w:p w14:paraId="1DFE307D">
      <w:pPr>
        <w:pStyle w:val="21"/>
        <w:ind w:firstLine="420"/>
        <w:contextualSpacing/>
        <w:rPr>
          <w:color w:val="auto"/>
          <w:sz w:val="21"/>
          <w:szCs w:val="21"/>
          <w:highlight w:val="none"/>
        </w:rPr>
      </w:pPr>
      <w:r>
        <w:rPr>
          <w:rFonts w:hint="eastAsia"/>
          <w:color w:val="auto"/>
          <w:sz w:val="21"/>
          <w:szCs w:val="21"/>
          <w:highlight w:val="none"/>
        </w:rPr>
        <w:t>3、加工间、收货区及储存区域的温度管理控制；</w:t>
      </w:r>
    </w:p>
    <w:p w14:paraId="09718435">
      <w:pPr>
        <w:pStyle w:val="21"/>
        <w:ind w:firstLine="420"/>
        <w:contextualSpacing/>
        <w:rPr>
          <w:color w:val="auto"/>
          <w:sz w:val="21"/>
          <w:szCs w:val="21"/>
          <w:highlight w:val="none"/>
        </w:rPr>
      </w:pPr>
      <w:r>
        <w:rPr>
          <w:rFonts w:hint="eastAsia"/>
          <w:color w:val="auto"/>
          <w:sz w:val="21"/>
          <w:szCs w:val="21"/>
          <w:highlight w:val="none"/>
        </w:rPr>
        <w:t>4、安全卫生应急方案；</w:t>
      </w:r>
    </w:p>
    <w:p w14:paraId="6397E172">
      <w:pPr>
        <w:pStyle w:val="21"/>
        <w:ind w:firstLine="420"/>
        <w:contextualSpacing/>
        <w:rPr>
          <w:color w:val="auto"/>
          <w:sz w:val="21"/>
          <w:szCs w:val="21"/>
          <w:highlight w:val="none"/>
        </w:rPr>
      </w:pPr>
      <w:r>
        <w:rPr>
          <w:rFonts w:hint="eastAsia"/>
          <w:color w:val="auto"/>
          <w:sz w:val="21"/>
          <w:szCs w:val="21"/>
          <w:highlight w:val="none"/>
        </w:rPr>
        <w:t>5、其他</w:t>
      </w:r>
      <w:r>
        <w:rPr>
          <w:rFonts w:hint="eastAsia"/>
          <w:color w:val="auto"/>
          <w:sz w:val="21"/>
          <w:szCs w:val="21"/>
          <w:highlight w:val="none"/>
          <w:lang w:eastAsia="zh-CN"/>
        </w:rPr>
        <w:t>供应商</w:t>
      </w:r>
      <w:r>
        <w:rPr>
          <w:rFonts w:hint="eastAsia"/>
          <w:color w:val="auto"/>
          <w:sz w:val="21"/>
          <w:szCs w:val="21"/>
          <w:highlight w:val="none"/>
        </w:rPr>
        <w:t>认为需要提供的内容。</w:t>
      </w:r>
    </w:p>
    <w:p w14:paraId="5C1932D0">
      <w:pPr>
        <w:pStyle w:val="21"/>
        <w:ind w:firstLine="420"/>
        <w:contextualSpacing/>
        <w:rPr>
          <w:color w:val="auto"/>
          <w:sz w:val="21"/>
          <w:szCs w:val="21"/>
          <w:highlight w:val="none"/>
        </w:rPr>
      </w:pPr>
    </w:p>
    <w:p w14:paraId="7EA857D5">
      <w:pPr>
        <w:pStyle w:val="21"/>
        <w:ind w:firstLine="420"/>
        <w:contextualSpacing/>
        <w:rPr>
          <w:color w:val="auto"/>
          <w:sz w:val="21"/>
          <w:szCs w:val="21"/>
          <w:highlight w:val="none"/>
        </w:rPr>
      </w:pPr>
    </w:p>
    <w:p w14:paraId="21C42164">
      <w:pPr>
        <w:spacing w:line="360" w:lineRule="auto"/>
        <w:contextualSpacing/>
        <w:rPr>
          <w:color w:val="auto"/>
          <w:highlight w:val="none"/>
        </w:rPr>
      </w:pPr>
    </w:p>
    <w:p w14:paraId="30430159">
      <w:pPr>
        <w:pStyle w:val="1455"/>
        <w:spacing w:line="360" w:lineRule="auto"/>
        <w:contextualSpacing/>
        <w:rPr>
          <w:rFonts w:ascii="宋体"/>
          <w:color w:val="auto"/>
          <w:sz w:val="24"/>
          <w:highlight w:val="none"/>
        </w:rPr>
      </w:pPr>
      <w:r>
        <w:rPr>
          <w:rFonts w:hint="eastAsia" w:ascii="宋体"/>
          <w:color w:val="auto"/>
          <w:sz w:val="24"/>
          <w:highlight w:val="none"/>
        </w:rPr>
        <w:t>供应商代表签字</w:t>
      </w:r>
      <w:r>
        <w:rPr>
          <w:rFonts w:hint="eastAsia" w:ascii="宋体"/>
          <w:color w:val="auto"/>
          <w:sz w:val="24"/>
          <w:highlight w:val="none"/>
          <w:u w:val="single"/>
        </w:rPr>
        <w:t xml:space="preserve">                            </w:t>
      </w:r>
    </w:p>
    <w:p w14:paraId="7C4CAE22">
      <w:pPr>
        <w:pStyle w:val="1455"/>
        <w:spacing w:line="360" w:lineRule="auto"/>
        <w:contextualSpacing/>
        <w:rPr>
          <w:rFonts w:ascii="宋体"/>
          <w:color w:val="auto"/>
          <w:sz w:val="24"/>
          <w:highlight w:val="none"/>
        </w:rPr>
      </w:pPr>
      <w:r>
        <w:rPr>
          <w:rFonts w:hint="eastAsia" w:ascii="宋体"/>
          <w:color w:val="auto"/>
          <w:sz w:val="24"/>
          <w:highlight w:val="none"/>
        </w:rPr>
        <w:t>供应商名称（盖章）</w:t>
      </w:r>
      <w:r>
        <w:rPr>
          <w:rFonts w:hint="eastAsia" w:ascii="宋体"/>
          <w:color w:val="auto"/>
          <w:sz w:val="24"/>
          <w:highlight w:val="none"/>
          <w:u w:val="single"/>
        </w:rPr>
        <w:t xml:space="preserve">                        </w:t>
      </w:r>
    </w:p>
    <w:p w14:paraId="34AFD409">
      <w:pPr>
        <w:pStyle w:val="1456"/>
        <w:contextualSpacing/>
        <w:rPr>
          <w:color w:val="auto"/>
          <w:highlight w:val="none"/>
          <w:u w:val="single"/>
        </w:rPr>
      </w:pPr>
      <w:r>
        <w:rPr>
          <w:rFonts w:hint="eastAsia"/>
          <w:color w:val="auto"/>
          <w:highlight w:val="none"/>
        </w:rPr>
        <w:t>日       期</w:t>
      </w:r>
      <w:r>
        <w:rPr>
          <w:rFonts w:hint="eastAsia"/>
          <w:color w:val="auto"/>
          <w:highlight w:val="none"/>
          <w:u w:val="single"/>
        </w:rPr>
        <w:t xml:space="preserve">                                   </w:t>
      </w:r>
    </w:p>
    <w:p w14:paraId="20FBF343">
      <w:pPr>
        <w:pStyle w:val="1253"/>
        <w:widowControl/>
        <w:spacing w:line="360" w:lineRule="auto"/>
        <w:contextualSpacing/>
        <w:rPr>
          <w:rFonts w:ascii="宋体"/>
          <w:color w:val="auto"/>
          <w:szCs w:val="24"/>
          <w:highlight w:val="none"/>
        </w:rPr>
      </w:pPr>
    </w:p>
    <w:p w14:paraId="0CB548BE">
      <w:pPr>
        <w:pStyle w:val="1253"/>
        <w:widowControl/>
        <w:spacing w:line="360" w:lineRule="auto"/>
        <w:contextualSpacing/>
        <w:rPr>
          <w:rFonts w:ascii="宋体"/>
          <w:color w:val="auto"/>
          <w:szCs w:val="24"/>
          <w:highlight w:val="none"/>
        </w:rPr>
      </w:pPr>
    </w:p>
    <w:p w14:paraId="02E6FEEE">
      <w:pPr>
        <w:pStyle w:val="1253"/>
        <w:widowControl/>
        <w:spacing w:line="360" w:lineRule="auto"/>
        <w:contextualSpacing/>
        <w:rPr>
          <w:rFonts w:ascii="宋体"/>
          <w:color w:val="auto"/>
          <w:szCs w:val="24"/>
          <w:highlight w:val="none"/>
        </w:rPr>
      </w:pPr>
    </w:p>
    <w:p w14:paraId="4A1335DD">
      <w:pPr>
        <w:pStyle w:val="1253"/>
        <w:widowControl/>
        <w:spacing w:line="360" w:lineRule="auto"/>
        <w:contextualSpacing/>
        <w:rPr>
          <w:rFonts w:ascii="宋体"/>
          <w:color w:val="auto"/>
          <w:szCs w:val="24"/>
          <w:highlight w:val="none"/>
        </w:rPr>
      </w:pPr>
    </w:p>
    <w:p w14:paraId="6E07E119">
      <w:pPr>
        <w:pStyle w:val="1253"/>
        <w:widowControl/>
        <w:spacing w:line="360" w:lineRule="auto"/>
        <w:contextualSpacing/>
        <w:rPr>
          <w:rFonts w:ascii="宋体"/>
          <w:color w:val="auto"/>
          <w:szCs w:val="24"/>
          <w:highlight w:val="none"/>
        </w:rPr>
      </w:pPr>
    </w:p>
    <w:p w14:paraId="4A71E773">
      <w:pPr>
        <w:pStyle w:val="1253"/>
        <w:widowControl/>
        <w:spacing w:line="360" w:lineRule="auto"/>
        <w:contextualSpacing/>
        <w:rPr>
          <w:rFonts w:ascii="宋体"/>
          <w:color w:val="auto"/>
          <w:szCs w:val="24"/>
          <w:highlight w:val="none"/>
        </w:rPr>
      </w:pPr>
    </w:p>
    <w:p w14:paraId="030AE131">
      <w:pPr>
        <w:pStyle w:val="45"/>
        <w:spacing w:line="360" w:lineRule="auto"/>
        <w:ind w:left="1260"/>
        <w:contextualSpacing/>
        <w:rPr>
          <w:color w:val="auto"/>
          <w:highlight w:val="none"/>
        </w:rPr>
      </w:pPr>
    </w:p>
    <w:p w14:paraId="214B49D9">
      <w:pPr>
        <w:spacing w:line="360" w:lineRule="auto"/>
        <w:contextualSpacing/>
        <w:rPr>
          <w:color w:val="auto"/>
          <w:highlight w:val="none"/>
        </w:rPr>
      </w:pPr>
    </w:p>
    <w:p w14:paraId="39C1E7B3">
      <w:pPr>
        <w:spacing w:line="360" w:lineRule="auto"/>
        <w:contextualSpacing/>
        <w:rPr>
          <w:color w:val="auto"/>
          <w:highlight w:val="none"/>
        </w:rPr>
      </w:pPr>
    </w:p>
    <w:p w14:paraId="52829B7D">
      <w:pPr>
        <w:pStyle w:val="1253"/>
        <w:widowControl/>
        <w:spacing w:line="360" w:lineRule="auto"/>
        <w:contextualSpacing/>
        <w:rPr>
          <w:rFonts w:ascii="宋体"/>
          <w:color w:val="auto"/>
          <w:szCs w:val="24"/>
          <w:highlight w:val="none"/>
        </w:rPr>
      </w:pPr>
    </w:p>
    <w:p w14:paraId="281BF689">
      <w:pPr>
        <w:pStyle w:val="45"/>
        <w:ind w:left="1260"/>
        <w:rPr>
          <w:color w:val="auto"/>
          <w:highlight w:val="none"/>
        </w:rPr>
      </w:pPr>
    </w:p>
    <w:p w14:paraId="787BFCF7">
      <w:pPr>
        <w:rPr>
          <w:color w:val="auto"/>
          <w:highlight w:val="none"/>
        </w:rPr>
      </w:pPr>
    </w:p>
    <w:p w14:paraId="6652C3D8">
      <w:pPr>
        <w:rPr>
          <w:color w:val="auto"/>
          <w:highlight w:val="none"/>
        </w:rPr>
      </w:pPr>
    </w:p>
    <w:p w14:paraId="3B239EFD">
      <w:pPr>
        <w:rPr>
          <w:color w:val="auto"/>
          <w:highlight w:val="none"/>
        </w:rPr>
      </w:pPr>
    </w:p>
    <w:p w14:paraId="733746C2">
      <w:pPr>
        <w:rPr>
          <w:color w:val="auto"/>
          <w:highlight w:val="none"/>
        </w:rPr>
      </w:pPr>
    </w:p>
    <w:p w14:paraId="029FEEFB">
      <w:pPr>
        <w:rPr>
          <w:color w:val="auto"/>
          <w:highlight w:val="none"/>
        </w:rPr>
      </w:pPr>
    </w:p>
    <w:p w14:paraId="760502FA">
      <w:pPr>
        <w:rPr>
          <w:color w:val="auto"/>
          <w:highlight w:val="none"/>
        </w:rPr>
      </w:pPr>
    </w:p>
    <w:p w14:paraId="174FAEDE">
      <w:pPr>
        <w:rPr>
          <w:color w:val="auto"/>
          <w:highlight w:val="none"/>
        </w:rPr>
      </w:pPr>
    </w:p>
    <w:p w14:paraId="42634D96">
      <w:pPr>
        <w:rPr>
          <w:color w:val="auto"/>
          <w:highlight w:val="none"/>
        </w:rPr>
      </w:pPr>
    </w:p>
    <w:p w14:paraId="68369C8E">
      <w:pPr>
        <w:rPr>
          <w:color w:val="auto"/>
          <w:highlight w:val="none"/>
        </w:rPr>
      </w:pPr>
    </w:p>
    <w:p w14:paraId="63882ECE">
      <w:pPr>
        <w:pStyle w:val="45"/>
        <w:spacing w:line="360" w:lineRule="auto"/>
        <w:ind w:left="1260"/>
        <w:contextualSpacing/>
        <w:rPr>
          <w:color w:val="auto"/>
          <w:highlight w:val="none"/>
        </w:rPr>
      </w:pPr>
    </w:p>
    <w:p w14:paraId="2D59D0AE">
      <w:pPr>
        <w:spacing w:line="360" w:lineRule="auto"/>
        <w:contextualSpacing/>
        <w:rPr>
          <w:color w:val="auto"/>
          <w:highlight w:val="none"/>
        </w:rPr>
      </w:pPr>
    </w:p>
    <w:p w14:paraId="3C60184D">
      <w:pPr>
        <w:numPr>
          <w:ilvl w:val="0"/>
          <w:numId w:val="4"/>
        </w:numPr>
        <w:spacing w:line="360" w:lineRule="auto"/>
        <w:contextualSpacing/>
        <w:jc w:val="center"/>
        <w:outlineLvl w:val="1"/>
        <w:rPr>
          <w:rFonts w:ascii="宋体"/>
          <w:b/>
          <w:bCs/>
          <w:color w:val="auto"/>
          <w:kern w:val="0"/>
          <w:sz w:val="24"/>
          <w:highlight w:val="none"/>
        </w:rPr>
      </w:pPr>
      <w:bookmarkStart w:id="645" w:name="_Toc35421495"/>
      <w:bookmarkStart w:id="646" w:name="_Toc101545333"/>
    </w:p>
    <w:p w14:paraId="0C9E6BF1">
      <w:pPr>
        <w:pStyle w:val="1436"/>
        <w:rPr>
          <w:rFonts w:hint="eastAsia" w:ascii="宋体" w:eastAsia="宋体"/>
          <w:color w:val="auto"/>
          <w:kern w:val="0"/>
          <w:sz w:val="24"/>
          <w:szCs w:val="24"/>
          <w:highlight w:val="none"/>
          <w:lang w:val="en-US" w:eastAsia="zh-CN"/>
        </w:rPr>
      </w:pPr>
      <w:r>
        <w:rPr>
          <w:rFonts w:hint="eastAsia" w:ascii="宋体"/>
          <w:color w:val="auto"/>
          <w:kern w:val="0"/>
          <w:sz w:val="24"/>
          <w:szCs w:val="24"/>
          <w:highlight w:val="none"/>
        </w:rPr>
        <w:t>附件1</w:t>
      </w:r>
      <w:r>
        <w:rPr>
          <w:rFonts w:hint="eastAsia" w:ascii="宋体"/>
          <w:color w:val="auto"/>
          <w:kern w:val="0"/>
          <w:sz w:val="24"/>
          <w:szCs w:val="24"/>
          <w:highlight w:val="none"/>
          <w:lang w:val="en-US" w:eastAsia="zh-CN"/>
        </w:rPr>
        <w:t>7</w:t>
      </w:r>
    </w:p>
    <w:p w14:paraId="4A2F3807">
      <w:pPr>
        <w:numPr>
          <w:ilvl w:val="0"/>
          <w:numId w:val="4"/>
        </w:numPr>
        <w:spacing w:line="360" w:lineRule="auto"/>
        <w:contextualSpacing/>
        <w:jc w:val="center"/>
        <w:outlineLvl w:val="1"/>
        <w:rPr>
          <w:rFonts w:ascii="宋体"/>
          <w:b/>
          <w:bCs/>
          <w:color w:val="auto"/>
          <w:kern w:val="0"/>
          <w:sz w:val="24"/>
          <w:highlight w:val="none"/>
        </w:rPr>
      </w:pPr>
      <w:bookmarkStart w:id="647" w:name="_Toc18538"/>
      <w:r>
        <w:rPr>
          <w:rFonts w:hint="eastAsia" w:ascii="宋体"/>
          <w:b/>
          <w:bCs/>
          <w:color w:val="auto"/>
          <w:kern w:val="0"/>
          <w:sz w:val="24"/>
          <w:highlight w:val="none"/>
        </w:rPr>
        <w:t>同</w:t>
      </w:r>
      <w:r>
        <w:rPr>
          <w:rFonts w:hint="eastAsia" w:ascii="宋体"/>
          <w:b/>
          <w:bCs/>
          <w:color w:val="auto"/>
          <w:kern w:val="0"/>
          <w:sz w:val="24"/>
          <w:highlight w:val="none"/>
          <w:lang w:val="en-US" w:eastAsia="zh-CN"/>
        </w:rPr>
        <w:t>类</w:t>
      </w:r>
      <w:r>
        <w:rPr>
          <w:rFonts w:hint="eastAsia" w:ascii="宋体"/>
          <w:b/>
          <w:bCs/>
          <w:color w:val="auto"/>
          <w:kern w:val="0"/>
          <w:sz w:val="24"/>
          <w:highlight w:val="none"/>
        </w:rPr>
        <w:t>业绩一览表</w:t>
      </w:r>
      <w:bookmarkEnd w:id="645"/>
      <w:bookmarkEnd w:id="646"/>
      <w:bookmarkEnd w:id="647"/>
    </w:p>
    <w:p w14:paraId="0A4A77D0">
      <w:pPr>
        <w:pStyle w:val="36"/>
        <w:ind w:left="-176" w:leftChars="-84" w:firstLine="1054" w:firstLineChars="500"/>
        <w:contextualSpacing/>
        <w:rPr>
          <w:b/>
          <w:color w:val="auto"/>
          <w:highlight w:val="none"/>
          <w:u w:val="single"/>
        </w:rPr>
      </w:pPr>
      <w:r>
        <w:rPr>
          <w:rFonts w:hint="eastAsia"/>
          <w:b/>
          <w:color w:val="auto"/>
          <w:highlight w:val="none"/>
        </w:rPr>
        <w:t>响应供应商名称：</w:t>
      </w:r>
      <w:r>
        <w:rPr>
          <w:rFonts w:hint="eastAsia"/>
          <w:b/>
          <w:color w:val="auto"/>
          <w:highlight w:val="none"/>
          <w:u w:val="single"/>
        </w:rPr>
        <w:t xml:space="preserve">                           </w:t>
      </w:r>
      <w:r>
        <w:rPr>
          <w:rFonts w:hint="eastAsia"/>
          <w:b/>
          <w:color w:val="auto"/>
          <w:highlight w:val="none"/>
        </w:rPr>
        <w:t xml:space="preserve">         </w:t>
      </w:r>
      <w:r>
        <w:rPr>
          <w:rFonts w:hint="eastAsia"/>
          <w:b/>
          <w:color w:val="auto"/>
          <w:highlight w:val="none"/>
          <w:u w:val="single"/>
        </w:rPr>
        <w:t xml:space="preserve">       </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155"/>
        <w:gridCol w:w="1155"/>
        <w:gridCol w:w="1547"/>
        <w:gridCol w:w="1155"/>
        <w:gridCol w:w="1953"/>
        <w:gridCol w:w="1943"/>
      </w:tblGrid>
      <w:tr w14:paraId="20CA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2E38A097">
            <w:pPr>
              <w:spacing w:line="360" w:lineRule="auto"/>
              <w:contextualSpacing/>
              <w:jc w:val="center"/>
              <w:rPr>
                <w:color w:val="auto"/>
                <w:szCs w:val="21"/>
                <w:highlight w:val="none"/>
              </w:rPr>
            </w:pPr>
            <w:r>
              <w:rPr>
                <w:rFonts w:hint="eastAsia"/>
                <w:color w:val="auto"/>
                <w:szCs w:val="21"/>
                <w:highlight w:val="none"/>
              </w:rPr>
              <w:t>序号</w:t>
            </w:r>
          </w:p>
        </w:tc>
        <w:tc>
          <w:tcPr>
            <w:tcW w:w="1155" w:type="dxa"/>
            <w:vAlign w:val="center"/>
          </w:tcPr>
          <w:p w14:paraId="7D7552E9">
            <w:pPr>
              <w:spacing w:line="360" w:lineRule="auto"/>
              <w:contextualSpacing/>
              <w:jc w:val="center"/>
              <w:rPr>
                <w:color w:val="auto"/>
                <w:szCs w:val="21"/>
                <w:highlight w:val="none"/>
              </w:rPr>
            </w:pPr>
            <w:r>
              <w:rPr>
                <w:rFonts w:hint="eastAsia"/>
                <w:color w:val="auto"/>
                <w:szCs w:val="21"/>
                <w:highlight w:val="none"/>
              </w:rPr>
              <w:t>业主名称</w:t>
            </w:r>
          </w:p>
        </w:tc>
        <w:tc>
          <w:tcPr>
            <w:tcW w:w="1155" w:type="dxa"/>
            <w:vAlign w:val="center"/>
          </w:tcPr>
          <w:p w14:paraId="00121374">
            <w:pPr>
              <w:spacing w:line="360" w:lineRule="auto"/>
              <w:contextualSpacing/>
              <w:jc w:val="center"/>
              <w:rPr>
                <w:color w:val="auto"/>
                <w:szCs w:val="21"/>
                <w:highlight w:val="none"/>
              </w:rPr>
            </w:pPr>
            <w:r>
              <w:rPr>
                <w:rFonts w:hint="eastAsia"/>
                <w:color w:val="auto"/>
                <w:szCs w:val="21"/>
                <w:highlight w:val="none"/>
              </w:rPr>
              <w:t>项目名称</w:t>
            </w:r>
          </w:p>
        </w:tc>
        <w:tc>
          <w:tcPr>
            <w:tcW w:w="1547" w:type="dxa"/>
            <w:vAlign w:val="center"/>
          </w:tcPr>
          <w:p w14:paraId="4511F10A">
            <w:pPr>
              <w:spacing w:line="360" w:lineRule="auto"/>
              <w:contextualSpacing/>
              <w:jc w:val="center"/>
              <w:rPr>
                <w:color w:val="auto"/>
                <w:szCs w:val="21"/>
                <w:highlight w:val="none"/>
              </w:rPr>
            </w:pPr>
            <w:r>
              <w:rPr>
                <w:rFonts w:hint="eastAsia"/>
                <w:color w:val="auto"/>
                <w:szCs w:val="21"/>
                <w:highlight w:val="none"/>
              </w:rPr>
              <w:t>服务内容</w:t>
            </w:r>
          </w:p>
        </w:tc>
        <w:tc>
          <w:tcPr>
            <w:tcW w:w="1155" w:type="dxa"/>
            <w:vAlign w:val="center"/>
          </w:tcPr>
          <w:p w14:paraId="438EF0BF">
            <w:pPr>
              <w:spacing w:line="360" w:lineRule="auto"/>
              <w:contextualSpacing/>
              <w:jc w:val="center"/>
              <w:rPr>
                <w:color w:val="auto"/>
                <w:szCs w:val="21"/>
                <w:highlight w:val="none"/>
              </w:rPr>
            </w:pPr>
            <w:r>
              <w:rPr>
                <w:rFonts w:hint="eastAsia"/>
                <w:color w:val="auto"/>
                <w:szCs w:val="21"/>
                <w:highlight w:val="none"/>
              </w:rPr>
              <w:t>合同总价</w:t>
            </w:r>
          </w:p>
        </w:tc>
        <w:tc>
          <w:tcPr>
            <w:tcW w:w="1953" w:type="dxa"/>
            <w:vAlign w:val="center"/>
          </w:tcPr>
          <w:p w14:paraId="0A900F2E">
            <w:pPr>
              <w:spacing w:line="360" w:lineRule="auto"/>
              <w:contextualSpacing/>
              <w:jc w:val="center"/>
              <w:rPr>
                <w:color w:val="auto"/>
                <w:szCs w:val="21"/>
                <w:highlight w:val="none"/>
              </w:rPr>
            </w:pPr>
            <w:r>
              <w:rPr>
                <w:rFonts w:hint="eastAsia"/>
                <w:color w:val="auto"/>
                <w:szCs w:val="21"/>
                <w:highlight w:val="none"/>
              </w:rPr>
              <w:t>签约及完成时间</w:t>
            </w:r>
          </w:p>
        </w:tc>
        <w:tc>
          <w:tcPr>
            <w:tcW w:w="1943" w:type="dxa"/>
            <w:vAlign w:val="center"/>
          </w:tcPr>
          <w:p w14:paraId="54E6AFFB">
            <w:pPr>
              <w:spacing w:line="360" w:lineRule="auto"/>
              <w:contextualSpacing/>
              <w:jc w:val="center"/>
              <w:rPr>
                <w:color w:val="auto"/>
                <w:szCs w:val="21"/>
                <w:highlight w:val="none"/>
              </w:rPr>
            </w:pPr>
            <w:r>
              <w:rPr>
                <w:rFonts w:hint="eastAsia"/>
                <w:color w:val="auto"/>
                <w:szCs w:val="21"/>
                <w:highlight w:val="none"/>
              </w:rPr>
              <w:t>单位联系人及电话</w:t>
            </w:r>
          </w:p>
        </w:tc>
      </w:tr>
      <w:tr w14:paraId="2CA4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26271781">
            <w:pPr>
              <w:spacing w:line="360" w:lineRule="auto"/>
              <w:contextualSpacing/>
              <w:jc w:val="center"/>
              <w:rPr>
                <w:color w:val="auto"/>
                <w:szCs w:val="21"/>
                <w:highlight w:val="none"/>
              </w:rPr>
            </w:pPr>
          </w:p>
        </w:tc>
        <w:tc>
          <w:tcPr>
            <w:tcW w:w="1155" w:type="dxa"/>
            <w:vAlign w:val="center"/>
          </w:tcPr>
          <w:p w14:paraId="3599E408">
            <w:pPr>
              <w:spacing w:line="360" w:lineRule="auto"/>
              <w:contextualSpacing/>
              <w:jc w:val="center"/>
              <w:rPr>
                <w:color w:val="auto"/>
                <w:szCs w:val="21"/>
                <w:highlight w:val="none"/>
              </w:rPr>
            </w:pPr>
          </w:p>
        </w:tc>
        <w:tc>
          <w:tcPr>
            <w:tcW w:w="1155" w:type="dxa"/>
            <w:vAlign w:val="center"/>
          </w:tcPr>
          <w:p w14:paraId="39253440">
            <w:pPr>
              <w:spacing w:line="360" w:lineRule="auto"/>
              <w:contextualSpacing/>
              <w:jc w:val="center"/>
              <w:rPr>
                <w:color w:val="auto"/>
                <w:szCs w:val="21"/>
                <w:highlight w:val="none"/>
              </w:rPr>
            </w:pPr>
          </w:p>
        </w:tc>
        <w:tc>
          <w:tcPr>
            <w:tcW w:w="1547" w:type="dxa"/>
            <w:vAlign w:val="center"/>
          </w:tcPr>
          <w:p w14:paraId="4B349C2A">
            <w:pPr>
              <w:spacing w:line="360" w:lineRule="auto"/>
              <w:contextualSpacing/>
              <w:jc w:val="center"/>
              <w:rPr>
                <w:color w:val="auto"/>
                <w:szCs w:val="21"/>
                <w:highlight w:val="none"/>
              </w:rPr>
            </w:pPr>
          </w:p>
        </w:tc>
        <w:tc>
          <w:tcPr>
            <w:tcW w:w="1155" w:type="dxa"/>
            <w:vAlign w:val="center"/>
          </w:tcPr>
          <w:p w14:paraId="3878530F">
            <w:pPr>
              <w:spacing w:line="360" w:lineRule="auto"/>
              <w:contextualSpacing/>
              <w:jc w:val="center"/>
              <w:rPr>
                <w:color w:val="auto"/>
                <w:szCs w:val="21"/>
                <w:highlight w:val="none"/>
              </w:rPr>
            </w:pPr>
          </w:p>
        </w:tc>
        <w:tc>
          <w:tcPr>
            <w:tcW w:w="1953" w:type="dxa"/>
            <w:vAlign w:val="center"/>
          </w:tcPr>
          <w:p w14:paraId="481B6119">
            <w:pPr>
              <w:spacing w:line="360" w:lineRule="auto"/>
              <w:contextualSpacing/>
              <w:jc w:val="center"/>
              <w:rPr>
                <w:color w:val="auto"/>
                <w:szCs w:val="21"/>
                <w:highlight w:val="none"/>
              </w:rPr>
            </w:pPr>
          </w:p>
        </w:tc>
        <w:tc>
          <w:tcPr>
            <w:tcW w:w="1943" w:type="dxa"/>
            <w:vAlign w:val="center"/>
          </w:tcPr>
          <w:p w14:paraId="076ACD0C">
            <w:pPr>
              <w:spacing w:line="360" w:lineRule="auto"/>
              <w:contextualSpacing/>
              <w:jc w:val="center"/>
              <w:rPr>
                <w:color w:val="auto"/>
                <w:szCs w:val="21"/>
                <w:highlight w:val="none"/>
              </w:rPr>
            </w:pPr>
          </w:p>
        </w:tc>
      </w:tr>
      <w:tr w14:paraId="5FDB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4C6A5267">
            <w:pPr>
              <w:spacing w:line="360" w:lineRule="auto"/>
              <w:contextualSpacing/>
              <w:jc w:val="center"/>
              <w:rPr>
                <w:color w:val="auto"/>
                <w:szCs w:val="21"/>
                <w:highlight w:val="none"/>
              </w:rPr>
            </w:pPr>
          </w:p>
        </w:tc>
        <w:tc>
          <w:tcPr>
            <w:tcW w:w="1155" w:type="dxa"/>
            <w:vAlign w:val="center"/>
          </w:tcPr>
          <w:p w14:paraId="741F357F">
            <w:pPr>
              <w:spacing w:line="360" w:lineRule="auto"/>
              <w:contextualSpacing/>
              <w:jc w:val="center"/>
              <w:rPr>
                <w:color w:val="auto"/>
                <w:szCs w:val="21"/>
                <w:highlight w:val="none"/>
              </w:rPr>
            </w:pPr>
          </w:p>
        </w:tc>
        <w:tc>
          <w:tcPr>
            <w:tcW w:w="1155" w:type="dxa"/>
            <w:vAlign w:val="center"/>
          </w:tcPr>
          <w:p w14:paraId="6C8C8D10">
            <w:pPr>
              <w:spacing w:line="360" w:lineRule="auto"/>
              <w:contextualSpacing/>
              <w:jc w:val="center"/>
              <w:rPr>
                <w:color w:val="auto"/>
                <w:szCs w:val="21"/>
                <w:highlight w:val="none"/>
              </w:rPr>
            </w:pPr>
          </w:p>
        </w:tc>
        <w:tc>
          <w:tcPr>
            <w:tcW w:w="1547" w:type="dxa"/>
            <w:vAlign w:val="center"/>
          </w:tcPr>
          <w:p w14:paraId="67816CC5">
            <w:pPr>
              <w:spacing w:line="360" w:lineRule="auto"/>
              <w:contextualSpacing/>
              <w:jc w:val="center"/>
              <w:rPr>
                <w:color w:val="auto"/>
                <w:szCs w:val="21"/>
                <w:highlight w:val="none"/>
              </w:rPr>
            </w:pPr>
          </w:p>
        </w:tc>
        <w:tc>
          <w:tcPr>
            <w:tcW w:w="1155" w:type="dxa"/>
            <w:vAlign w:val="center"/>
          </w:tcPr>
          <w:p w14:paraId="2FC69D6A">
            <w:pPr>
              <w:spacing w:line="360" w:lineRule="auto"/>
              <w:contextualSpacing/>
              <w:jc w:val="center"/>
              <w:rPr>
                <w:color w:val="auto"/>
                <w:szCs w:val="21"/>
                <w:highlight w:val="none"/>
              </w:rPr>
            </w:pPr>
          </w:p>
        </w:tc>
        <w:tc>
          <w:tcPr>
            <w:tcW w:w="1953" w:type="dxa"/>
            <w:vAlign w:val="center"/>
          </w:tcPr>
          <w:p w14:paraId="409B025E">
            <w:pPr>
              <w:spacing w:line="360" w:lineRule="auto"/>
              <w:contextualSpacing/>
              <w:jc w:val="center"/>
              <w:rPr>
                <w:color w:val="auto"/>
                <w:szCs w:val="21"/>
                <w:highlight w:val="none"/>
              </w:rPr>
            </w:pPr>
          </w:p>
        </w:tc>
        <w:tc>
          <w:tcPr>
            <w:tcW w:w="1943" w:type="dxa"/>
            <w:vAlign w:val="center"/>
          </w:tcPr>
          <w:p w14:paraId="571524E2">
            <w:pPr>
              <w:spacing w:line="360" w:lineRule="auto"/>
              <w:contextualSpacing/>
              <w:jc w:val="center"/>
              <w:rPr>
                <w:color w:val="auto"/>
                <w:szCs w:val="21"/>
                <w:highlight w:val="none"/>
              </w:rPr>
            </w:pPr>
          </w:p>
        </w:tc>
      </w:tr>
      <w:tr w14:paraId="2100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0E4B1C1C">
            <w:pPr>
              <w:spacing w:line="360" w:lineRule="auto"/>
              <w:contextualSpacing/>
              <w:jc w:val="center"/>
              <w:rPr>
                <w:color w:val="auto"/>
                <w:szCs w:val="21"/>
                <w:highlight w:val="none"/>
              </w:rPr>
            </w:pPr>
          </w:p>
        </w:tc>
        <w:tc>
          <w:tcPr>
            <w:tcW w:w="1155" w:type="dxa"/>
            <w:vAlign w:val="center"/>
          </w:tcPr>
          <w:p w14:paraId="6391709F">
            <w:pPr>
              <w:spacing w:line="360" w:lineRule="auto"/>
              <w:contextualSpacing/>
              <w:jc w:val="center"/>
              <w:rPr>
                <w:color w:val="auto"/>
                <w:szCs w:val="21"/>
                <w:highlight w:val="none"/>
              </w:rPr>
            </w:pPr>
          </w:p>
        </w:tc>
        <w:tc>
          <w:tcPr>
            <w:tcW w:w="1155" w:type="dxa"/>
            <w:vAlign w:val="center"/>
          </w:tcPr>
          <w:p w14:paraId="6DA27A33">
            <w:pPr>
              <w:spacing w:line="360" w:lineRule="auto"/>
              <w:contextualSpacing/>
              <w:jc w:val="center"/>
              <w:rPr>
                <w:color w:val="auto"/>
                <w:szCs w:val="21"/>
                <w:highlight w:val="none"/>
              </w:rPr>
            </w:pPr>
          </w:p>
        </w:tc>
        <w:tc>
          <w:tcPr>
            <w:tcW w:w="1547" w:type="dxa"/>
            <w:vAlign w:val="center"/>
          </w:tcPr>
          <w:p w14:paraId="5919E2A0">
            <w:pPr>
              <w:spacing w:line="360" w:lineRule="auto"/>
              <w:contextualSpacing/>
              <w:jc w:val="center"/>
              <w:rPr>
                <w:color w:val="auto"/>
                <w:szCs w:val="21"/>
                <w:highlight w:val="none"/>
              </w:rPr>
            </w:pPr>
          </w:p>
        </w:tc>
        <w:tc>
          <w:tcPr>
            <w:tcW w:w="1155" w:type="dxa"/>
            <w:vAlign w:val="center"/>
          </w:tcPr>
          <w:p w14:paraId="2A995AEC">
            <w:pPr>
              <w:spacing w:line="360" w:lineRule="auto"/>
              <w:contextualSpacing/>
              <w:jc w:val="center"/>
              <w:rPr>
                <w:color w:val="auto"/>
                <w:szCs w:val="21"/>
                <w:highlight w:val="none"/>
              </w:rPr>
            </w:pPr>
          </w:p>
        </w:tc>
        <w:tc>
          <w:tcPr>
            <w:tcW w:w="1953" w:type="dxa"/>
            <w:vAlign w:val="center"/>
          </w:tcPr>
          <w:p w14:paraId="5B0A1786">
            <w:pPr>
              <w:spacing w:line="360" w:lineRule="auto"/>
              <w:contextualSpacing/>
              <w:jc w:val="center"/>
              <w:rPr>
                <w:color w:val="auto"/>
                <w:szCs w:val="21"/>
                <w:highlight w:val="none"/>
              </w:rPr>
            </w:pPr>
          </w:p>
        </w:tc>
        <w:tc>
          <w:tcPr>
            <w:tcW w:w="1943" w:type="dxa"/>
            <w:vAlign w:val="center"/>
          </w:tcPr>
          <w:p w14:paraId="75C6C8D6">
            <w:pPr>
              <w:spacing w:line="360" w:lineRule="auto"/>
              <w:contextualSpacing/>
              <w:jc w:val="center"/>
              <w:rPr>
                <w:color w:val="auto"/>
                <w:szCs w:val="21"/>
                <w:highlight w:val="none"/>
              </w:rPr>
            </w:pPr>
          </w:p>
        </w:tc>
      </w:tr>
      <w:tr w14:paraId="7E88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5646DC78">
            <w:pPr>
              <w:spacing w:line="360" w:lineRule="auto"/>
              <w:contextualSpacing/>
              <w:jc w:val="center"/>
              <w:rPr>
                <w:color w:val="auto"/>
                <w:szCs w:val="21"/>
                <w:highlight w:val="none"/>
              </w:rPr>
            </w:pPr>
          </w:p>
        </w:tc>
        <w:tc>
          <w:tcPr>
            <w:tcW w:w="1155" w:type="dxa"/>
            <w:vAlign w:val="center"/>
          </w:tcPr>
          <w:p w14:paraId="01CB17E4">
            <w:pPr>
              <w:spacing w:line="360" w:lineRule="auto"/>
              <w:contextualSpacing/>
              <w:jc w:val="center"/>
              <w:rPr>
                <w:color w:val="auto"/>
                <w:szCs w:val="21"/>
                <w:highlight w:val="none"/>
              </w:rPr>
            </w:pPr>
          </w:p>
        </w:tc>
        <w:tc>
          <w:tcPr>
            <w:tcW w:w="1155" w:type="dxa"/>
            <w:vAlign w:val="center"/>
          </w:tcPr>
          <w:p w14:paraId="68D32386">
            <w:pPr>
              <w:spacing w:line="360" w:lineRule="auto"/>
              <w:contextualSpacing/>
              <w:jc w:val="center"/>
              <w:rPr>
                <w:color w:val="auto"/>
                <w:szCs w:val="21"/>
                <w:highlight w:val="none"/>
              </w:rPr>
            </w:pPr>
          </w:p>
        </w:tc>
        <w:tc>
          <w:tcPr>
            <w:tcW w:w="1547" w:type="dxa"/>
            <w:vAlign w:val="center"/>
          </w:tcPr>
          <w:p w14:paraId="5D28AD4F">
            <w:pPr>
              <w:spacing w:line="360" w:lineRule="auto"/>
              <w:contextualSpacing/>
              <w:jc w:val="center"/>
              <w:rPr>
                <w:color w:val="auto"/>
                <w:szCs w:val="21"/>
                <w:highlight w:val="none"/>
              </w:rPr>
            </w:pPr>
          </w:p>
        </w:tc>
        <w:tc>
          <w:tcPr>
            <w:tcW w:w="1155" w:type="dxa"/>
            <w:vAlign w:val="center"/>
          </w:tcPr>
          <w:p w14:paraId="1B71E42C">
            <w:pPr>
              <w:spacing w:line="360" w:lineRule="auto"/>
              <w:contextualSpacing/>
              <w:jc w:val="center"/>
              <w:rPr>
                <w:color w:val="auto"/>
                <w:szCs w:val="21"/>
                <w:highlight w:val="none"/>
              </w:rPr>
            </w:pPr>
          </w:p>
        </w:tc>
        <w:tc>
          <w:tcPr>
            <w:tcW w:w="1953" w:type="dxa"/>
            <w:vAlign w:val="center"/>
          </w:tcPr>
          <w:p w14:paraId="094934E0">
            <w:pPr>
              <w:spacing w:line="360" w:lineRule="auto"/>
              <w:contextualSpacing/>
              <w:jc w:val="center"/>
              <w:rPr>
                <w:color w:val="auto"/>
                <w:szCs w:val="21"/>
                <w:highlight w:val="none"/>
              </w:rPr>
            </w:pPr>
          </w:p>
        </w:tc>
        <w:tc>
          <w:tcPr>
            <w:tcW w:w="1943" w:type="dxa"/>
            <w:vAlign w:val="center"/>
          </w:tcPr>
          <w:p w14:paraId="097A4805">
            <w:pPr>
              <w:spacing w:line="360" w:lineRule="auto"/>
              <w:contextualSpacing/>
              <w:jc w:val="center"/>
              <w:rPr>
                <w:color w:val="auto"/>
                <w:szCs w:val="21"/>
                <w:highlight w:val="none"/>
              </w:rPr>
            </w:pPr>
          </w:p>
        </w:tc>
      </w:tr>
      <w:tr w14:paraId="1D67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12276310">
            <w:pPr>
              <w:spacing w:line="360" w:lineRule="auto"/>
              <w:contextualSpacing/>
              <w:jc w:val="center"/>
              <w:rPr>
                <w:color w:val="auto"/>
                <w:szCs w:val="21"/>
                <w:highlight w:val="none"/>
              </w:rPr>
            </w:pPr>
          </w:p>
        </w:tc>
        <w:tc>
          <w:tcPr>
            <w:tcW w:w="1155" w:type="dxa"/>
            <w:vAlign w:val="center"/>
          </w:tcPr>
          <w:p w14:paraId="426942CD">
            <w:pPr>
              <w:spacing w:line="360" w:lineRule="auto"/>
              <w:contextualSpacing/>
              <w:jc w:val="center"/>
              <w:rPr>
                <w:color w:val="auto"/>
                <w:szCs w:val="21"/>
                <w:highlight w:val="none"/>
              </w:rPr>
            </w:pPr>
          </w:p>
        </w:tc>
        <w:tc>
          <w:tcPr>
            <w:tcW w:w="1155" w:type="dxa"/>
            <w:vAlign w:val="center"/>
          </w:tcPr>
          <w:p w14:paraId="598C3A68">
            <w:pPr>
              <w:spacing w:line="360" w:lineRule="auto"/>
              <w:contextualSpacing/>
              <w:jc w:val="center"/>
              <w:rPr>
                <w:color w:val="auto"/>
                <w:szCs w:val="21"/>
                <w:highlight w:val="none"/>
              </w:rPr>
            </w:pPr>
          </w:p>
        </w:tc>
        <w:tc>
          <w:tcPr>
            <w:tcW w:w="1547" w:type="dxa"/>
            <w:vAlign w:val="center"/>
          </w:tcPr>
          <w:p w14:paraId="6DE50181">
            <w:pPr>
              <w:spacing w:line="360" w:lineRule="auto"/>
              <w:contextualSpacing/>
              <w:jc w:val="center"/>
              <w:rPr>
                <w:color w:val="auto"/>
                <w:szCs w:val="21"/>
                <w:highlight w:val="none"/>
              </w:rPr>
            </w:pPr>
          </w:p>
        </w:tc>
        <w:tc>
          <w:tcPr>
            <w:tcW w:w="1155" w:type="dxa"/>
            <w:vAlign w:val="center"/>
          </w:tcPr>
          <w:p w14:paraId="61C9B971">
            <w:pPr>
              <w:spacing w:line="360" w:lineRule="auto"/>
              <w:contextualSpacing/>
              <w:jc w:val="center"/>
              <w:rPr>
                <w:color w:val="auto"/>
                <w:szCs w:val="21"/>
                <w:highlight w:val="none"/>
              </w:rPr>
            </w:pPr>
          </w:p>
        </w:tc>
        <w:tc>
          <w:tcPr>
            <w:tcW w:w="1953" w:type="dxa"/>
            <w:vAlign w:val="center"/>
          </w:tcPr>
          <w:p w14:paraId="18CA8C12">
            <w:pPr>
              <w:spacing w:line="360" w:lineRule="auto"/>
              <w:contextualSpacing/>
              <w:jc w:val="center"/>
              <w:rPr>
                <w:color w:val="auto"/>
                <w:szCs w:val="21"/>
                <w:highlight w:val="none"/>
              </w:rPr>
            </w:pPr>
          </w:p>
        </w:tc>
        <w:tc>
          <w:tcPr>
            <w:tcW w:w="1943" w:type="dxa"/>
            <w:vAlign w:val="center"/>
          </w:tcPr>
          <w:p w14:paraId="24FC987B">
            <w:pPr>
              <w:spacing w:line="360" w:lineRule="auto"/>
              <w:contextualSpacing/>
              <w:jc w:val="center"/>
              <w:rPr>
                <w:color w:val="auto"/>
                <w:szCs w:val="21"/>
                <w:highlight w:val="none"/>
              </w:rPr>
            </w:pPr>
          </w:p>
        </w:tc>
      </w:tr>
      <w:tr w14:paraId="2D20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76102FA4">
            <w:pPr>
              <w:spacing w:line="360" w:lineRule="auto"/>
              <w:contextualSpacing/>
              <w:jc w:val="center"/>
              <w:rPr>
                <w:color w:val="auto"/>
                <w:szCs w:val="21"/>
                <w:highlight w:val="none"/>
              </w:rPr>
            </w:pPr>
          </w:p>
        </w:tc>
        <w:tc>
          <w:tcPr>
            <w:tcW w:w="1155" w:type="dxa"/>
            <w:vAlign w:val="center"/>
          </w:tcPr>
          <w:p w14:paraId="316C6946">
            <w:pPr>
              <w:spacing w:line="360" w:lineRule="auto"/>
              <w:contextualSpacing/>
              <w:jc w:val="center"/>
              <w:rPr>
                <w:color w:val="auto"/>
                <w:szCs w:val="21"/>
                <w:highlight w:val="none"/>
              </w:rPr>
            </w:pPr>
          </w:p>
        </w:tc>
        <w:tc>
          <w:tcPr>
            <w:tcW w:w="1155" w:type="dxa"/>
            <w:vAlign w:val="center"/>
          </w:tcPr>
          <w:p w14:paraId="0139DABE">
            <w:pPr>
              <w:spacing w:line="360" w:lineRule="auto"/>
              <w:contextualSpacing/>
              <w:jc w:val="center"/>
              <w:rPr>
                <w:color w:val="auto"/>
                <w:szCs w:val="21"/>
                <w:highlight w:val="none"/>
              </w:rPr>
            </w:pPr>
          </w:p>
        </w:tc>
        <w:tc>
          <w:tcPr>
            <w:tcW w:w="1547" w:type="dxa"/>
            <w:vAlign w:val="center"/>
          </w:tcPr>
          <w:p w14:paraId="6E9ED002">
            <w:pPr>
              <w:spacing w:line="360" w:lineRule="auto"/>
              <w:contextualSpacing/>
              <w:jc w:val="center"/>
              <w:rPr>
                <w:color w:val="auto"/>
                <w:szCs w:val="21"/>
                <w:highlight w:val="none"/>
              </w:rPr>
            </w:pPr>
          </w:p>
        </w:tc>
        <w:tc>
          <w:tcPr>
            <w:tcW w:w="1155" w:type="dxa"/>
            <w:vAlign w:val="center"/>
          </w:tcPr>
          <w:p w14:paraId="43EDDBB6">
            <w:pPr>
              <w:spacing w:line="360" w:lineRule="auto"/>
              <w:contextualSpacing/>
              <w:jc w:val="center"/>
              <w:rPr>
                <w:color w:val="auto"/>
                <w:szCs w:val="21"/>
                <w:highlight w:val="none"/>
              </w:rPr>
            </w:pPr>
          </w:p>
        </w:tc>
        <w:tc>
          <w:tcPr>
            <w:tcW w:w="1953" w:type="dxa"/>
            <w:vAlign w:val="center"/>
          </w:tcPr>
          <w:p w14:paraId="5C46BEB6">
            <w:pPr>
              <w:spacing w:line="360" w:lineRule="auto"/>
              <w:contextualSpacing/>
              <w:jc w:val="center"/>
              <w:rPr>
                <w:color w:val="auto"/>
                <w:szCs w:val="21"/>
                <w:highlight w:val="none"/>
              </w:rPr>
            </w:pPr>
          </w:p>
        </w:tc>
        <w:tc>
          <w:tcPr>
            <w:tcW w:w="1943" w:type="dxa"/>
            <w:vAlign w:val="center"/>
          </w:tcPr>
          <w:p w14:paraId="434B39EE">
            <w:pPr>
              <w:spacing w:line="360" w:lineRule="auto"/>
              <w:contextualSpacing/>
              <w:jc w:val="center"/>
              <w:rPr>
                <w:color w:val="auto"/>
                <w:szCs w:val="21"/>
                <w:highlight w:val="none"/>
              </w:rPr>
            </w:pPr>
          </w:p>
        </w:tc>
      </w:tr>
      <w:tr w14:paraId="7C3F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3340A758">
            <w:pPr>
              <w:spacing w:line="360" w:lineRule="auto"/>
              <w:contextualSpacing/>
              <w:jc w:val="center"/>
              <w:rPr>
                <w:color w:val="auto"/>
                <w:szCs w:val="21"/>
                <w:highlight w:val="none"/>
              </w:rPr>
            </w:pPr>
          </w:p>
        </w:tc>
        <w:tc>
          <w:tcPr>
            <w:tcW w:w="1155" w:type="dxa"/>
            <w:vAlign w:val="center"/>
          </w:tcPr>
          <w:p w14:paraId="3C9ACEEF">
            <w:pPr>
              <w:spacing w:line="360" w:lineRule="auto"/>
              <w:contextualSpacing/>
              <w:jc w:val="center"/>
              <w:rPr>
                <w:color w:val="auto"/>
                <w:szCs w:val="21"/>
                <w:highlight w:val="none"/>
              </w:rPr>
            </w:pPr>
          </w:p>
        </w:tc>
        <w:tc>
          <w:tcPr>
            <w:tcW w:w="1155" w:type="dxa"/>
            <w:vAlign w:val="center"/>
          </w:tcPr>
          <w:p w14:paraId="35C303BC">
            <w:pPr>
              <w:spacing w:line="360" w:lineRule="auto"/>
              <w:contextualSpacing/>
              <w:jc w:val="center"/>
              <w:rPr>
                <w:color w:val="auto"/>
                <w:szCs w:val="21"/>
                <w:highlight w:val="none"/>
              </w:rPr>
            </w:pPr>
          </w:p>
        </w:tc>
        <w:tc>
          <w:tcPr>
            <w:tcW w:w="1547" w:type="dxa"/>
            <w:vAlign w:val="center"/>
          </w:tcPr>
          <w:p w14:paraId="62BC6799">
            <w:pPr>
              <w:spacing w:line="360" w:lineRule="auto"/>
              <w:contextualSpacing/>
              <w:jc w:val="center"/>
              <w:rPr>
                <w:color w:val="auto"/>
                <w:szCs w:val="21"/>
                <w:highlight w:val="none"/>
              </w:rPr>
            </w:pPr>
          </w:p>
        </w:tc>
        <w:tc>
          <w:tcPr>
            <w:tcW w:w="1155" w:type="dxa"/>
            <w:vAlign w:val="center"/>
          </w:tcPr>
          <w:p w14:paraId="411686FF">
            <w:pPr>
              <w:spacing w:line="360" w:lineRule="auto"/>
              <w:contextualSpacing/>
              <w:jc w:val="center"/>
              <w:rPr>
                <w:color w:val="auto"/>
                <w:szCs w:val="21"/>
                <w:highlight w:val="none"/>
              </w:rPr>
            </w:pPr>
          </w:p>
        </w:tc>
        <w:tc>
          <w:tcPr>
            <w:tcW w:w="1953" w:type="dxa"/>
            <w:vAlign w:val="center"/>
          </w:tcPr>
          <w:p w14:paraId="256E9E93">
            <w:pPr>
              <w:spacing w:line="360" w:lineRule="auto"/>
              <w:contextualSpacing/>
              <w:jc w:val="center"/>
              <w:rPr>
                <w:color w:val="auto"/>
                <w:szCs w:val="21"/>
                <w:highlight w:val="none"/>
              </w:rPr>
            </w:pPr>
          </w:p>
        </w:tc>
        <w:tc>
          <w:tcPr>
            <w:tcW w:w="1943" w:type="dxa"/>
            <w:vAlign w:val="center"/>
          </w:tcPr>
          <w:p w14:paraId="457C3D79">
            <w:pPr>
              <w:spacing w:line="360" w:lineRule="auto"/>
              <w:contextualSpacing/>
              <w:jc w:val="center"/>
              <w:rPr>
                <w:color w:val="auto"/>
                <w:szCs w:val="21"/>
                <w:highlight w:val="none"/>
              </w:rPr>
            </w:pPr>
          </w:p>
        </w:tc>
      </w:tr>
      <w:tr w14:paraId="056D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12" w:type="dxa"/>
            <w:vAlign w:val="center"/>
          </w:tcPr>
          <w:p w14:paraId="08E51388">
            <w:pPr>
              <w:spacing w:line="360" w:lineRule="auto"/>
              <w:contextualSpacing/>
              <w:jc w:val="center"/>
              <w:rPr>
                <w:color w:val="auto"/>
                <w:szCs w:val="21"/>
                <w:highlight w:val="none"/>
              </w:rPr>
            </w:pPr>
          </w:p>
        </w:tc>
        <w:tc>
          <w:tcPr>
            <w:tcW w:w="1155" w:type="dxa"/>
            <w:vAlign w:val="center"/>
          </w:tcPr>
          <w:p w14:paraId="577323BE">
            <w:pPr>
              <w:spacing w:line="360" w:lineRule="auto"/>
              <w:contextualSpacing/>
              <w:jc w:val="center"/>
              <w:rPr>
                <w:color w:val="auto"/>
                <w:szCs w:val="21"/>
                <w:highlight w:val="none"/>
              </w:rPr>
            </w:pPr>
          </w:p>
        </w:tc>
        <w:tc>
          <w:tcPr>
            <w:tcW w:w="1155" w:type="dxa"/>
            <w:vAlign w:val="center"/>
          </w:tcPr>
          <w:p w14:paraId="4925D3E4">
            <w:pPr>
              <w:spacing w:line="360" w:lineRule="auto"/>
              <w:contextualSpacing/>
              <w:jc w:val="center"/>
              <w:rPr>
                <w:color w:val="auto"/>
                <w:szCs w:val="21"/>
                <w:highlight w:val="none"/>
              </w:rPr>
            </w:pPr>
          </w:p>
        </w:tc>
        <w:tc>
          <w:tcPr>
            <w:tcW w:w="1547" w:type="dxa"/>
            <w:vAlign w:val="center"/>
          </w:tcPr>
          <w:p w14:paraId="4873420C">
            <w:pPr>
              <w:spacing w:line="360" w:lineRule="auto"/>
              <w:contextualSpacing/>
              <w:jc w:val="center"/>
              <w:rPr>
                <w:color w:val="auto"/>
                <w:szCs w:val="21"/>
                <w:highlight w:val="none"/>
              </w:rPr>
            </w:pPr>
          </w:p>
        </w:tc>
        <w:tc>
          <w:tcPr>
            <w:tcW w:w="1155" w:type="dxa"/>
            <w:vAlign w:val="center"/>
          </w:tcPr>
          <w:p w14:paraId="1DA7BA3A">
            <w:pPr>
              <w:spacing w:line="360" w:lineRule="auto"/>
              <w:contextualSpacing/>
              <w:jc w:val="center"/>
              <w:rPr>
                <w:color w:val="auto"/>
                <w:szCs w:val="21"/>
                <w:highlight w:val="none"/>
              </w:rPr>
            </w:pPr>
          </w:p>
        </w:tc>
        <w:tc>
          <w:tcPr>
            <w:tcW w:w="1953" w:type="dxa"/>
            <w:vAlign w:val="center"/>
          </w:tcPr>
          <w:p w14:paraId="4B5BC00B">
            <w:pPr>
              <w:spacing w:line="360" w:lineRule="auto"/>
              <w:contextualSpacing/>
              <w:jc w:val="center"/>
              <w:rPr>
                <w:color w:val="auto"/>
                <w:szCs w:val="21"/>
                <w:highlight w:val="none"/>
              </w:rPr>
            </w:pPr>
          </w:p>
        </w:tc>
        <w:tc>
          <w:tcPr>
            <w:tcW w:w="1943" w:type="dxa"/>
            <w:vAlign w:val="center"/>
          </w:tcPr>
          <w:p w14:paraId="71400523">
            <w:pPr>
              <w:spacing w:line="360" w:lineRule="auto"/>
              <w:contextualSpacing/>
              <w:jc w:val="center"/>
              <w:rPr>
                <w:color w:val="auto"/>
                <w:szCs w:val="21"/>
                <w:highlight w:val="none"/>
              </w:rPr>
            </w:pPr>
          </w:p>
        </w:tc>
      </w:tr>
    </w:tbl>
    <w:p w14:paraId="1AC17592">
      <w:pPr>
        <w:spacing w:line="360" w:lineRule="auto"/>
        <w:ind w:firstLine="420" w:firstLineChars="200"/>
        <w:contextualSpacing/>
        <w:rPr>
          <w:color w:val="auto"/>
          <w:szCs w:val="21"/>
          <w:highlight w:val="none"/>
        </w:rPr>
      </w:pPr>
    </w:p>
    <w:p w14:paraId="45851792">
      <w:pPr>
        <w:spacing w:line="360" w:lineRule="auto"/>
        <w:ind w:firstLine="420" w:firstLineChars="200"/>
        <w:contextualSpacing/>
        <w:rPr>
          <w:color w:val="auto"/>
          <w:szCs w:val="21"/>
          <w:highlight w:val="none"/>
        </w:rPr>
      </w:pPr>
      <w:r>
        <w:rPr>
          <w:rFonts w:hint="eastAsia"/>
          <w:color w:val="auto"/>
          <w:szCs w:val="21"/>
          <w:highlight w:val="none"/>
        </w:rPr>
        <w:t>注：1、响应供应商应当如实、完整地填写本表格。</w:t>
      </w:r>
    </w:p>
    <w:p w14:paraId="48E566EC">
      <w:pPr>
        <w:spacing w:line="360" w:lineRule="auto"/>
        <w:ind w:firstLine="840" w:firstLineChars="400"/>
        <w:contextualSpacing/>
        <w:rPr>
          <w:color w:val="auto"/>
          <w:szCs w:val="21"/>
          <w:highlight w:val="none"/>
          <w:u w:val="single"/>
        </w:rPr>
      </w:pPr>
      <w:r>
        <w:rPr>
          <w:rFonts w:hint="eastAsia"/>
          <w:color w:val="auto"/>
          <w:szCs w:val="21"/>
          <w:highlight w:val="none"/>
        </w:rPr>
        <w:t>2、响应供应商应当提供合同复印件、业主满意度证明资料复印件。</w:t>
      </w:r>
    </w:p>
    <w:p w14:paraId="743D166D">
      <w:pPr>
        <w:pStyle w:val="36"/>
        <w:ind w:firstLine="840" w:firstLineChars="400"/>
        <w:contextualSpacing/>
        <w:rPr>
          <w:color w:val="auto"/>
          <w:highlight w:val="none"/>
        </w:rPr>
      </w:pPr>
      <w:r>
        <w:rPr>
          <w:rFonts w:hint="eastAsia"/>
          <w:color w:val="auto"/>
          <w:highlight w:val="none"/>
        </w:rPr>
        <w:t>3、响应供应商所提交的证明材料均应当是原件的复印件加盖公章。</w:t>
      </w:r>
    </w:p>
    <w:p w14:paraId="141E39AE">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contextualSpacing/>
        <w:rPr>
          <w:b/>
          <w:color w:val="auto"/>
          <w:szCs w:val="21"/>
          <w:highlight w:val="none"/>
        </w:rPr>
      </w:pPr>
    </w:p>
    <w:p w14:paraId="428E147E">
      <w:pPr>
        <w:pStyle w:val="1455"/>
        <w:spacing w:line="360" w:lineRule="auto"/>
        <w:contextualSpacing/>
        <w:rPr>
          <w:rFonts w:ascii="宋体"/>
          <w:color w:val="auto"/>
          <w:sz w:val="24"/>
          <w:highlight w:val="none"/>
        </w:rPr>
      </w:pPr>
      <w:r>
        <w:rPr>
          <w:rFonts w:hint="eastAsia" w:ascii="宋体"/>
          <w:color w:val="auto"/>
          <w:sz w:val="24"/>
          <w:highlight w:val="none"/>
        </w:rPr>
        <w:t>供应商代表签字</w:t>
      </w:r>
      <w:r>
        <w:rPr>
          <w:rFonts w:hint="eastAsia" w:ascii="宋体"/>
          <w:color w:val="auto"/>
          <w:sz w:val="24"/>
          <w:highlight w:val="none"/>
          <w:u w:val="single"/>
        </w:rPr>
        <w:t xml:space="preserve">                            </w:t>
      </w:r>
    </w:p>
    <w:p w14:paraId="36625B68">
      <w:pPr>
        <w:pStyle w:val="1455"/>
        <w:spacing w:line="360" w:lineRule="auto"/>
        <w:contextualSpacing/>
        <w:rPr>
          <w:rFonts w:ascii="宋体"/>
          <w:color w:val="auto"/>
          <w:sz w:val="24"/>
          <w:highlight w:val="none"/>
        </w:rPr>
      </w:pPr>
      <w:r>
        <w:rPr>
          <w:rFonts w:hint="eastAsia" w:ascii="宋体"/>
          <w:color w:val="auto"/>
          <w:sz w:val="24"/>
          <w:highlight w:val="none"/>
        </w:rPr>
        <w:t>供应商名称（盖章）</w:t>
      </w:r>
      <w:r>
        <w:rPr>
          <w:rFonts w:hint="eastAsia" w:ascii="宋体"/>
          <w:color w:val="auto"/>
          <w:sz w:val="24"/>
          <w:highlight w:val="none"/>
          <w:u w:val="single"/>
        </w:rPr>
        <w:t xml:space="preserve">                        </w:t>
      </w:r>
    </w:p>
    <w:p w14:paraId="223D13D6">
      <w:pPr>
        <w:pStyle w:val="1456"/>
        <w:contextualSpacing/>
        <w:rPr>
          <w:color w:val="auto"/>
          <w:highlight w:val="none"/>
          <w:u w:val="single"/>
        </w:rPr>
      </w:pPr>
      <w:r>
        <w:rPr>
          <w:rFonts w:hint="eastAsia"/>
          <w:color w:val="auto"/>
          <w:highlight w:val="none"/>
        </w:rPr>
        <w:t>日       期</w:t>
      </w:r>
      <w:r>
        <w:rPr>
          <w:rFonts w:hint="eastAsia"/>
          <w:color w:val="auto"/>
          <w:highlight w:val="none"/>
          <w:u w:val="single"/>
        </w:rPr>
        <w:t xml:space="preserve">                                   </w:t>
      </w:r>
    </w:p>
    <w:p w14:paraId="2FEB1870">
      <w:pPr>
        <w:spacing w:line="360" w:lineRule="auto"/>
        <w:contextualSpacing/>
        <w:rPr>
          <w:color w:val="auto"/>
          <w:highlight w:val="none"/>
        </w:rPr>
      </w:pPr>
    </w:p>
    <w:p w14:paraId="1646A311">
      <w:pPr>
        <w:spacing w:line="360" w:lineRule="auto"/>
        <w:contextualSpacing/>
        <w:rPr>
          <w:color w:val="auto"/>
          <w:szCs w:val="21"/>
          <w:highlight w:val="none"/>
        </w:rPr>
      </w:pPr>
    </w:p>
    <w:p w14:paraId="33635240">
      <w:pPr>
        <w:pStyle w:val="1436"/>
        <w:rPr>
          <w:rFonts w:hint="eastAsia" w:ascii="宋体" w:eastAsia="宋体"/>
          <w:color w:val="auto"/>
          <w:kern w:val="0"/>
          <w:sz w:val="24"/>
          <w:szCs w:val="24"/>
          <w:highlight w:val="none"/>
          <w:lang w:val="en-US" w:eastAsia="zh-CN"/>
        </w:rPr>
      </w:pPr>
      <w:r>
        <w:rPr>
          <w:rFonts w:hint="eastAsia"/>
          <w:bCs/>
          <w:color w:val="auto"/>
          <w:szCs w:val="21"/>
          <w:highlight w:val="none"/>
        </w:rPr>
        <w:br w:type="page"/>
      </w:r>
      <w:bookmarkStart w:id="648" w:name="_Toc35421496"/>
      <w:bookmarkStart w:id="649" w:name="_Toc101545334"/>
      <w:r>
        <w:rPr>
          <w:rFonts w:hint="eastAsia" w:ascii="宋体"/>
          <w:color w:val="auto"/>
          <w:kern w:val="0"/>
          <w:sz w:val="24"/>
          <w:szCs w:val="24"/>
          <w:highlight w:val="none"/>
        </w:rPr>
        <w:t>附件1</w:t>
      </w:r>
      <w:r>
        <w:rPr>
          <w:rFonts w:hint="eastAsia" w:ascii="宋体"/>
          <w:color w:val="auto"/>
          <w:kern w:val="0"/>
          <w:sz w:val="24"/>
          <w:szCs w:val="24"/>
          <w:highlight w:val="none"/>
          <w:lang w:val="en-US" w:eastAsia="zh-CN"/>
        </w:rPr>
        <w:t>8</w:t>
      </w:r>
    </w:p>
    <w:p w14:paraId="46EBF06D">
      <w:pPr>
        <w:numPr>
          <w:ilvl w:val="0"/>
          <w:numId w:val="4"/>
        </w:numPr>
        <w:spacing w:line="360" w:lineRule="auto"/>
        <w:contextualSpacing/>
        <w:jc w:val="center"/>
        <w:outlineLvl w:val="1"/>
        <w:rPr>
          <w:rFonts w:ascii="宋体"/>
          <w:b/>
          <w:bCs/>
          <w:color w:val="auto"/>
          <w:kern w:val="0"/>
          <w:sz w:val="28"/>
          <w:szCs w:val="28"/>
          <w:highlight w:val="none"/>
        </w:rPr>
      </w:pPr>
      <w:bookmarkStart w:id="650" w:name="_Toc8523"/>
      <w:r>
        <w:rPr>
          <w:rFonts w:hint="eastAsia" w:ascii="宋体"/>
          <w:b/>
          <w:bCs/>
          <w:color w:val="auto"/>
          <w:kern w:val="0"/>
          <w:sz w:val="28"/>
          <w:szCs w:val="28"/>
          <w:highlight w:val="none"/>
        </w:rPr>
        <w:t>承诺函</w:t>
      </w:r>
      <w:bookmarkEnd w:id="648"/>
      <w:bookmarkEnd w:id="649"/>
      <w:bookmarkEnd w:id="650"/>
    </w:p>
    <w:p w14:paraId="4C3B1738">
      <w:pPr>
        <w:spacing w:line="360" w:lineRule="auto"/>
        <w:contextualSpacing/>
        <w:rPr>
          <w:color w:val="auto"/>
          <w:highlight w:val="none"/>
        </w:rPr>
      </w:pPr>
    </w:p>
    <w:p w14:paraId="0D1AC595">
      <w:pPr>
        <w:spacing w:line="360" w:lineRule="auto"/>
        <w:contextualSpacing/>
        <w:rPr>
          <w:b/>
          <w:color w:val="auto"/>
          <w:highlight w:val="none"/>
        </w:rPr>
      </w:pPr>
      <w:r>
        <w:rPr>
          <w:rFonts w:hint="eastAsia"/>
          <w:b/>
          <w:color w:val="auto"/>
          <w:highlight w:val="none"/>
          <w:u w:val="single"/>
        </w:rPr>
        <w:t>中华人民共和国阳江海关（下称“贵</w:t>
      </w:r>
      <w:r>
        <w:rPr>
          <w:b/>
          <w:color w:val="auto"/>
          <w:highlight w:val="none"/>
          <w:u w:val="single"/>
        </w:rPr>
        <w:t>单位</w:t>
      </w:r>
      <w:r>
        <w:rPr>
          <w:rFonts w:hint="eastAsia"/>
          <w:b/>
          <w:color w:val="auto"/>
          <w:highlight w:val="none"/>
          <w:u w:val="single"/>
        </w:rPr>
        <w:t>”）</w:t>
      </w:r>
      <w:r>
        <w:rPr>
          <w:rFonts w:hint="eastAsia"/>
          <w:b/>
          <w:color w:val="auto"/>
          <w:highlight w:val="none"/>
        </w:rPr>
        <w:t>：</w:t>
      </w:r>
    </w:p>
    <w:p w14:paraId="5ADD0776">
      <w:pPr>
        <w:spacing w:line="360" w:lineRule="auto"/>
        <w:ind w:firstLine="435"/>
        <w:contextualSpacing/>
        <w:rPr>
          <w:color w:val="auto"/>
          <w:highlight w:val="none"/>
        </w:rPr>
      </w:pPr>
      <w:r>
        <w:rPr>
          <w:rFonts w:hint="eastAsia"/>
          <w:color w:val="auto"/>
          <w:highlight w:val="none"/>
        </w:rPr>
        <w:t>本单位郑重承诺：</w:t>
      </w:r>
    </w:p>
    <w:p w14:paraId="770CB98A">
      <w:pPr>
        <w:spacing w:line="360" w:lineRule="auto"/>
        <w:ind w:firstLine="435"/>
        <w:contextualSpacing/>
        <w:rPr>
          <w:color w:val="auto"/>
          <w:highlight w:val="none"/>
        </w:rPr>
      </w:pPr>
      <w:r>
        <w:rPr>
          <w:rFonts w:hint="eastAsia"/>
          <w:color w:val="auto"/>
          <w:highlight w:val="none"/>
        </w:rPr>
        <w:t>1、如果本单位在本次采购项目中</w:t>
      </w:r>
      <w:r>
        <w:rPr>
          <w:rFonts w:hint="eastAsia" w:ascii="宋体" w:hAnsi="Times New Roman"/>
          <w:color w:val="auto"/>
          <w:szCs w:val="21"/>
          <w:highlight w:val="none"/>
          <w:lang w:val="en-US" w:eastAsia="zh-CN"/>
        </w:rPr>
        <w:t>成交</w:t>
      </w:r>
      <w:r>
        <w:rPr>
          <w:rFonts w:hint="eastAsia"/>
          <w:color w:val="auto"/>
          <w:highlight w:val="none"/>
        </w:rPr>
        <w:t>，且与贵单位的相关单位签订合同后，绝对不会以任何理由拒绝送货。否则贵单位有权取消本单位的供应资格，并没收本单位的履约保证金。</w:t>
      </w:r>
    </w:p>
    <w:p w14:paraId="7E407DDB">
      <w:pPr>
        <w:spacing w:line="360" w:lineRule="auto"/>
        <w:ind w:firstLine="435"/>
        <w:contextualSpacing/>
        <w:rPr>
          <w:color w:val="auto"/>
          <w:highlight w:val="none"/>
        </w:rPr>
      </w:pPr>
      <w:r>
        <w:rPr>
          <w:rFonts w:hint="eastAsia"/>
          <w:color w:val="auto"/>
          <w:highlight w:val="none"/>
        </w:rPr>
        <w:t>2、本单位保证：</w:t>
      </w:r>
    </w:p>
    <w:p w14:paraId="1D3F4D3F">
      <w:pPr>
        <w:spacing w:line="360" w:lineRule="auto"/>
        <w:ind w:firstLine="480"/>
        <w:rPr>
          <w:color w:val="auto"/>
          <w:highlight w:val="none"/>
        </w:rPr>
      </w:pPr>
      <w:r>
        <w:rPr>
          <w:color w:val="auto"/>
          <w:highlight w:val="none"/>
        </w:rPr>
        <w:t>（一）按</w:t>
      </w:r>
      <w:r>
        <w:rPr>
          <w:rFonts w:hint="eastAsia"/>
          <w:color w:val="auto"/>
          <w:highlight w:val="none"/>
          <w:lang w:eastAsia="zh-CN"/>
        </w:rPr>
        <w:t>磋商文件</w:t>
      </w:r>
      <w:r>
        <w:rPr>
          <w:color w:val="auto"/>
          <w:highlight w:val="none"/>
        </w:rPr>
        <w:t>提供的相关服务的</w:t>
      </w:r>
      <w:r>
        <w:rPr>
          <w:rFonts w:hint="eastAsia"/>
          <w:color w:val="auto"/>
          <w:highlight w:val="none"/>
          <w:lang w:val="en-US" w:eastAsia="zh-CN"/>
        </w:rPr>
        <w:t>响应</w:t>
      </w:r>
      <w:r>
        <w:rPr>
          <w:color w:val="auto"/>
          <w:highlight w:val="none"/>
        </w:rPr>
        <w:t>总价。</w:t>
      </w:r>
    </w:p>
    <w:p w14:paraId="5B62ECBD">
      <w:pPr>
        <w:spacing w:line="360" w:lineRule="auto"/>
        <w:ind w:firstLine="480"/>
        <w:rPr>
          <w:color w:val="auto"/>
          <w:highlight w:val="none"/>
        </w:rPr>
      </w:pPr>
      <w:r>
        <w:rPr>
          <w:color w:val="auto"/>
          <w:highlight w:val="none"/>
        </w:rPr>
        <w:t>（二）本</w:t>
      </w:r>
      <w:r>
        <w:rPr>
          <w:rFonts w:hint="eastAsia"/>
          <w:color w:val="auto"/>
          <w:highlight w:val="none"/>
          <w:lang w:val="en-US" w:eastAsia="zh-CN"/>
        </w:rPr>
        <w:t>响应</w:t>
      </w:r>
      <w:r>
        <w:rPr>
          <w:color w:val="auto"/>
          <w:highlight w:val="none"/>
        </w:rPr>
        <w:t>文件的有效期为从提交投标（响应）文件的截止之日起90日历天。如</w:t>
      </w:r>
      <w:r>
        <w:rPr>
          <w:rFonts w:hint="eastAsia"/>
          <w:color w:val="auto"/>
          <w:highlight w:val="none"/>
          <w:lang w:val="en-US" w:eastAsia="zh-CN"/>
        </w:rPr>
        <w:t>成交</w:t>
      </w:r>
      <w:r>
        <w:rPr>
          <w:color w:val="auto"/>
          <w:highlight w:val="none"/>
        </w:rPr>
        <w:t>，有效期将延至合同终止日为止。在此提交的资格证明文件均至</w:t>
      </w:r>
      <w:r>
        <w:rPr>
          <w:rFonts w:hint="eastAsia"/>
          <w:color w:val="auto"/>
          <w:highlight w:val="none"/>
          <w:lang w:val="en-US" w:eastAsia="zh-CN"/>
        </w:rPr>
        <w:t>响应</w:t>
      </w:r>
      <w:r>
        <w:rPr>
          <w:color w:val="auto"/>
          <w:highlight w:val="none"/>
        </w:rPr>
        <w:t>截止日有效，如有在</w:t>
      </w:r>
      <w:r>
        <w:rPr>
          <w:rFonts w:hint="eastAsia"/>
          <w:color w:val="auto"/>
          <w:highlight w:val="none"/>
          <w:lang w:val="en-US" w:eastAsia="zh-CN"/>
        </w:rPr>
        <w:t>响应</w:t>
      </w:r>
      <w:r>
        <w:rPr>
          <w:color w:val="auto"/>
          <w:highlight w:val="none"/>
        </w:rPr>
        <w:t>有效期内失效的，我方承诺在</w:t>
      </w:r>
      <w:r>
        <w:rPr>
          <w:rFonts w:hint="eastAsia" w:ascii="宋体" w:hAnsi="Times New Roman"/>
          <w:color w:val="auto"/>
          <w:szCs w:val="21"/>
          <w:highlight w:val="none"/>
          <w:lang w:val="en-US" w:eastAsia="zh-CN"/>
        </w:rPr>
        <w:t>成交</w:t>
      </w:r>
      <w:r>
        <w:rPr>
          <w:color w:val="auto"/>
          <w:highlight w:val="none"/>
        </w:rPr>
        <w:t>后补齐一切手续，保证所有资格证明文件能在签订采购合同时直至采购合同终止日有效。</w:t>
      </w:r>
    </w:p>
    <w:p w14:paraId="5628E5DE">
      <w:pPr>
        <w:spacing w:line="360" w:lineRule="auto"/>
        <w:ind w:firstLine="480"/>
        <w:rPr>
          <w:color w:val="auto"/>
          <w:highlight w:val="none"/>
        </w:rPr>
      </w:pPr>
      <w:r>
        <w:rPr>
          <w:color w:val="auto"/>
          <w:highlight w:val="none"/>
        </w:rPr>
        <w:t>（三）我方明白并同意，在规定的开标日之后，</w:t>
      </w:r>
      <w:r>
        <w:rPr>
          <w:rFonts w:hint="eastAsia"/>
          <w:color w:val="auto"/>
          <w:highlight w:val="none"/>
          <w:lang w:val="en-US" w:eastAsia="zh-CN"/>
        </w:rPr>
        <w:t>响应</w:t>
      </w:r>
      <w:r>
        <w:rPr>
          <w:color w:val="auto"/>
          <w:highlight w:val="none"/>
        </w:rPr>
        <w:t>有效期之内撤回投标或</w:t>
      </w:r>
      <w:r>
        <w:rPr>
          <w:rFonts w:hint="eastAsia"/>
          <w:color w:val="auto"/>
          <w:highlight w:val="none"/>
          <w:lang w:val="en-US" w:eastAsia="zh-CN"/>
        </w:rPr>
        <w:t>成交</w:t>
      </w:r>
      <w:r>
        <w:rPr>
          <w:color w:val="auto"/>
          <w:highlight w:val="none"/>
        </w:rPr>
        <w:t>后不按规定与采购人签订合同或不提交履约保证金, 则贵方将不予退还</w:t>
      </w:r>
      <w:r>
        <w:rPr>
          <w:rFonts w:hint="eastAsia"/>
          <w:color w:val="auto"/>
          <w:highlight w:val="none"/>
          <w:lang w:val="en-US" w:eastAsia="zh-CN"/>
        </w:rPr>
        <w:t>响应</w:t>
      </w:r>
      <w:r>
        <w:rPr>
          <w:color w:val="auto"/>
          <w:highlight w:val="none"/>
        </w:rPr>
        <w:t>保证金。</w:t>
      </w:r>
    </w:p>
    <w:p w14:paraId="5D10696B">
      <w:pPr>
        <w:spacing w:line="360" w:lineRule="auto"/>
        <w:ind w:firstLine="480"/>
        <w:rPr>
          <w:color w:val="auto"/>
          <w:highlight w:val="none"/>
        </w:rPr>
      </w:pPr>
      <w:r>
        <w:rPr>
          <w:color w:val="auto"/>
          <w:highlight w:val="none"/>
        </w:rPr>
        <w:t>（四）我方愿意向贵方提供任何与本项报价有关的数据、情况和技术资料。若贵方需要，我方愿意提供我方作出的一切承诺的证明材料。</w:t>
      </w:r>
    </w:p>
    <w:p w14:paraId="2FA70E61">
      <w:pPr>
        <w:spacing w:line="360" w:lineRule="auto"/>
        <w:ind w:firstLine="480"/>
        <w:rPr>
          <w:color w:val="auto"/>
          <w:highlight w:val="none"/>
        </w:rPr>
      </w:pPr>
      <w:r>
        <w:rPr>
          <w:color w:val="auto"/>
          <w:highlight w:val="none"/>
        </w:rPr>
        <w:t>（六）我方如果</w:t>
      </w:r>
      <w:r>
        <w:rPr>
          <w:rFonts w:hint="eastAsia" w:ascii="宋体" w:hAnsi="Times New Roman"/>
          <w:color w:val="auto"/>
          <w:szCs w:val="21"/>
          <w:highlight w:val="none"/>
          <w:lang w:val="en-US" w:eastAsia="zh-CN"/>
        </w:rPr>
        <w:t>成交</w:t>
      </w:r>
      <w:r>
        <w:rPr>
          <w:color w:val="auto"/>
          <w:highlight w:val="none"/>
        </w:rPr>
        <w:t>，将保证履行</w:t>
      </w:r>
      <w:r>
        <w:rPr>
          <w:rFonts w:hint="eastAsia"/>
          <w:color w:val="auto"/>
          <w:highlight w:val="none"/>
          <w:lang w:eastAsia="zh-CN"/>
        </w:rPr>
        <w:t>磋商文件</w:t>
      </w:r>
      <w:r>
        <w:rPr>
          <w:color w:val="auto"/>
          <w:highlight w:val="none"/>
        </w:rPr>
        <w:t>及其澄清、修改文件（如果有）中的全部责任和义务，按质、按量、按期完成《采购需求》及《合同书》中的全部任务。</w:t>
      </w:r>
    </w:p>
    <w:p w14:paraId="51B510E6">
      <w:pPr>
        <w:spacing w:line="360" w:lineRule="auto"/>
        <w:ind w:firstLine="480"/>
        <w:rPr>
          <w:color w:val="auto"/>
          <w:highlight w:val="none"/>
        </w:rPr>
      </w:pPr>
      <w:r>
        <w:rPr>
          <w:color w:val="auto"/>
          <w:highlight w:val="none"/>
        </w:rPr>
        <w:t>（七）我方作为法律、财务和运作上独立于采购人、采购代理机构的</w:t>
      </w:r>
      <w:r>
        <w:rPr>
          <w:rFonts w:hint="eastAsia"/>
          <w:color w:val="auto"/>
          <w:highlight w:val="none"/>
          <w:lang w:eastAsia="zh-CN"/>
        </w:rPr>
        <w:t>供应商</w:t>
      </w:r>
      <w:r>
        <w:rPr>
          <w:color w:val="auto"/>
          <w:highlight w:val="none"/>
        </w:rPr>
        <w:t>，在此保证所提交的所有文件和全部说明是真实的和正确的。</w:t>
      </w:r>
    </w:p>
    <w:p w14:paraId="30A495C4">
      <w:pPr>
        <w:spacing w:line="360" w:lineRule="auto"/>
        <w:ind w:firstLine="480"/>
        <w:rPr>
          <w:color w:val="auto"/>
          <w:highlight w:val="none"/>
        </w:rPr>
      </w:pPr>
      <w:r>
        <w:rPr>
          <w:color w:val="auto"/>
          <w:highlight w:val="none"/>
        </w:rPr>
        <w:t>（八）我方</w:t>
      </w:r>
      <w:r>
        <w:rPr>
          <w:rFonts w:hint="eastAsia"/>
          <w:color w:val="auto"/>
          <w:highlight w:val="none"/>
          <w:lang w:val="en-US" w:eastAsia="zh-CN"/>
        </w:rPr>
        <w:t>响应</w:t>
      </w:r>
      <w:r>
        <w:rPr>
          <w:color w:val="auto"/>
          <w:highlight w:val="none"/>
        </w:rPr>
        <w:t>报价已包含应向知识产权所有权人支付的所有相关税费，并保证采购人在中国使用我方提供的货物时，如有第三方提出侵犯其知识产权主张的，责任由我方承担。</w:t>
      </w:r>
    </w:p>
    <w:p w14:paraId="2DFF5E91">
      <w:pPr>
        <w:spacing w:line="360" w:lineRule="auto"/>
        <w:ind w:firstLine="480"/>
        <w:rPr>
          <w:color w:val="auto"/>
          <w:highlight w:val="none"/>
        </w:rPr>
      </w:pPr>
      <w:r>
        <w:rPr>
          <w:color w:val="auto"/>
          <w:highlight w:val="none"/>
        </w:rPr>
        <w:t>（九）我方接受采购人委托向</w:t>
      </w:r>
      <w:r>
        <w:rPr>
          <w:rFonts w:hint="eastAsia"/>
          <w:color w:val="auto"/>
          <w:highlight w:val="none"/>
          <w:lang w:eastAsia="zh-CN"/>
        </w:rPr>
        <w:t>采购机构</w:t>
      </w:r>
      <w:r>
        <w:rPr>
          <w:color w:val="auto"/>
          <w:highlight w:val="none"/>
        </w:rPr>
        <w:t>支付代理服务费，如果被确定为</w:t>
      </w:r>
      <w:r>
        <w:rPr>
          <w:rFonts w:hint="eastAsia"/>
          <w:color w:val="auto"/>
          <w:highlight w:val="none"/>
          <w:lang w:eastAsia="zh-CN"/>
        </w:rPr>
        <w:t>成交</w:t>
      </w:r>
      <w:r>
        <w:rPr>
          <w:color w:val="auto"/>
          <w:highlight w:val="none"/>
        </w:rPr>
        <w:t>供应商，承诺足额支付。</w:t>
      </w:r>
    </w:p>
    <w:p w14:paraId="203F87B6">
      <w:pPr>
        <w:spacing w:line="360" w:lineRule="auto"/>
        <w:ind w:firstLine="480"/>
        <w:rPr>
          <w:color w:val="auto"/>
          <w:highlight w:val="none"/>
        </w:rPr>
      </w:pPr>
      <w:r>
        <w:rPr>
          <w:color w:val="auto"/>
          <w:highlight w:val="none"/>
        </w:rPr>
        <w:t>（十）我方与其他</w:t>
      </w:r>
      <w:r>
        <w:rPr>
          <w:rFonts w:hint="eastAsia"/>
          <w:color w:val="auto"/>
          <w:highlight w:val="none"/>
          <w:lang w:eastAsia="zh-CN"/>
        </w:rPr>
        <w:t>供应商</w:t>
      </w:r>
      <w:r>
        <w:rPr>
          <w:color w:val="auto"/>
          <w:highlight w:val="none"/>
        </w:rPr>
        <w:t>不存在单位负责人为同一人或者存在直接控股、管理关系。</w:t>
      </w:r>
    </w:p>
    <w:p w14:paraId="7337FF5C">
      <w:pPr>
        <w:spacing w:line="360" w:lineRule="auto"/>
        <w:ind w:firstLine="480"/>
        <w:rPr>
          <w:color w:val="auto"/>
          <w:highlight w:val="none"/>
        </w:rPr>
      </w:pPr>
      <w:r>
        <w:rPr>
          <w:color w:val="auto"/>
          <w:highlight w:val="none"/>
        </w:rPr>
        <w:t>（十一）我方承诺未为本项目提供整体设计、规范编制或者项目管理、监理、检测等服务。</w:t>
      </w:r>
    </w:p>
    <w:p w14:paraId="6EE6130D">
      <w:pPr>
        <w:spacing w:line="360" w:lineRule="auto"/>
        <w:ind w:firstLine="480"/>
        <w:rPr>
          <w:rFonts w:hint="eastAsia"/>
          <w:color w:val="auto"/>
          <w:highlight w:val="none"/>
        </w:rPr>
      </w:pPr>
      <w:r>
        <w:rPr>
          <w:color w:val="auto"/>
          <w:highlight w:val="none"/>
        </w:rPr>
        <w:t>（十</w:t>
      </w:r>
      <w:r>
        <w:rPr>
          <w:rFonts w:hint="eastAsia"/>
          <w:color w:val="auto"/>
          <w:highlight w:val="none"/>
          <w:lang w:eastAsia="zh-CN"/>
        </w:rPr>
        <w:t>二</w:t>
      </w:r>
      <w:r>
        <w:rPr>
          <w:color w:val="auto"/>
          <w:highlight w:val="none"/>
        </w:rPr>
        <w:t>）我方承诺</w:t>
      </w:r>
      <w:r>
        <w:rPr>
          <w:rFonts w:hint="eastAsia"/>
          <w:color w:val="auto"/>
          <w:highlight w:val="none"/>
          <w:lang w:eastAsia="zh-CN"/>
        </w:rPr>
        <w:t>具备</w:t>
      </w:r>
      <w:r>
        <w:rPr>
          <w:rFonts w:hint="eastAsia"/>
          <w:color w:val="auto"/>
          <w:highlight w:val="none"/>
        </w:rPr>
        <w:t>履行合同所必需的设备和专业技术能力。</w:t>
      </w:r>
    </w:p>
    <w:p w14:paraId="2F10AAE4">
      <w:pPr>
        <w:spacing w:line="360" w:lineRule="auto"/>
        <w:ind w:firstLine="480"/>
        <w:rPr>
          <w:rFonts w:hint="eastAsia"/>
          <w:color w:val="auto"/>
          <w:highlight w:val="none"/>
          <w:lang w:eastAsia="zh-CN"/>
        </w:rPr>
      </w:pPr>
      <w:r>
        <w:rPr>
          <w:color w:val="auto"/>
          <w:highlight w:val="none"/>
        </w:rPr>
        <w:t>（十</w:t>
      </w:r>
      <w:r>
        <w:rPr>
          <w:rFonts w:hint="eastAsia"/>
          <w:color w:val="auto"/>
          <w:highlight w:val="none"/>
          <w:lang w:eastAsia="zh-CN"/>
        </w:rPr>
        <w:t>三</w:t>
      </w:r>
      <w:r>
        <w:rPr>
          <w:color w:val="auto"/>
          <w:highlight w:val="none"/>
        </w:rPr>
        <w:t>）我方承诺</w:t>
      </w:r>
      <w:r>
        <w:rPr>
          <w:rFonts w:hint="eastAsia"/>
          <w:color w:val="auto"/>
          <w:highlight w:val="none"/>
        </w:rPr>
        <w:t>负责人为同一人或者存在直接控股、管理关系的不同供应商，不得参加同一合同项下的政府采购活动</w:t>
      </w:r>
      <w:r>
        <w:rPr>
          <w:rFonts w:hint="eastAsia"/>
          <w:color w:val="auto"/>
          <w:highlight w:val="none"/>
          <w:lang w:eastAsia="zh-CN"/>
        </w:rPr>
        <w:t>。</w:t>
      </w:r>
    </w:p>
    <w:p w14:paraId="0012E060">
      <w:pPr>
        <w:spacing w:line="360" w:lineRule="auto"/>
        <w:ind w:firstLine="480"/>
        <w:rPr>
          <w:rFonts w:hint="eastAsia"/>
          <w:color w:val="auto"/>
          <w:highlight w:val="none"/>
        </w:rPr>
      </w:pPr>
      <w:r>
        <w:rPr>
          <w:color w:val="auto"/>
          <w:highlight w:val="none"/>
        </w:rPr>
        <w:t>（十</w:t>
      </w:r>
      <w:r>
        <w:rPr>
          <w:rFonts w:hint="eastAsia"/>
          <w:color w:val="auto"/>
          <w:highlight w:val="none"/>
          <w:lang w:eastAsia="zh-CN"/>
        </w:rPr>
        <w:t>四</w:t>
      </w:r>
      <w:r>
        <w:rPr>
          <w:color w:val="auto"/>
          <w:highlight w:val="none"/>
        </w:rPr>
        <w:t>）我方承诺</w:t>
      </w:r>
      <w:r>
        <w:rPr>
          <w:rFonts w:hint="eastAsia"/>
          <w:color w:val="auto"/>
          <w:highlight w:val="none"/>
        </w:rPr>
        <w:t>不</w:t>
      </w:r>
      <w:r>
        <w:rPr>
          <w:rFonts w:hint="eastAsia"/>
          <w:color w:val="auto"/>
          <w:highlight w:val="none"/>
          <w:lang w:eastAsia="zh-CN"/>
        </w:rPr>
        <w:t>是</w:t>
      </w:r>
      <w:r>
        <w:rPr>
          <w:rFonts w:hint="eastAsia"/>
          <w:color w:val="auto"/>
          <w:highlight w:val="none"/>
        </w:rPr>
        <w:t>联合体参与磋商，不允许转包，分包。</w:t>
      </w:r>
    </w:p>
    <w:p w14:paraId="42CE4664">
      <w:pPr>
        <w:spacing w:line="360" w:lineRule="auto"/>
        <w:ind w:firstLine="480"/>
        <w:rPr>
          <w:color w:val="auto"/>
          <w:highlight w:val="none"/>
        </w:rPr>
      </w:pPr>
      <w:r>
        <w:rPr>
          <w:color w:val="auto"/>
          <w:highlight w:val="none"/>
        </w:rPr>
        <w:t>（十</w:t>
      </w:r>
      <w:r>
        <w:rPr>
          <w:rFonts w:hint="eastAsia"/>
          <w:color w:val="auto"/>
          <w:highlight w:val="none"/>
          <w:lang w:eastAsia="zh-CN"/>
        </w:rPr>
        <w:t>五</w:t>
      </w:r>
      <w:r>
        <w:rPr>
          <w:color w:val="auto"/>
          <w:highlight w:val="none"/>
        </w:rPr>
        <w:t>）我方未被列入法院失信被执行人名单中。</w:t>
      </w:r>
    </w:p>
    <w:p w14:paraId="5C7F14F0">
      <w:pPr>
        <w:spacing w:line="360" w:lineRule="auto"/>
        <w:ind w:firstLine="480"/>
        <w:rPr>
          <w:color w:val="auto"/>
          <w:highlight w:val="none"/>
        </w:rPr>
      </w:pPr>
      <w:r>
        <w:rPr>
          <w:color w:val="auto"/>
          <w:highlight w:val="none"/>
        </w:rPr>
        <w:t>（十</w:t>
      </w:r>
      <w:r>
        <w:rPr>
          <w:rFonts w:hint="eastAsia"/>
          <w:color w:val="auto"/>
          <w:highlight w:val="none"/>
          <w:lang w:eastAsia="zh-CN"/>
        </w:rPr>
        <w:t>六</w:t>
      </w:r>
      <w:r>
        <w:rPr>
          <w:color w:val="auto"/>
          <w:highlight w:val="none"/>
        </w:rPr>
        <w:t>）我方具备《中华人民共和国政府采购法》第二十二条规定的条件，承诺如下：</w:t>
      </w:r>
    </w:p>
    <w:p w14:paraId="1A4A8DE4">
      <w:pPr>
        <w:spacing w:line="360" w:lineRule="auto"/>
        <w:ind w:firstLine="480"/>
        <w:rPr>
          <w:color w:val="auto"/>
          <w:highlight w:val="none"/>
        </w:rPr>
      </w:pPr>
      <w:r>
        <w:rPr>
          <w:color w:val="auto"/>
          <w:highlight w:val="none"/>
        </w:rPr>
        <w:t>（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20A09FC2">
      <w:pPr>
        <w:spacing w:line="360" w:lineRule="auto"/>
        <w:ind w:firstLine="480"/>
        <w:rPr>
          <w:color w:val="auto"/>
          <w:highlight w:val="none"/>
        </w:rPr>
      </w:pPr>
      <w:r>
        <w:rPr>
          <w:color w:val="auto"/>
          <w:highlight w:val="none"/>
        </w:rPr>
        <w:t>（2）我方符合法律、行政法规规定的其他条件。</w:t>
      </w:r>
    </w:p>
    <w:p w14:paraId="50194DFA">
      <w:pPr>
        <w:spacing w:line="360" w:lineRule="auto"/>
        <w:ind w:firstLine="480"/>
        <w:rPr>
          <w:color w:val="auto"/>
          <w:highlight w:val="none"/>
        </w:rPr>
      </w:pPr>
      <w:r>
        <w:rPr>
          <w:color w:val="auto"/>
          <w:highlight w:val="none"/>
        </w:rPr>
        <w:t>以上内容如有虚假或与事实不符的，评标委员会可将我方做无效</w:t>
      </w:r>
      <w:r>
        <w:rPr>
          <w:rFonts w:hint="eastAsia"/>
          <w:color w:val="auto"/>
          <w:highlight w:val="none"/>
          <w:lang w:val="en-US" w:eastAsia="zh-CN"/>
        </w:rPr>
        <w:t>响应</w:t>
      </w:r>
      <w:r>
        <w:rPr>
          <w:color w:val="auto"/>
          <w:highlight w:val="none"/>
        </w:rPr>
        <w:t>处理，我方愿意承担相应的法律责任。</w:t>
      </w:r>
    </w:p>
    <w:p w14:paraId="018CF514">
      <w:pPr>
        <w:spacing w:line="360" w:lineRule="auto"/>
        <w:ind w:firstLine="480"/>
        <w:rPr>
          <w:color w:val="auto"/>
          <w:highlight w:val="none"/>
        </w:rPr>
      </w:pPr>
      <w:r>
        <w:rPr>
          <w:color w:val="auto"/>
          <w:highlight w:val="none"/>
        </w:rPr>
        <w:t>（十</w:t>
      </w:r>
      <w:r>
        <w:rPr>
          <w:rFonts w:hint="eastAsia"/>
          <w:color w:val="auto"/>
          <w:highlight w:val="none"/>
          <w:lang w:eastAsia="zh-CN"/>
        </w:rPr>
        <w:t>七</w:t>
      </w:r>
      <w:r>
        <w:rPr>
          <w:color w:val="auto"/>
          <w:highlight w:val="none"/>
        </w:rPr>
        <w:t>）我方对在本函及</w:t>
      </w:r>
      <w:r>
        <w:rPr>
          <w:rFonts w:hint="eastAsia"/>
          <w:color w:val="auto"/>
          <w:highlight w:val="none"/>
          <w:lang w:val="en-US" w:eastAsia="zh-CN"/>
        </w:rPr>
        <w:t>响应</w:t>
      </w:r>
      <w:r>
        <w:rPr>
          <w:color w:val="auto"/>
          <w:highlight w:val="none"/>
        </w:rPr>
        <w:t>文件中所作的所有承诺承担法律责任。</w:t>
      </w:r>
    </w:p>
    <w:p w14:paraId="2CA7AAC8">
      <w:pPr>
        <w:spacing w:line="360" w:lineRule="auto"/>
        <w:ind w:firstLine="435"/>
        <w:contextualSpacing/>
        <w:rPr>
          <w:color w:val="auto"/>
          <w:highlight w:val="none"/>
        </w:rPr>
      </w:pPr>
    </w:p>
    <w:p w14:paraId="6B06A735">
      <w:pPr>
        <w:spacing w:line="360" w:lineRule="auto"/>
        <w:ind w:firstLine="435"/>
        <w:contextualSpacing/>
        <w:rPr>
          <w:color w:val="auto"/>
          <w:highlight w:val="none"/>
        </w:rPr>
      </w:pPr>
    </w:p>
    <w:p w14:paraId="5246F727">
      <w:pPr>
        <w:spacing w:line="360" w:lineRule="auto"/>
        <w:ind w:firstLine="435"/>
        <w:contextualSpacing/>
        <w:rPr>
          <w:color w:val="auto"/>
          <w:highlight w:val="none"/>
        </w:rPr>
      </w:pPr>
      <w:r>
        <w:rPr>
          <w:rFonts w:hint="eastAsia"/>
          <w:color w:val="auto"/>
          <w:highlight w:val="none"/>
        </w:rPr>
        <w:t>特此承诺！</w:t>
      </w:r>
    </w:p>
    <w:p w14:paraId="3216172F">
      <w:pPr>
        <w:spacing w:line="360" w:lineRule="auto"/>
        <w:ind w:firstLine="435"/>
        <w:contextualSpacing/>
        <w:rPr>
          <w:color w:val="auto"/>
          <w:highlight w:val="none"/>
        </w:rPr>
      </w:pPr>
    </w:p>
    <w:p w14:paraId="1F968CEF">
      <w:pPr>
        <w:pStyle w:val="1455"/>
        <w:spacing w:line="360" w:lineRule="auto"/>
        <w:contextualSpacing/>
        <w:rPr>
          <w:rFonts w:ascii="宋体"/>
          <w:color w:val="auto"/>
          <w:sz w:val="24"/>
          <w:highlight w:val="none"/>
        </w:rPr>
      </w:pPr>
      <w:r>
        <w:rPr>
          <w:rFonts w:hint="eastAsia" w:ascii="宋体"/>
          <w:color w:val="auto"/>
          <w:sz w:val="24"/>
          <w:highlight w:val="none"/>
        </w:rPr>
        <w:t>供应商代表签字</w:t>
      </w:r>
      <w:r>
        <w:rPr>
          <w:rFonts w:hint="eastAsia" w:ascii="宋体"/>
          <w:color w:val="auto"/>
          <w:sz w:val="24"/>
          <w:highlight w:val="none"/>
          <w:u w:val="single"/>
        </w:rPr>
        <w:t xml:space="preserve">                            </w:t>
      </w:r>
    </w:p>
    <w:p w14:paraId="470892EB">
      <w:pPr>
        <w:pStyle w:val="1455"/>
        <w:spacing w:line="360" w:lineRule="auto"/>
        <w:contextualSpacing/>
        <w:rPr>
          <w:rFonts w:ascii="宋体"/>
          <w:color w:val="auto"/>
          <w:sz w:val="24"/>
          <w:highlight w:val="none"/>
        </w:rPr>
      </w:pPr>
      <w:r>
        <w:rPr>
          <w:rFonts w:hint="eastAsia" w:ascii="宋体"/>
          <w:color w:val="auto"/>
          <w:sz w:val="24"/>
          <w:highlight w:val="none"/>
        </w:rPr>
        <w:t>供应商名称（盖章）</w:t>
      </w:r>
      <w:r>
        <w:rPr>
          <w:rFonts w:hint="eastAsia" w:ascii="宋体"/>
          <w:color w:val="auto"/>
          <w:sz w:val="24"/>
          <w:highlight w:val="none"/>
          <w:u w:val="single"/>
        </w:rPr>
        <w:t xml:space="preserve">                        </w:t>
      </w:r>
    </w:p>
    <w:p w14:paraId="6BF7C08F">
      <w:pPr>
        <w:pStyle w:val="1456"/>
        <w:contextualSpacing/>
        <w:rPr>
          <w:color w:val="auto"/>
          <w:highlight w:val="none"/>
          <w:u w:val="single"/>
        </w:rPr>
      </w:pPr>
      <w:r>
        <w:rPr>
          <w:rFonts w:hint="eastAsia"/>
          <w:color w:val="auto"/>
          <w:highlight w:val="none"/>
        </w:rPr>
        <w:t>日       期</w:t>
      </w:r>
      <w:r>
        <w:rPr>
          <w:rFonts w:hint="eastAsia"/>
          <w:color w:val="auto"/>
          <w:highlight w:val="none"/>
          <w:u w:val="single"/>
        </w:rPr>
        <w:t xml:space="preserve">                                   </w:t>
      </w:r>
    </w:p>
    <w:p w14:paraId="04B16F4E">
      <w:pPr>
        <w:adjustRightInd w:val="0"/>
        <w:spacing w:before="240" w:beforeLines="100"/>
        <w:ind w:right="958"/>
        <w:jc w:val="left"/>
        <w:textAlignment w:val="baseline"/>
        <w:rPr>
          <w:rFonts w:ascii="宋体"/>
          <w:color w:val="auto"/>
          <w:kern w:val="0"/>
          <w:sz w:val="28"/>
          <w:szCs w:val="28"/>
          <w:highlight w:val="none"/>
        </w:rPr>
      </w:pPr>
      <w:r>
        <w:rPr>
          <w:rFonts w:ascii="宋体"/>
          <w:color w:val="auto"/>
          <w:kern w:val="0"/>
          <w:sz w:val="24"/>
          <w:highlight w:val="none"/>
        </w:rPr>
        <w:br w:type="page"/>
      </w:r>
      <w:r>
        <w:rPr>
          <w:rFonts w:hint="eastAsia" w:ascii="宋体"/>
          <w:color w:val="auto"/>
          <w:kern w:val="0"/>
          <w:sz w:val="24"/>
          <w:highlight w:val="none"/>
        </w:rPr>
        <w:t>附件1</w:t>
      </w:r>
      <w:r>
        <w:rPr>
          <w:rFonts w:hint="eastAsia" w:ascii="宋体"/>
          <w:color w:val="auto"/>
          <w:kern w:val="0"/>
          <w:sz w:val="24"/>
          <w:highlight w:val="none"/>
          <w:lang w:val="en-US" w:eastAsia="zh-CN"/>
        </w:rPr>
        <w:t>9</w:t>
      </w:r>
      <w:r>
        <w:rPr>
          <w:rFonts w:hint="eastAsia" w:ascii="宋体"/>
          <w:color w:val="auto"/>
          <w:kern w:val="0"/>
          <w:sz w:val="24"/>
          <w:highlight w:val="none"/>
        </w:rPr>
        <w:t xml:space="preserve"> </w:t>
      </w:r>
      <w:bookmarkEnd w:id="637"/>
      <w:bookmarkEnd w:id="638"/>
      <w:bookmarkEnd w:id="639"/>
      <w:bookmarkEnd w:id="640"/>
      <w:bookmarkEnd w:id="641"/>
      <w:bookmarkEnd w:id="642"/>
      <w:bookmarkEnd w:id="643"/>
    </w:p>
    <w:p w14:paraId="0055007C">
      <w:pPr>
        <w:jc w:val="center"/>
        <w:outlineLvl w:val="1"/>
        <w:rPr>
          <w:rFonts w:ascii="宋体"/>
          <w:b/>
          <w:bCs/>
          <w:color w:val="auto"/>
          <w:kern w:val="0"/>
          <w:sz w:val="24"/>
          <w:highlight w:val="none"/>
        </w:rPr>
      </w:pPr>
      <w:bookmarkStart w:id="651" w:name="_Toc21449"/>
      <w:r>
        <w:rPr>
          <w:rFonts w:hint="eastAsia" w:ascii="宋体"/>
          <w:b/>
          <w:bCs/>
          <w:color w:val="auto"/>
          <w:kern w:val="0"/>
          <w:sz w:val="24"/>
          <w:highlight w:val="none"/>
        </w:rPr>
        <w:t>最终报价一览表</w:t>
      </w:r>
      <w:bookmarkEnd w:id="651"/>
    </w:p>
    <w:p w14:paraId="15AE176C">
      <w:pPr>
        <w:tabs>
          <w:tab w:val="left" w:pos="1800"/>
          <w:tab w:val="left" w:pos="5580"/>
        </w:tabs>
        <w:spacing w:line="360" w:lineRule="auto"/>
        <w:jc w:val="left"/>
        <w:rPr>
          <w:rFonts w:ascii="宋体"/>
          <w:color w:val="auto"/>
          <w:sz w:val="24"/>
          <w:highlight w:val="none"/>
        </w:rPr>
      </w:pPr>
    </w:p>
    <w:p w14:paraId="79D66FD7">
      <w:pPr>
        <w:spacing w:line="360" w:lineRule="auto"/>
        <w:rPr>
          <w:rFonts w:ascii="宋体"/>
          <w:color w:val="auto"/>
          <w:kern w:val="0"/>
          <w:sz w:val="28"/>
          <w:szCs w:val="28"/>
          <w:highlight w:val="none"/>
        </w:rPr>
      </w:pPr>
    </w:p>
    <w:p w14:paraId="31F44172">
      <w:pPr>
        <w:tabs>
          <w:tab w:val="left" w:pos="1800"/>
          <w:tab w:val="left" w:pos="5580"/>
        </w:tabs>
        <w:spacing w:line="360" w:lineRule="auto"/>
        <w:jc w:val="left"/>
        <w:rPr>
          <w:rFonts w:ascii="宋体"/>
          <w:color w:val="auto"/>
          <w:sz w:val="24"/>
          <w:highlight w:val="none"/>
        </w:rPr>
      </w:pPr>
    </w:p>
    <w:p w14:paraId="1BFC73DE">
      <w:pPr>
        <w:spacing w:line="360" w:lineRule="auto"/>
        <w:rPr>
          <w:rFonts w:ascii="宋体"/>
          <w:color w:val="auto"/>
          <w:sz w:val="24"/>
          <w:highlight w:val="none"/>
          <w:u w:val="single"/>
        </w:rPr>
      </w:pPr>
      <w:r>
        <w:rPr>
          <w:rFonts w:hint="eastAsia" w:ascii="宋体"/>
          <w:color w:val="auto"/>
          <w:sz w:val="24"/>
          <w:highlight w:val="none"/>
        </w:rPr>
        <w:t>项目名称：</w:t>
      </w:r>
      <w:r>
        <w:rPr>
          <w:rFonts w:hint="eastAsia" w:ascii="宋体"/>
          <w:color w:val="auto"/>
          <w:sz w:val="24"/>
          <w:highlight w:val="none"/>
          <w:u w:val="single"/>
        </w:rPr>
        <w:t xml:space="preserve">                           </w:t>
      </w:r>
      <w:r>
        <w:rPr>
          <w:rFonts w:hint="eastAsia" w:ascii="宋体"/>
          <w:color w:val="auto"/>
          <w:sz w:val="24"/>
          <w:highlight w:val="none"/>
        </w:rPr>
        <w:t xml:space="preserve"> 项目编号：</w:t>
      </w:r>
      <w:r>
        <w:rPr>
          <w:rFonts w:hint="eastAsia" w:ascii="宋体"/>
          <w:color w:val="auto"/>
          <w:sz w:val="24"/>
          <w:highlight w:val="none"/>
          <w:u w:val="single"/>
        </w:rPr>
        <w:t xml:space="preserve">                        </w:t>
      </w:r>
      <w:r>
        <w:rPr>
          <w:rFonts w:hint="eastAsia" w:ascii="宋体"/>
          <w:color w:val="auto"/>
          <w:sz w:val="24"/>
          <w:highlight w:val="none"/>
        </w:rPr>
        <w:t xml:space="preserve"> </w:t>
      </w:r>
    </w:p>
    <w:tbl>
      <w:tblPr>
        <w:tblStyle w:val="62"/>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1913"/>
        <w:gridCol w:w="2015"/>
        <w:gridCol w:w="3024"/>
      </w:tblGrid>
      <w:tr w14:paraId="0011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2262" w:type="dxa"/>
            <w:tcBorders>
              <w:top w:val="single" w:color="auto" w:sz="4" w:space="0"/>
              <w:left w:val="single" w:color="auto" w:sz="4" w:space="0"/>
              <w:bottom w:val="single" w:color="auto" w:sz="4" w:space="0"/>
              <w:right w:val="single" w:color="auto" w:sz="4" w:space="0"/>
            </w:tcBorders>
            <w:vAlign w:val="center"/>
          </w:tcPr>
          <w:p w14:paraId="37332CE7">
            <w:pPr>
              <w:jc w:val="center"/>
              <w:rPr>
                <w:rFonts w:ascii="宋体"/>
                <w:color w:val="auto"/>
                <w:sz w:val="24"/>
                <w:highlight w:val="none"/>
              </w:rPr>
            </w:pPr>
            <w:r>
              <w:rPr>
                <w:rFonts w:hint="eastAsia" w:ascii="宋体"/>
                <w:color w:val="auto"/>
                <w:sz w:val="24"/>
                <w:highlight w:val="none"/>
              </w:rPr>
              <w:t>项目内容</w:t>
            </w:r>
          </w:p>
        </w:tc>
        <w:tc>
          <w:tcPr>
            <w:tcW w:w="1913" w:type="dxa"/>
            <w:tcBorders>
              <w:top w:val="single" w:color="auto" w:sz="4" w:space="0"/>
              <w:left w:val="single" w:color="auto" w:sz="4" w:space="0"/>
              <w:bottom w:val="single" w:color="auto" w:sz="4" w:space="0"/>
              <w:right w:val="single" w:color="auto" w:sz="4" w:space="0"/>
            </w:tcBorders>
            <w:vAlign w:val="center"/>
          </w:tcPr>
          <w:p w14:paraId="465F0D10">
            <w:pPr>
              <w:jc w:val="center"/>
              <w:rPr>
                <w:rFonts w:hint="eastAsia" w:ascii="宋体" w:eastAsia="宋体"/>
                <w:color w:val="auto"/>
                <w:sz w:val="24"/>
                <w:highlight w:val="none"/>
                <w:lang w:eastAsia="zh-CN"/>
              </w:rPr>
            </w:pPr>
            <w:r>
              <w:rPr>
                <w:rFonts w:hint="eastAsia" w:ascii="宋体"/>
                <w:color w:val="auto"/>
                <w:sz w:val="24"/>
                <w:highlight w:val="none"/>
              </w:rPr>
              <w:t>最终报价</w:t>
            </w:r>
            <w:r>
              <w:rPr>
                <w:rFonts w:hint="eastAsia" w:ascii="宋体"/>
                <w:color w:val="auto"/>
                <w:sz w:val="24"/>
                <w:highlight w:val="none"/>
                <w:lang w:val="en-US" w:eastAsia="zh-CN"/>
              </w:rPr>
              <w:t>折扣率</w:t>
            </w:r>
            <w:r>
              <w:rPr>
                <w:rFonts w:hint="eastAsia" w:ascii="宋体"/>
                <w:color w:val="auto"/>
                <w:sz w:val="24"/>
                <w:highlight w:val="none"/>
                <w:lang w:eastAsia="zh-CN"/>
              </w:rPr>
              <w:t>（</w:t>
            </w:r>
            <w:r>
              <w:rPr>
                <w:rFonts w:hint="eastAsia" w:ascii="宋体"/>
                <w:color w:val="auto"/>
                <w:sz w:val="24"/>
                <w:highlight w:val="none"/>
                <w:lang w:val="en-US" w:eastAsia="zh-CN"/>
              </w:rPr>
              <w:t>%</w:t>
            </w:r>
            <w:r>
              <w:rPr>
                <w:rFonts w:hint="eastAsia" w:ascii="宋体"/>
                <w:color w:val="auto"/>
                <w:sz w:val="24"/>
                <w:highlight w:val="none"/>
                <w:lang w:eastAsia="zh-CN"/>
              </w:rPr>
              <w:t>）</w:t>
            </w:r>
          </w:p>
        </w:tc>
        <w:tc>
          <w:tcPr>
            <w:tcW w:w="2015" w:type="dxa"/>
            <w:tcBorders>
              <w:top w:val="single" w:color="auto" w:sz="4" w:space="0"/>
              <w:left w:val="single" w:color="auto" w:sz="4" w:space="0"/>
              <w:bottom w:val="single" w:color="auto" w:sz="4" w:space="0"/>
              <w:right w:val="single" w:color="auto" w:sz="4" w:space="0"/>
            </w:tcBorders>
            <w:vAlign w:val="center"/>
          </w:tcPr>
          <w:p w14:paraId="1778B5BC">
            <w:pPr>
              <w:pStyle w:val="1447"/>
              <w:tabs>
                <w:tab w:val="left" w:pos="5580"/>
              </w:tabs>
              <w:jc w:val="center"/>
              <w:rPr>
                <w:rFonts w:ascii="宋体"/>
                <w:bCs/>
                <w:color w:val="auto"/>
                <w:sz w:val="24"/>
                <w:szCs w:val="24"/>
                <w:highlight w:val="none"/>
              </w:rPr>
            </w:pPr>
            <w:r>
              <w:rPr>
                <w:rFonts w:hint="eastAsia" w:ascii="宋体"/>
                <w:bCs/>
                <w:color w:val="auto"/>
                <w:sz w:val="24"/>
                <w:szCs w:val="24"/>
                <w:highlight w:val="none"/>
              </w:rPr>
              <w:t>项目</w:t>
            </w:r>
          </w:p>
          <w:p w14:paraId="4495603A">
            <w:pPr>
              <w:tabs>
                <w:tab w:val="left" w:pos="5580"/>
              </w:tabs>
              <w:jc w:val="center"/>
              <w:rPr>
                <w:rFonts w:ascii="宋体"/>
                <w:color w:val="auto"/>
                <w:sz w:val="24"/>
                <w:highlight w:val="none"/>
              </w:rPr>
            </w:pPr>
            <w:r>
              <w:rPr>
                <w:rFonts w:hint="eastAsia" w:ascii="宋体"/>
                <w:bCs/>
                <w:color w:val="auto"/>
                <w:sz w:val="24"/>
                <w:highlight w:val="none"/>
              </w:rPr>
              <w:t>服务期</w:t>
            </w:r>
          </w:p>
        </w:tc>
        <w:tc>
          <w:tcPr>
            <w:tcW w:w="3024" w:type="dxa"/>
            <w:tcBorders>
              <w:top w:val="single" w:color="auto" w:sz="4" w:space="0"/>
              <w:left w:val="single" w:color="auto" w:sz="4" w:space="0"/>
              <w:bottom w:val="single" w:color="auto" w:sz="4" w:space="0"/>
              <w:right w:val="single" w:color="auto" w:sz="4" w:space="0"/>
            </w:tcBorders>
            <w:vAlign w:val="center"/>
          </w:tcPr>
          <w:p w14:paraId="0E91D79C">
            <w:pPr>
              <w:jc w:val="center"/>
              <w:rPr>
                <w:rFonts w:ascii="宋体"/>
                <w:color w:val="auto"/>
                <w:sz w:val="24"/>
                <w:highlight w:val="none"/>
              </w:rPr>
            </w:pPr>
            <w:r>
              <w:rPr>
                <w:rFonts w:hint="eastAsia" w:ascii="宋体"/>
                <w:color w:val="auto"/>
                <w:sz w:val="24"/>
                <w:highlight w:val="none"/>
              </w:rPr>
              <w:t>其他</w:t>
            </w:r>
          </w:p>
          <w:p w14:paraId="11D24C4A">
            <w:pPr>
              <w:jc w:val="center"/>
              <w:rPr>
                <w:rFonts w:ascii="宋体"/>
                <w:color w:val="auto"/>
                <w:sz w:val="24"/>
                <w:highlight w:val="none"/>
              </w:rPr>
            </w:pPr>
            <w:r>
              <w:rPr>
                <w:rFonts w:hint="eastAsia" w:ascii="宋体"/>
                <w:color w:val="auto"/>
                <w:sz w:val="24"/>
                <w:highlight w:val="none"/>
              </w:rPr>
              <w:t>声明</w:t>
            </w:r>
          </w:p>
        </w:tc>
      </w:tr>
      <w:tr w14:paraId="361D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2262" w:type="dxa"/>
            <w:tcBorders>
              <w:top w:val="single" w:color="auto" w:sz="4" w:space="0"/>
              <w:left w:val="single" w:color="auto" w:sz="4" w:space="0"/>
              <w:bottom w:val="single" w:color="auto" w:sz="4" w:space="0"/>
              <w:right w:val="single" w:color="auto" w:sz="4" w:space="0"/>
            </w:tcBorders>
            <w:vAlign w:val="center"/>
          </w:tcPr>
          <w:p w14:paraId="6E8769FF">
            <w:pPr>
              <w:spacing w:line="360" w:lineRule="auto"/>
              <w:jc w:val="center"/>
              <w:rPr>
                <w:rFonts w:ascii="宋体"/>
                <w:color w:val="auto"/>
                <w:sz w:val="24"/>
                <w:highlight w:val="none"/>
              </w:rPr>
            </w:pPr>
          </w:p>
        </w:tc>
        <w:tc>
          <w:tcPr>
            <w:tcW w:w="1913" w:type="dxa"/>
            <w:tcBorders>
              <w:top w:val="single" w:color="auto" w:sz="4" w:space="0"/>
              <w:left w:val="single" w:color="auto" w:sz="4" w:space="0"/>
              <w:bottom w:val="single" w:color="auto" w:sz="4" w:space="0"/>
              <w:right w:val="single" w:color="auto" w:sz="4" w:space="0"/>
            </w:tcBorders>
            <w:vAlign w:val="center"/>
          </w:tcPr>
          <w:p w14:paraId="436890BA">
            <w:pPr>
              <w:pStyle w:val="1175"/>
              <w:spacing w:line="360" w:lineRule="auto"/>
              <w:rPr>
                <w:rFonts w:ascii="宋体"/>
                <w:color w:val="auto"/>
                <w:szCs w:val="24"/>
                <w:highlight w:val="none"/>
              </w:rPr>
            </w:pPr>
          </w:p>
        </w:tc>
        <w:tc>
          <w:tcPr>
            <w:tcW w:w="2015" w:type="dxa"/>
            <w:tcBorders>
              <w:top w:val="single" w:color="auto" w:sz="4" w:space="0"/>
              <w:left w:val="single" w:color="auto" w:sz="4" w:space="0"/>
              <w:bottom w:val="single" w:color="auto" w:sz="4" w:space="0"/>
              <w:right w:val="single" w:color="auto" w:sz="4" w:space="0"/>
            </w:tcBorders>
            <w:vAlign w:val="center"/>
          </w:tcPr>
          <w:p w14:paraId="2E238207">
            <w:pPr>
              <w:spacing w:line="360" w:lineRule="auto"/>
              <w:jc w:val="center"/>
              <w:rPr>
                <w:rFonts w:ascii="宋体"/>
                <w:color w:val="auto"/>
                <w:sz w:val="24"/>
                <w:highlight w:val="none"/>
              </w:rPr>
            </w:pPr>
          </w:p>
        </w:tc>
        <w:tc>
          <w:tcPr>
            <w:tcW w:w="3024" w:type="dxa"/>
            <w:tcBorders>
              <w:top w:val="single" w:color="auto" w:sz="4" w:space="0"/>
              <w:left w:val="single" w:color="auto" w:sz="4" w:space="0"/>
              <w:bottom w:val="single" w:color="auto" w:sz="4" w:space="0"/>
              <w:right w:val="single" w:color="auto" w:sz="4" w:space="0"/>
            </w:tcBorders>
            <w:vAlign w:val="center"/>
          </w:tcPr>
          <w:p w14:paraId="2D32D8B7">
            <w:pPr>
              <w:spacing w:line="360" w:lineRule="auto"/>
              <w:jc w:val="center"/>
              <w:rPr>
                <w:rFonts w:ascii="宋体"/>
                <w:color w:val="auto"/>
                <w:sz w:val="24"/>
                <w:highlight w:val="none"/>
              </w:rPr>
            </w:pPr>
          </w:p>
        </w:tc>
      </w:tr>
    </w:tbl>
    <w:p w14:paraId="28046526">
      <w:pPr>
        <w:rPr>
          <w:rFonts w:ascii="宋体"/>
          <w:color w:val="auto"/>
          <w:highlight w:val="none"/>
        </w:rPr>
      </w:pPr>
    </w:p>
    <w:p w14:paraId="62946E37">
      <w:pPr>
        <w:rPr>
          <w:rFonts w:ascii="宋体"/>
          <w:color w:val="auto"/>
          <w:highlight w:val="none"/>
        </w:rPr>
      </w:pPr>
      <w:r>
        <w:rPr>
          <w:rFonts w:hint="eastAsia" w:ascii="宋体"/>
          <w:color w:val="auto"/>
          <w:highlight w:val="none"/>
        </w:rPr>
        <w:t>注：</w:t>
      </w:r>
    </w:p>
    <w:p w14:paraId="7A783892">
      <w:pPr>
        <w:ind w:firstLine="420"/>
        <w:rPr>
          <w:rFonts w:ascii="宋体"/>
          <w:color w:val="auto"/>
          <w:highlight w:val="none"/>
        </w:rPr>
      </w:pPr>
      <w:r>
        <w:rPr>
          <w:rFonts w:hint="eastAsia" w:ascii="宋体"/>
          <w:color w:val="auto"/>
          <w:highlight w:val="none"/>
          <w:lang w:val="en-US" w:eastAsia="zh-CN"/>
        </w:rPr>
        <w:t>1</w:t>
      </w:r>
      <w:r>
        <w:rPr>
          <w:rFonts w:hint="eastAsia" w:ascii="宋体"/>
          <w:color w:val="auto"/>
          <w:highlight w:val="none"/>
        </w:rPr>
        <w:t>.本最终报价为供应商单位签字确认的最终项目需求进行的报价。</w:t>
      </w:r>
    </w:p>
    <w:p w14:paraId="7EB43FCF">
      <w:pPr>
        <w:ind w:firstLine="422" w:firstLineChars="200"/>
        <w:rPr>
          <w:rFonts w:ascii="宋体"/>
          <w:b/>
          <w:color w:val="auto"/>
          <w:highlight w:val="none"/>
        </w:rPr>
      </w:pPr>
      <w:r>
        <w:rPr>
          <w:rFonts w:hint="eastAsia" w:ascii="宋体"/>
          <w:b/>
          <w:color w:val="auto"/>
          <w:highlight w:val="none"/>
          <w:lang w:val="en-US" w:eastAsia="zh-CN"/>
        </w:rPr>
        <w:t>2</w:t>
      </w:r>
      <w:r>
        <w:rPr>
          <w:rFonts w:hint="eastAsia" w:ascii="宋体"/>
          <w:b/>
          <w:color w:val="auto"/>
          <w:highlight w:val="none"/>
        </w:rPr>
        <w:t>.本表需打印并加盖供应商单位公章，不需随附于应答文件正、副本中。</w:t>
      </w:r>
    </w:p>
    <w:p w14:paraId="1D0DBADD">
      <w:pPr>
        <w:ind w:firstLine="422" w:firstLineChars="200"/>
        <w:rPr>
          <w:rFonts w:ascii="宋体"/>
          <w:b/>
          <w:color w:val="auto"/>
          <w:highlight w:val="none"/>
        </w:rPr>
      </w:pPr>
      <w:r>
        <w:rPr>
          <w:rFonts w:hint="eastAsia" w:ascii="宋体"/>
          <w:b/>
          <w:color w:val="auto"/>
          <w:highlight w:val="none"/>
          <w:lang w:val="en-US" w:eastAsia="zh-CN"/>
        </w:rPr>
        <w:t>3</w:t>
      </w:r>
      <w:r>
        <w:rPr>
          <w:rFonts w:hint="eastAsia" w:ascii="宋体"/>
          <w:b/>
          <w:color w:val="auto"/>
          <w:highlight w:val="none"/>
        </w:rPr>
        <w:t>.本表作为单独文件于磋商阶段二次报价环节提交评审小组，作为“响应价格”评分的最优先依据。</w:t>
      </w:r>
    </w:p>
    <w:p w14:paraId="75BCD69D">
      <w:pPr>
        <w:rPr>
          <w:rFonts w:ascii="宋体" w:cs="宋体"/>
          <w:color w:val="auto"/>
          <w:sz w:val="24"/>
          <w:szCs w:val="21"/>
          <w:highlight w:val="none"/>
          <w:u w:val="single"/>
        </w:rPr>
      </w:pPr>
      <w:r>
        <w:rPr>
          <w:color w:val="auto"/>
          <w:highlight w:val="none"/>
        </w:rPr>
        <w:t xml:space="preserve"> </w:t>
      </w:r>
    </w:p>
    <w:p w14:paraId="283D2B72">
      <w:pPr>
        <w:spacing w:line="360" w:lineRule="auto"/>
        <w:rPr>
          <w:rFonts w:ascii="宋体"/>
          <w:color w:val="auto"/>
          <w:sz w:val="24"/>
          <w:highlight w:val="none"/>
        </w:rPr>
      </w:pPr>
    </w:p>
    <w:p w14:paraId="4B60404D">
      <w:pPr>
        <w:spacing w:line="360" w:lineRule="auto"/>
        <w:rPr>
          <w:rFonts w:ascii="宋体"/>
          <w:color w:val="auto"/>
          <w:sz w:val="24"/>
          <w:highlight w:val="none"/>
        </w:rPr>
      </w:pPr>
      <w:r>
        <w:rPr>
          <w:rFonts w:hint="eastAsia" w:ascii="宋体"/>
          <w:color w:val="auto"/>
          <w:sz w:val="24"/>
          <w:highlight w:val="none"/>
        </w:rPr>
        <w:t>供应商代表签字：</w:t>
      </w:r>
      <w:r>
        <w:rPr>
          <w:rFonts w:hint="eastAsia" w:ascii="宋体"/>
          <w:color w:val="auto"/>
          <w:sz w:val="24"/>
          <w:highlight w:val="none"/>
          <w:u w:val="single"/>
        </w:rPr>
        <w:t xml:space="preserve">                            </w:t>
      </w:r>
    </w:p>
    <w:p w14:paraId="5F7F4D38">
      <w:pPr>
        <w:spacing w:line="360" w:lineRule="auto"/>
        <w:rPr>
          <w:rFonts w:ascii="宋体"/>
          <w:color w:val="auto"/>
          <w:sz w:val="24"/>
          <w:highlight w:val="none"/>
        </w:rPr>
      </w:pPr>
      <w:r>
        <w:rPr>
          <w:rFonts w:hint="eastAsia" w:ascii="宋体"/>
          <w:color w:val="auto"/>
          <w:sz w:val="24"/>
          <w:highlight w:val="none"/>
        </w:rPr>
        <w:t>供应商名称：</w:t>
      </w:r>
      <w:r>
        <w:rPr>
          <w:rFonts w:hint="eastAsia" w:ascii="宋体"/>
          <w:color w:val="auto"/>
          <w:sz w:val="24"/>
          <w:highlight w:val="none"/>
          <w:u w:val="single"/>
        </w:rPr>
        <w:t xml:space="preserve">             （盖章）            </w:t>
      </w:r>
    </w:p>
    <w:p w14:paraId="50DFCC30">
      <w:pPr>
        <w:spacing w:line="360" w:lineRule="auto"/>
        <w:rPr>
          <w:rFonts w:hint="eastAsia" w:ascii="宋体"/>
          <w:color w:val="auto"/>
          <w:sz w:val="24"/>
          <w:highlight w:val="none"/>
          <w:u w:val="single"/>
        </w:rPr>
      </w:pPr>
      <w:r>
        <w:rPr>
          <w:rFonts w:hint="eastAsia" w:ascii="宋体"/>
          <w:color w:val="auto"/>
          <w:sz w:val="24"/>
          <w:highlight w:val="none"/>
        </w:rPr>
        <w:t>日      期：</w:t>
      </w:r>
      <w:r>
        <w:rPr>
          <w:rFonts w:hint="eastAsia" w:ascii="宋体"/>
          <w:color w:val="auto"/>
          <w:sz w:val="24"/>
          <w:highlight w:val="none"/>
          <w:u w:val="single"/>
        </w:rPr>
        <w:t xml:space="preserve">    年  月  日</w:t>
      </w:r>
      <w:bookmarkEnd w:id="614"/>
      <w:bookmarkEnd w:id="615"/>
      <w:bookmarkEnd w:id="616"/>
      <w:bookmarkEnd w:id="617"/>
      <w:bookmarkEnd w:id="618"/>
      <w:bookmarkEnd w:id="619"/>
      <w:bookmarkEnd w:id="620"/>
      <w:bookmarkEnd w:id="621"/>
      <w:bookmarkEnd w:id="622"/>
      <w:bookmarkEnd w:id="623"/>
      <w:r>
        <w:rPr>
          <w:rFonts w:hint="eastAsia" w:ascii="宋体"/>
          <w:color w:val="auto"/>
          <w:sz w:val="24"/>
          <w:highlight w:val="none"/>
          <w:u w:val="single"/>
        </w:rPr>
        <w:t xml:space="preserve">       </w:t>
      </w:r>
    </w:p>
    <w:p w14:paraId="0BD05841">
      <w:pPr>
        <w:pStyle w:val="30"/>
        <w:rPr>
          <w:rFonts w:hint="eastAsia" w:ascii="宋体"/>
          <w:color w:val="auto"/>
          <w:sz w:val="24"/>
          <w:highlight w:val="none"/>
          <w:u w:val="single"/>
        </w:rPr>
      </w:pPr>
    </w:p>
    <w:p w14:paraId="2C0200B0">
      <w:pPr>
        <w:pStyle w:val="30"/>
        <w:rPr>
          <w:rFonts w:hint="eastAsia" w:ascii="宋体"/>
          <w:color w:val="auto"/>
          <w:sz w:val="24"/>
          <w:highlight w:val="none"/>
          <w:u w:val="single"/>
        </w:rPr>
      </w:pPr>
    </w:p>
    <w:p w14:paraId="36962385">
      <w:pPr>
        <w:pStyle w:val="30"/>
        <w:rPr>
          <w:rFonts w:hint="eastAsia" w:ascii="宋体"/>
          <w:color w:val="auto"/>
          <w:sz w:val="24"/>
          <w:highlight w:val="none"/>
          <w:u w:val="single"/>
        </w:rPr>
      </w:pPr>
    </w:p>
    <w:p w14:paraId="438BE07E">
      <w:pPr>
        <w:pStyle w:val="30"/>
        <w:rPr>
          <w:rFonts w:hint="eastAsia" w:ascii="宋体"/>
          <w:color w:val="auto"/>
          <w:sz w:val="24"/>
          <w:highlight w:val="none"/>
          <w:u w:val="single"/>
        </w:rPr>
      </w:pPr>
    </w:p>
    <w:p w14:paraId="3E572312">
      <w:pPr>
        <w:pStyle w:val="30"/>
        <w:rPr>
          <w:rFonts w:hint="eastAsia" w:ascii="宋体"/>
          <w:color w:val="auto"/>
          <w:sz w:val="24"/>
          <w:highlight w:val="none"/>
          <w:u w:val="single"/>
        </w:rPr>
      </w:pPr>
    </w:p>
    <w:p w14:paraId="607A2A80">
      <w:pPr>
        <w:pStyle w:val="30"/>
        <w:rPr>
          <w:rFonts w:hint="eastAsia" w:ascii="宋体"/>
          <w:color w:val="auto"/>
          <w:sz w:val="24"/>
          <w:highlight w:val="none"/>
          <w:u w:val="single"/>
        </w:rPr>
      </w:pPr>
    </w:p>
    <w:p w14:paraId="1437C820">
      <w:pPr>
        <w:pStyle w:val="30"/>
        <w:rPr>
          <w:rFonts w:hint="eastAsia" w:ascii="宋体"/>
          <w:color w:val="auto"/>
          <w:sz w:val="24"/>
          <w:highlight w:val="none"/>
          <w:u w:val="single"/>
        </w:rPr>
      </w:pPr>
    </w:p>
    <w:p w14:paraId="2ECBF1C1">
      <w:pPr>
        <w:pStyle w:val="30"/>
        <w:rPr>
          <w:rFonts w:hint="eastAsia" w:ascii="宋体"/>
          <w:color w:val="auto"/>
          <w:sz w:val="24"/>
          <w:highlight w:val="none"/>
          <w:u w:val="single"/>
        </w:rPr>
      </w:pPr>
    </w:p>
    <w:p w14:paraId="7A67368A">
      <w:pPr>
        <w:pStyle w:val="30"/>
        <w:rPr>
          <w:rFonts w:hint="eastAsia" w:ascii="宋体"/>
          <w:color w:val="auto"/>
          <w:sz w:val="24"/>
          <w:highlight w:val="none"/>
          <w:u w:val="single"/>
        </w:rPr>
      </w:pPr>
    </w:p>
    <w:p w14:paraId="3CE25F3C">
      <w:pPr>
        <w:pStyle w:val="30"/>
        <w:rPr>
          <w:rFonts w:hint="eastAsia" w:ascii="宋体"/>
          <w:color w:val="auto"/>
          <w:sz w:val="24"/>
          <w:highlight w:val="none"/>
          <w:u w:val="single"/>
        </w:rPr>
      </w:pPr>
    </w:p>
    <w:p w14:paraId="51EFD47F">
      <w:pPr>
        <w:pStyle w:val="30"/>
        <w:rPr>
          <w:rFonts w:hint="eastAsia" w:ascii="宋体"/>
          <w:color w:val="auto"/>
          <w:sz w:val="24"/>
          <w:highlight w:val="none"/>
          <w:u w:val="single"/>
        </w:rPr>
      </w:pPr>
    </w:p>
    <w:p w14:paraId="6FAE7652">
      <w:pPr>
        <w:pStyle w:val="30"/>
        <w:rPr>
          <w:rFonts w:hint="eastAsia" w:ascii="宋体"/>
          <w:color w:val="auto"/>
          <w:sz w:val="24"/>
          <w:highlight w:val="none"/>
          <w:u w:val="single"/>
        </w:rPr>
      </w:pPr>
    </w:p>
    <w:p w14:paraId="3DEE8636">
      <w:pPr>
        <w:pStyle w:val="30"/>
        <w:rPr>
          <w:rFonts w:hint="eastAsia" w:ascii="宋体"/>
          <w:color w:val="auto"/>
          <w:kern w:val="0"/>
          <w:sz w:val="24"/>
          <w:highlight w:val="none"/>
        </w:rPr>
      </w:pPr>
    </w:p>
    <w:p w14:paraId="5FEB2A0C">
      <w:pPr>
        <w:pStyle w:val="30"/>
        <w:rPr>
          <w:rFonts w:hint="eastAsia" w:ascii="宋体"/>
          <w:color w:val="auto"/>
          <w:kern w:val="0"/>
          <w:sz w:val="24"/>
          <w:highlight w:val="none"/>
        </w:rPr>
      </w:pPr>
    </w:p>
    <w:p w14:paraId="6751AB1F">
      <w:pPr>
        <w:pStyle w:val="30"/>
        <w:rPr>
          <w:rFonts w:hint="eastAsia" w:ascii="宋体"/>
          <w:color w:val="auto"/>
          <w:kern w:val="0"/>
          <w:sz w:val="24"/>
          <w:highlight w:val="none"/>
        </w:rPr>
      </w:pPr>
    </w:p>
    <w:p w14:paraId="24C13E3E">
      <w:pPr>
        <w:pStyle w:val="30"/>
        <w:rPr>
          <w:rFonts w:hint="eastAsia" w:ascii="宋体"/>
          <w:color w:val="auto"/>
          <w:kern w:val="0"/>
          <w:sz w:val="24"/>
          <w:highlight w:val="none"/>
        </w:rPr>
      </w:pPr>
    </w:p>
    <w:p w14:paraId="697213EE">
      <w:pPr>
        <w:pStyle w:val="30"/>
        <w:rPr>
          <w:rFonts w:hint="eastAsia" w:ascii="宋体"/>
          <w:color w:val="auto"/>
          <w:kern w:val="0"/>
          <w:sz w:val="24"/>
          <w:highlight w:val="none"/>
        </w:rPr>
      </w:pPr>
    </w:p>
    <w:p w14:paraId="4195C861">
      <w:pPr>
        <w:pStyle w:val="30"/>
        <w:rPr>
          <w:rFonts w:hint="eastAsia" w:ascii="宋体"/>
          <w:color w:val="auto"/>
          <w:kern w:val="0"/>
          <w:sz w:val="24"/>
          <w:highlight w:val="none"/>
          <w:lang w:val="en-US" w:eastAsia="zh-CN"/>
        </w:rPr>
      </w:pPr>
      <w:r>
        <w:rPr>
          <w:rFonts w:hint="eastAsia" w:ascii="宋体"/>
          <w:color w:val="auto"/>
          <w:kern w:val="0"/>
          <w:sz w:val="24"/>
          <w:highlight w:val="none"/>
        </w:rPr>
        <w:t>附件</w:t>
      </w:r>
      <w:r>
        <w:rPr>
          <w:rFonts w:hint="eastAsia" w:ascii="宋体"/>
          <w:color w:val="auto"/>
          <w:kern w:val="0"/>
          <w:sz w:val="24"/>
          <w:highlight w:val="none"/>
          <w:lang w:val="en-US" w:eastAsia="zh-CN"/>
        </w:rPr>
        <w:t>20</w:t>
      </w:r>
    </w:p>
    <w:p w14:paraId="1793DBFB">
      <w:pPr>
        <w:pStyle w:val="30"/>
        <w:rPr>
          <w:rFonts w:hint="eastAsia" w:ascii="宋体"/>
          <w:color w:val="auto"/>
          <w:kern w:val="0"/>
          <w:sz w:val="24"/>
          <w:highlight w:val="none"/>
          <w:lang w:val="en-US" w:eastAsia="zh-CN"/>
        </w:rPr>
      </w:pPr>
    </w:p>
    <w:p w14:paraId="60919AEC">
      <w:pPr>
        <w:jc w:val="center"/>
        <w:rPr>
          <w:rFonts w:hint="eastAsia" w:ascii="宋体" w:eastAsia="宋体"/>
          <w:b/>
          <w:bCs/>
          <w:color w:val="auto"/>
          <w:kern w:val="0"/>
          <w:sz w:val="32"/>
          <w:szCs w:val="32"/>
          <w:highlight w:val="none"/>
        </w:rPr>
      </w:pPr>
      <w:r>
        <w:rPr>
          <w:rFonts w:hint="eastAsia" w:ascii="宋体"/>
          <w:color w:val="auto"/>
          <w:kern w:val="0"/>
          <w:sz w:val="24"/>
          <w:highlight w:val="none"/>
        </w:rPr>
        <w:t xml:space="preserve"> </w:t>
      </w:r>
      <w:r>
        <w:rPr>
          <w:rFonts w:hint="eastAsia" w:ascii="宋体" w:eastAsia="宋体"/>
          <w:b/>
          <w:bCs/>
          <w:color w:val="auto"/>
          <w:kern w:val="0"/>
          <w:sz w:val="32"/>
          <w:szCs w:val="32"/>
          <w:highlight w:val="none"/>
        </w:rPr>
        <w:t>阳江市政府采购供应商资格信用承诺函</w:t>
      </w:r>
    </w:p>
    <w:p w14:paraId="473CED1B">
      <w:pPr>
        <w:jc w:val="center"/>
        <w:rPr>
          <w:rFonts w:hint="eastAsia" w:ascii="仿宋" w:hAnsi="仿宋" w:eastAsia="仿宋" w:cs="仿宋"/>
          <w:color w:val="auto"/>
          <w:kern w:val="0"/>
          <w:sz w:val="32"/>
          <w:szCs w:val="32"/>
          <w:highlight w:val="none"/>
        </w:rPr>
      </w:pPr>
    </w:p>
    <w:p w14:paraId="4CF14991">
      <w:pPr>
        <w:jc w:val="center"/>
        <w:rPr>
          <w:rFonts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(样本)</w:t>
      </w:r>
    </w:p>
    <w:p w14:paraId="5FA026DA">
      <w:pPr>
        <w:rPr>
          <w:color w:val="auto"/>
          <w:highlight w:val="none"/>
        </w:rPr>
      </w:pPr>
    </w:p>
    <w:p w14:paraId="1DFF579B">
      <w:pPr>
        <w:spacing w:line="56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我 方 自 愿 参 加    ( 项 目 名 称 )    项 目 ( 项 目 编 号：        )的政府采购活动，并郑重承诺符合《中华人民共和国政府采购法》第二十二条第一款第(二)项、第(三)项、第(四)项、第(五)项规定条件，具体包括:</w:t>
      </w:r>
    </w:p>
    <w:p w14:paraId="67D0AA0D">
      <w:pPr>
        <w:spacing w:line="56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1.具有良好的商业信誉和健全的财务会计制度;</w:t>
      </w:r>
    </w:p>
    <w:p w14:paraId="4B189F45">
      <w:pPr>
        <w:spacing w:line="56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2.具有履行合同所必需的设备和专业技术能力;</w:t>
      </w:r>
    </w:p>
    <w:p w14:paraId="0AA2FF26">
      <w:pPr>
        <w:spacing w:line="56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3.具有依法缴纳税收和社会保障资金的良好记录;</w:t>
      </w:r>
    </w:p>
    <w:p w14:paraId="2A23098E">
      <w:pPr>
        <w:spacing w:line="56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4.参加政府采购活动前三年内，在经营活动中没有重大违法记录。</w:t>
      </w:r>
    </w:p>
    <w:p w14:paraId="1D3261A2">
      <w:pPr>
        <w:spacing w:line="56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30D83D8C">
      <w:pPr>
        <w:spacing w:line="560" w:lineRule="exact"/>
        <w:ind w:firstLine="560" w:firstLineChars="200"/>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特此承诺。</w:t>
      </w:r>
    </w:p>
    <w:p w14:paraId="72BDF873">
      <w:pPr>
        <w:spacing w:line="56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供应商名称(公章):</w:t>
      </w:r>
    </w:p>
    <w:p w14:paraId="7CF156C0">
      <w:pPr>
        <w:spacing w:line="56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统一社会信用代码:</w:t>
      </w:r>
    </w:p>
    <w:p w14:paraId="5199F112">
      <w:pPr>
        <w:spacing w:line="56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法定代表人或授权代表(签名):</w:t>
      </w:r>
    </w:p>
    <w:p w14:paraId="19C219FB">
      <w:pPr>
        <w:spacing w:line="56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   年  月  日</w:t>
      </w:r>
    </w:p>
    <w:p w14:paraId="466B6EE0">
      <w:pPr>
        <w:spacing w:line="560" w:lineRule="exact"/>
        <w:jc w:val="lef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注:供应商的法定代表人(其他组织的为负责人)或者授权代表的签名或盖章应真实、有效，如由授权代表签名或盖章的，应提供“法定代表人授权书”</w:t>
      </w:r>
    </w:p>
    <w:p w14:paraId="4C2F68B4">
      <w:pPr>
        <w:pStyle w:val="30"/>
        <w:rPr>
          <w:rFonts w:hint="eastAsia" w:ascii="宋体"/>
          <w:color w:val="auto"/>
          <w:sz w:val="24"/>
          <w:highlight w:val="none"/>
          <w:u w:val="single"/>
        </w:rPr>
      </w:pPr>
    </w:p>
    <w:p w14:paraId="3CA460C1">
      <w:pPr>
        <w:pStyle w:val="30"/>
        <w:rPr>
          <w:rFonts w:hint="eastAsia" w:ascii="宋体"/>
          <w:color w:val="auto"/>
          <w:sz w:val="24"/>
          <w:highlight w:val="none"/>
          <w:u w:val="single"/>
        </w:rPr>
      </w:pPr>
    </w:p>
    <w:p w14:paraId="3BE15487">
      <w:pPr>
        <w:pStyle w:val="30"/>
        <w:rPr>
          <w:rFonts w:hint="eastAsia" w:ascii="宋体"/>
          <w:color w:val="auto"/>
          <w:sz w:val="24"/>
          <w:highlight w:val="none"/>
          <w:u w:val="single"/>
        </w:rPr>
      </w:pPr>
    </w:p>
    <w:p w14:paraId="755526A5">
      <w:pPr>
        <w:pStyle w:val="30"/>
        <w:rPr>
          <w:rFonts w:hint="eastAsia" w:ascii="宋体"/>
          <w:color w:val="auto"/>
          <w:sz w:val="24"/>
          <w:highlight w:val="none"/>
          <w:u w:val="single"/>
        </w:rPr>
      </w:pPr>
    </w:p>
    <w:p w14:paraId="1785E7BD">
      <w:pPr>
        <w:pStyle w:val="30"/>
        <w:rPr>
          <w:rFonts w:hint="eastAsia" w:ascii="宋体"/>
          <w:color w:val="auto"/>
          <w:sz w:val="24"/>
          <w:highlight w:val="none"/>
          <w:u w:val="single"/>
        </w:rPr>
      </w:pPr>
    </w:p>
    <w:p w14:paraId="0C21041F">
      <w:pPr>
        <w:pStyle w:val="21"/>
        <w:ind w:firstLine="0"/>
        <w:rPr>
          <w:rFonts w:hAnsi="宋体"/>
          <w:color w:val="auto"/>
          <w:highlight w:val="none"/>
        </w:rPr>
      </w:pPr>
    </w:p>
    <w:p w14:paraId="69A7C8D7">
      <w:pPr>
        <w:pStyle w:val="21"/>
        <w:ind w:firstLine="0"/>
        <w:rPr>
          <w:rFonts w:hAnsi="宋体"/>
          <w:color w:val="auto"/>
          <w:highlight w:val="none"/>
        </w:rPr>
      </w:pPr>
    </w:p>
    <w:p w14:paraId="64D0C70E">
      <w:pPr>
        <w:pStyle w:val="21"/>
        <w:ind w:firstLine="0"/>
        <w:rPr>
          <w:rFonts w:hAnsi="宋体"/>
          <w:color w:val="auto"/>
          <w:highlight w:val="none"/>
        </w:rPr>
      </w:pPr>
    </w:p>
    <w:p w14:paraId="387153F4">
      <w:pPr>
        <w:pStyle w:val="21"/>
        <w:ind w:firstLine="0"/>
        <w:rPr>
          <w:rFonts w:hAnsi="宋体"/>
          <w:color w:val="auto"/>
          <w:highlight w:val="none"/>
        </w:rPr>
      </w:pPr>
    </w:p>
    <w:p w14:paraId="1566AF22">
      <w:pPr>
        <w:pStyle w:val="21"/>
        <w:ind w:firstLine="0"/>
        <w:rPr>
          <w:rFonts w:hAnsi="宋体"/>
          <w:color w:val="auto"/>
          <w:highlight w:val="none"/>
        </w:rPr>
      </w:pPr>
    </w:p>
    <w:p w14:paraId="0BE220E0">
      <w:pPr>
        <w:pStyle w:val="21"/>
        <w:ind w:firstLine="0"/>
        <w:rPr>
          <w:rFonts w:hAnsi="宋体"/>
          <w:color w:val="auto"/>
          <w:highlight w:val="none"/>
        </w:rPr>
      </w:pPr>
    </w:p>
    <w:p w14:paraId="1D8FD3BC">
      <w:pPr>
        <w:pStyle w:val="21"/>
        <w:ind w:firstLine="0"/>
        <w:rPr>
          <w:rFonts w:hAnsi="宋体"/>
          <w:color w:val="auto"/>
          <w:highlight w:val="none"/>
        </w:rPr>
      </w:pPr>
    </w:p>
    <w:p w14:paraId="7B146E27">
      <w:pPr>
        <w:pStyle w:val="21"/>
        <w:ind w:left="0" w:leftChars="0" w:firstLine="0" w:firstLineChars="0"/>
        <w:rPr>
          <w:rFonts w:hAnsi="宋体"/>
          <w:color w:val="auto"/>
          <w:highlight w:val="none"/>
        </w:rPr>
      </w:pPr>
    </w:p>
    <w:p w14:paraId="6EAE98BF">
      <w:pPr>
        <w:pStyle w:val="21"/>
        <w:ind w:firstLine="0"/>
        <w:rPr>
          <w:rFonts w:hAnsi="宋体"/>
          <w:color w:val="auto"/>
          <w:highlight w:val="none"/>
        </w:rPr>
      </w:pPr>
    </w:p>
    <w:p w14:paraId="3B26C0D0">
      <w:pPr>
        <w:pStyle w:val="21"/>
        <w:ind w:firstLine="0"/>
        <w:rPr>
          <w:rFonts w:hAnsi="宋体"/>
          <w:color w:val="auto"/>
          <w:highlight w:val="none"/>
        </w:rPr>
      </w:pPr>
    </w:p>
    <w:p w14:paraId="58BFB4EB">
      <w:pPr>
        <w:pStyle w:val="21"/>
        <w:ind w:firstLine="0"/>
        <w:rPr>
          <w:rFonts w:hAnsi="宋体"/>
          <w:color w:val="auto"/>
          <w:highlight w:val="none"/>
        </w:rPr>
      </w:pPr>
    </w:p>
    <w:p w14:paraId="4D8C6E8A">
      <w:pPr>
        <w:pStyle w:val="21"/>
        <w:ind w:firstLine="0"/>
        <w:rPr>
          <w:rFonts w:hAnsi="宋体"/>
          <w:color w:val="auto"/>
          <w:highlight w:val="none"/>
        </w:rPr>
      </w:pPr>
    </w:p>
    <w:p w14:paraId="1F7995CD">
      <w:pPr>
        <w:pStyle w:val="3"/>
        <w:numPr>
          <w:ilvl w:val="1"/>
          <w:numId w:val="0"/>
        </w:numPr>
        <w:spacing w:line="360" w:lineRule="auto"/>
        <w:jc w:val="center"/>
        <w:rPr>
          <w:rFonts w:ascii="宋体" w:hAnsi="宋体"/>
          <w:color w:val="auto"/>
          <w:sz w:val="52"/>
          <w:highlight w:val="none"/>
        </w:rPr>
      </w:pPr>
      <w:bookmarkStart w:id="652" w:name="_Toc4910"/>
      <w:bookmarkStart w:id="653" w:name="_Toc469160806"/>
      <w:bookmarkStart w:id="654" w:name="_Toc19997"/>
      <w:r>
        <w:rPr>
          <w:rFonts w:hint="eastAsia" w:ascii="宋体" w:hAnsi="宋体"/>
          <w:color w:val="auto"/>
          <w:sz w:val="52"/>
          <w:highlight w:val="none"/>
        </w:rPr>
        <w:t>其 他 格 式</w:t>
      </w:r>
      <w:bookmarkEnd w:id="652"/>
      <w:bookmarkEnd w:id="653"/>
      <w:bookmarkEnd w:id="654"/>
    </w:p>
    <w:p w14:paraId="1674A202">
      <w:pPr>
        <w:spacing w:line="360" w:lineRule="auto"/>
        <w:jc w:val="center"/>
        <w:rPr>
          <w:rFonts w:ascii="宋体" w:hAnsi="宋体"/>
          <w:b/>
          <w:color w:val="auto"/>
          <w:sz w:val="28"/>
          <w:highlight w:val="none"/>
        </w:rPr>
      </w:pPr>
      <w:r>
        <w:rPr>
          <w:rFonts w:hint="eastAsia" w:ascii="宋体" w:hAnsi="宋体"/>
          <w:b/>
          <w:color w:val="auto"/>
          <w:sz w:val="36"/>
          <w:highlight w:val="none"/>
        </w:rPr>
        <w:t>（以下文件勿装订在响应文件内</w:t>
      </w:r>
      <w:r>
        <w:rPr>
          <w:rFonts w:ascii="宋体" w:hAnsi="宋体"/>
          <w:b/>
          <w:color w:val="auto"/>
          <w:sz w:val="36"/>
          <w:highlight w:val="none"/>
        </w:rPr>
        <w:t>）</w:t>
      </w:r>
    </w:p>
    <w:p w14:paraId="1377D39D">
      <w:pPr>
        <w:spacing w:line="360" w:lineRule="auto"/>
        <w:rPr>
          <w:rFonts w:ascii="宋体" w:hAnsi="宋体"/>
          <w:color w:val="auto"/>
          <w:highlight w:val="none"/>
        </w:rPr>
      </w:pPr>
    </w:p>
    <w:p w14:paraId="76FDD9F1">
      <w:pPr>
        <w:spacing w:line="360" w:lineRule="auto"/>
        <w:rPr>
          <w:rFonts w:ascii="宋体" w:hAnsi="宋体"/>
          <w:color w:val="auto"/>
          <w:highlight w:val="none"/>
        </w:rPr>
      </w:pPr>
    </w:p>
    <w:p w14:paraId="039EDD54">
      <w:pPr>
        <w:spacing w:line="360" w:lineRule="auto"/>
        <w:rPr>
          <w:rFonts w:ascii="宋体" w:hAnsi="宋体"/>
          <w:color w:val="auto"/>
          <w:highlight w:val="none"/>
        </w:rPr>
      </w:pPr>
    </w:p>
    <w:p w14:paraId="009D8CDA">
      <w:pPr>
        <w:spacing w:line="360" w:lineRule="auto"/>
        <w:rPr>
          <w:rFonts w:ascii="宋体" w:hAnsi="宋体"/>
          <w:color w:val="auto"/>
          <w:highlight w:val="none"/>
        </w:rPr>
      </w:pPr>
    </w:p>
    <w:p w14:paraId="3731368D">
      <w:pPr>
        <w:spacing w:line="360" w:lineRule="auto"/>
        <w:rPr>
          <w:rFonts w:ascii="宋体" w:hAnsi="宋体"/>
          <w:color w:val="auto"/>
          <w:highlight w:val="none"/>
        </w:rPr>
      </w:pPr>
    </w:p>
    <w:p w14:paraId="76069144">
      <w:pPr>
        <w:spacing w:line="360" w:lineRule="auto"/>
        <w:rPr>
          <w:rFonts w:ascii="宋体" w:hAnsi="宋体"/>
          <w:color w:val="auto"/>
          <w:highlight w:val="none"/>
        </w:rPr>
      </w:pPr>
    </w:p>
    <w:p w14:paraId="74FFE565">
      <w:pPr>
        <w:spacing w:line="360" w:lineRule="auto"/>
        <w:rPr>
          <w:rFonts w:ascii="宋体" w:hAnsi="宋体"/>
          <w:color w:val="auto"/>
          <w:highlight w:val="none"/>
        </w:rPr>
      </w:pPr>
    </w:p>
    <w:p w14:paraId="18105219">
      <w:pPr>
        <w:spacing w:line="360" w:lineRule="auto"/>
        <w:rPr>
          <w:rFonts w:ascii="宋体" w:hAnsi="宋体"/>
          <w:color w:val="auto"/>
          <w:highlight w:val="none"/>
        </w:rPr>
      </w:pPr>
    </w:p>
    <w:p w14:paraId="452A4D0B">
      <w:pPr>
        <w:spacing w:line="360" w:lineRule="auto"/>
        <w:rPr>
          <w:rFonts w:ascii="宋体" w:hAnsi="宋体"/>
          <w:color w:val="auto"/>
          <w:highlight w:val="none"/>
        </w:rPr>
      </w:pPr>
    </w:p>
    <w:p w14:paraId="02DA6F2C">
      <w:pPr>
        <w:spacing w:line="360" w:lineRule="auto"/>
        <w:rPr>
          <w:rFonts w:ascii="宋体" w:hAnsi="宋体"/>
          <w:color w:val="auto"/>
          <w:highlight w:val="none"/>
        </w:rPr>
      </w:pPr>
    </w:p>
    <w:p w14:paraId="10E7AC1A">
      <w:pPr>
        <w:spacing w:line="360" w:lineRule="auto"/>
        <w:rPr>
          <w:rFonts w:ascii="宋体" w:hAnsi="宋体"/>
          <w:color w:val="auto"/>
          <w:highlight w:val="none"/>
        </w:rPr>
      </w:pPr>
    </w:p>
    <w:p w14:paraId="22C20F02">
      <w:pPr>
        <w:spacing w:line="360" w:lineRule="auto"/>
        <w:rPr>
          <w:rFonts w:ascii="宋体" w:hAnsi="宋体"/>
          <w:color w:val="auto"/>
          <w:highlight w:val="none"/>
        </w:rPr>
      </w:pPr>
    </w:p>
    <w:p w14:paraId="09C674A1">
      <w:pPr>
        <w:spacing w:line="360" w:lineRule="auto"/>
        <w:rPr>
          <w:rFonts w:ascii="宋体" w:hAnsi="宋体"/>
          <w:b/>
          <w:color w:val="auto"/>
          <w:highlight w:val="none"/>
        </w:rPr>
      </w:pPr>
    </w:p>
    <w:p w14:paraId="1D75011C">
      <w:pPr>
        <w:rPr>
          <w:b/>
          <w:bCs/>
          <w:color w:val="auto"/>
          <w:sz w:val="44"/>
          <w:szCs w:val="44"/>
          <w:highlight w:val="none"/>
        </w:rPr>
      </w:pPr>
    </w:p>
    <w:p w14:paraId="6F69D5F8">
      <w:pPr>
        <w:rPr>
          <w:b/>
          <w:bCs/>
          <w:color w:val="auto"/>
          <w:sz w:val="44"/>
          <w:szCs w:val="44"/>
          <w:highlight w:val="none"/>
        </w:rPr>
      </w:pPr>
    </w:p>
    <w:p w14:paraId="2CB840A0">
      <w:pPr>
        <w:jc w:val="center"/>
        <w:rPr>
          <w:b/>
          <w:bCs/>
          <w:color w:val="auto"/>
          <w:szCs w:val="21"/>
          <w:highlight w:val="none"/>
        </w:rPr>
      </w:pPr>
      <w:r>
        <w:rPr>
          <w:rFonts w:hint="eastAsia"/>
          <w:b/>
          <w:bCs/>
          <w:color w:val="auto"/>
          <w:sz w:val="44"/>
          <w:szCs w:val="44"/>
          <w:highlight w:val="none"/>
        </w:rPr>
        <w:t>购买标书登记表</w:t>
      </w:r>
    </w:p>
    <w:p w14:paraId="33940F78">
      <w:pPr>
        <w:jc w:val="center"/>
        <w:rPr>
          <w:color w:val="auto"/>
          <w:szCs w:val="21"/>
          <w:highlight w:val="none"/>
        </w:rPr>
      </w:pPr>
    </w:p>
    <w:tbl>
      <w:tblPr>
        <w:tblStyle w:val="62"/>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4A5C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52224429">
            <w:pPr>
              <w:jc w:val="center"/>
              <w:rPr>
                <w:color w:val="auto"/>
                <w:sz w:val="28"/>
                <w:szCs w:val="28"/>
                <w:highlight w:val="none"/>
              </w:rPr>
            </w:pPr>
            <w:r>
              <w:rPr>
                <w:rFonts w:hint="eastAsia"/>
                <w:color w:val="auto"/>
                <w:sz w:val="28"/>
                <w:szCs w:val="28"/>
                <w:highlight w:val="none"/>
              </w:rPr>
              <w:t>项目名称</w:t>
            </w:r>
          </w:p>
        </w:tc>
        <w:tc>
          <w:tcPr>
            <w:tcW w:w="6775" w:type="dxa"/>
            <w:gridSpan w:val="3"/>
          </w:tcPr>
          <w:p w14:paraId="079DC35F">
            <w:pPr>
              <w:rPr>
                <w:color w:val="auto"/>
                <w:sz w:val="28"/>
                <w:szCs w:val="28"/>
                <w:highlight w:val="none"/>
              </w:rPr>
            </w:pPr>
          </w:p>
        </w:tc>
      </w:tr>
      <w:tr w14:paraId="731C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64EE8235">
            <w:pPr>
              <w:jc w:val="center"/>
              <w:rPr>
                <w:color w:val="auto"/>
                <w:sz w:val="28"/>
                <w:szCs w:val="28"/>
                <w:highlight w:val="none"/>
              </w:rPr>
            </w:pPr>
            <w:r>
              <w:rPr>
                <w:rFonts w:hint="eastAsia"/>
                <w:color w:val="auto"/>
                <w:sz w:val="28"/>
                <w:szCs w:val="28"/>
                <w:highlight w:val="none"/>
              </w:rPr>
              <w:t>项目编号</w:t>
            </w:r>
          </w:p>
        </w:tc>
        <w:tc>
          <w:tcPr>
            <w:tcW w:w="1940" w:type="dxa"/>
          </w:tcPr>
          <w:p w14:paraId="2D06264A">
            <w:pPr>
              <w:rPr>
                <w:color w:val="auto"/>
                <w:sz w:val="28"/>
                <w:szCs w:val="28"/>
                <w:highlight w:val="none"/>
              </w:rPr>
            </w:pPr>
          </w:p>
        </w:tc>
        <w:tc>
          <w:tcPr>
            <w:tcW w:w="1940" w:type="dxa"/>
            <w:vAlign w:val="center"/>
          </w:tcPr>
          <w:p w14:paraId="5FF7A219">
            <w:pPr>
              <w:jc w:val="center"/>
              <w:rPr>
                <w:color w:val="auto"/>
                <w:sz w:val="28"/>
                <w:szCs w:val="28"/>
                <w:highlight w:val="none"/>
              </w:rPr>
            </w:pPr>
            <w:r>
              <w:rPr>
                <w:rFonts w:hint="eastAsia"/>
                <w:color w:val="auto"/>
                <w:sz w:val="28"/>
                <w:szCs w:val="28"/>
                <w:highlight w:val="none"/>
              </w:rPr>
              <w:t>购买时间</w:t>
            </w:r>
          </w:p>
        </w:tc>
        <w:tc>
          <w:tcPr>
            <w:tcW w:w="2895" w:type="dxa"/>
          </w:tcPr>
          <w:p w14:paraId="3A128248">
            <w:pPr>
              <w:rPr>
                <w:color w:val="auto"/>
                <w:sz w:val="28"/>
                <w:szCs w:val="28"/>
                <w:highlight w:val="none"/>
              </w:rPr>
            </w:pPr>
          </w:p>
        </w:tc>
      </w:tr>
      <w:tr w14:paraId="37F3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359FCFC2">
            <w:pPr>
              <w:jc w:val="center"/>
              <w:rPr>
                <w:color w:val="auto"/>
                <w:sz w:val="28"/>
                <w:szCs w:val="28"/>
                <w:highlight w:val="none"/>
              </w:rPr>
            </w:pPr>
            <w:r>
              <w:rPr>
                <w:rFonts w:hint="eastAsia"/>
                <w:color w:val="auto"/>
                <w:sz w:val="28"/>
                <w:szCs w:val="28"/>
                <w:highlight w:val="none"/>
              </w:rPr>
              <w:t>供应商名称</w:t>
            </w:r>
          </w:p>
        </w:tc>
        <w:tc>
          <w:tcPr>
            <w:tcW w:w="6775" w:type="dxa"/>
            <w:gridSpan w:val="3"/>
          </w:tcPr>
          <w:p w14:paraId="4EF213ED">
            <w:pPr>
              <w:rPr>
                <w:color w:val="auto"/>
                <w:sz w:val="28"/>
                <w:szCs w:val="28"/>
                <w:highlight w:val="none"/>
              </w:rPr>
            </w:pPr>
          </w:p>
        </w:tc>
      </w:tr>
      <w:tr w14:paraId="39B9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0BAE1118">
            <w:pPr>
              <w:jc w:val="center"/>
              <w:rPr>
                <w:color w:val="auto"/>
                <w:sz w:val="28"/>
                <w:szCs w:val="28"/>
                <w:highlight w:val="none"/>
              </w:rPr>
            </w:pPr>
            <w:r>
              <w:rPr>
                <w:rFonts w:hint="eastAsia"/>
                <w:color w:val="auto"/>
                <w:sz w:val="28"/>
                <w:szCs w:val="28"/>
                <w:highlight w:val="none"/>
              </w:rPr>
              <w:t>地址</w:t>
            </w:r>
          </w:p>
        </w:tc>
        <w:tc>
          <w:tcPr>
            <w:tcW w:w="6775" w:type="dxa"/>
            <w:gridSpan w:val="3"/>
          </w:tcPr>
          <w:p w14:paraId="2FD2815D">
            <w:pPr>
              <w:rPr>
                <w:color w:val="auto"/>
                <w:sz w:val="28"/>
                <w:szCs w:val="28"/>
                <w:highlight w:val="none"/>
              </w:rPr>
            </w:pPr>
          </w:p>
        </w:tc>
      </w:tr>
      <w:tr w14:paraId="10A9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1FD8B537">
            <w:pPr>
              <w:jc w:val="center"/>
              <w:rPr>
                <w:color w:val="auto"/>
                <w:sz w:val="28"/>
                <w:szCs w:val="28"/>
                <w:highlight w:val="none"/>
              </w:rPr>
            </w:pPr>
            <w:r>
              <w:rPr>
                <w:rFonts w:hint="eastAsia"/>
                <w:color w:val="auto"/>
                <w:sz w:val="28"/>
                <w:szCs w:val="28"/>
                <w:highlight w:val="none"/>
              </w:rPr>
              <w:t>电话</w:t>
            </w:r>
          </w:p>
        </w:tc>
        <w:tc>
          <w:tcPr>
            <w:tcW w:w="1940" w:type="dxa"/>
          </w:tcPr>
          <w:p w14:paraId="57ACCFAD">
            <w:pPr>
              <w:rPr>
                <w:color w:val="auto"/>
                <w:sz w:val="28"/>
                <w:szCs w:val="28"/>
                <w:highlight w:val="none"/>
              </w:rPr>
            </w:pPr>
          </w:p>
        </w:tc>
        <w:tc>
          <w:tcPr>
            <w:tcW w:w="1940" w:type="dxa"/>
            <w:vAlign w:val="center"/>
          </w:tcPr>
          <w:p w14:paraId="1BA811BE">
            <w:pPr>
              <w:jc w:val="center"/>
              <w:rPr>
                <w:color w:val="auto"/>
                <w:sz w:val="28"/>
                <w:szCs w:val="28"/>
                <w:highlight w:val="none"/>
              </w:rPr>
            </w:pPr>
            <w:r>
              <w:rPr>
                <w:rFonts w:hint="eastAsia"/>
                <w:color w:val="auto"/>
                <w:sz w:val="28"/>
                <w:szCs w:val="28"/>
                <w:highlight w:val="none"/>
              </w:rPr>
              <w:t>传真</w:t>
            </w:r>
          </w:p>
        </w:tc>
        <w:tc>
          <w:tcPr>
            <w:tcW w:w="2895" w:type="dxa"/>
          </w:tcPr>
          <w:p w14:paraId="19BD5D19">
            <w:pPr>
              <w:rPr>
                <w:color w:val="auto"/>
                <w:sz w:val="28"/>
                <w:szCs w:val="28"/>
                <w:highlight w:val="none"/>
              </w:rPr>
            </w:pPr>
          </w:p>
        </w:tc>
      </w:tr>
      <w:tr w14:paraId="1B6C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4A472D20">
            <w:pPr>
              <w:jc w:val="center"/>
              <w:rPr>
                <w:color w:val="auto"/>
                <w:sz w:val="28"/>
                <w:szCs w:val="28"/>
                <w:highlight w:val="none"/>
              </w:rPr>
            </w:pPr>
            <w:r>
              <w:rPr>
                <w:rFonts w:hint="eastAsia"/>
                <w:color w:val="auto"/>
                <w:sz w:val="28"/>
                <w:szCs w:val="28"/>
                <w:highlight w:val="none"/>
              </w:rPr>
              <w:t>联系人</w:t>
            </w:r>
          </w:p>
        </w:tc>
        <w:tc>
          <w:tcPr>
            <w:tcW w:w="1940" w:type="dxa"/>
          </w:tcPr>
          <w:p w14:paraId="279B04D6">
            <w:pPr>
              <w:rPr>
                <w:color w:val="auto"/>
                <w:sz w:val="28"/>
                <w:szCs w:val="28"/>
                <w:highlight w:val="none"/>
              </w:rPr>
            </w:pPr>
          </w:p>
        </w:tc>
        <w:tc>
          <w:tcPr>
            <w:tcW w:w="1940" w:type="dxa"/>
            <w:vAlign w:val="center"/>
          </w:tcPr>
          <w:p w14:paraId="011541EA">
            <w:pPr>
              <w:jc w:val="center"/>
              <w:rPr>
                <w:color w:val="auto"/>
                <w:sz w:val="28"/>
                <w:szCs w:val="28"/>
                <w:highlight w:val="none"/>
              </w:rPr>
            </w:pPr>
            <w:r>
              <w:rPr>
                <w:rFonts w:hint="eastAsia"/>
                <w:color w:val="auto"/>
                <w:sz w:val="28"/>
                <w:szCs w:val="28"/>
                <w:highlight w:val="none"/>
              </w:rPr>
              <w:t>手机</w:t>
            </w:r>
          </w:p>
        </w:tc>
        <w:tc>
          <w:tcPr>
            <w:tcW w:w="2895" w:type="dxa"/>
          </w:tcPr>
          <w:p w14:paraId="278E5C04">
            <w:pPr>
              <w:rPr>
                <w:color w:val="auto"/>
                <w:sz w:val="28"/>
                <w:szCs w:val="28"/>
                <w:highlight w:val="none"/>
              </w:rPr>
            </w:pPr>
          </w:p>
        </w:tc>
      </w:tr>
      <w:tr w14:paraId="4504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38077CB8">
            <w:pPr>
              <w:jc w:val="center"/>
              <w:rPr>
                <w:color w:val="auto"/>
                <w:sz w:val="28"/>
                <w:szCs w:val="28"/>
                <w:highlight w:val="none"/>
              </w:rPr>
            </w:pPr>
            <w:r>
              <w:rPr>
                <w:rFonts w:hint="eastAsia"/>
                <w:color w:val="auto"/>
                <w:sz w:val="28"/>
                <w:szCs w:val="28"/>
                <w:highlight w:val="none"/>
              </w:rPr>
              <w:t>职务</w:t>
            </w:r>
          </w:p>
        </w:tc>
        <w:tc>
          <w:tcPr>
            <w:tcW w:w="1940" w:type="dxa"/>
          </w:tcPr>
          <w:p w14:paraId="1248605F">
            <w:pPr>
              <w:rPr>
                <w:color w:val="auto"/>
                <w:sz w:val="28"/>
                <w:szCs w:val="28"/>
                <w:highlight w:val="none"/>
              </w:rPr>
            </w:pPr>
          </w:p>
        </w:tc>
        <w:tc>
          <w:tcPr>
            <w:tcW w:w="1940" w:type="dxa"/>
            <w:vAlign w:val="center"/>
          </w:tcPr>
          <w:p w14:paraId="7DA5DD3F">
            <w:pPr>
              <w:jc w:val="center"/>
              <w:rPr>
                <w:color w:val="auto"/>
                <w:sz w:val="28"/>
                <w:szCs w:val="28"/>
                <w:highlight w:val="none"/>
              </w:rPr>
            </w:pPr>
            <w:r>
              <w:rPr>
                <w:rFonts w:hint="eastAsia"/>
                <w:color w:val="auto"/>
                <w:sz w:val="28"/>
                <w:szCs w:val="28"/>
                <w:highlight w:val="none"/>
              </w:rPr>
              <w:t>电子邮件</w:t>
            </w:r>
          </w:p>
        </w:tc>
        <w:tc>
          <w:tcPr>
            <w:tcW w:w="2895" w:type="dxa"/>
          </w:tcPr>
          <w:p w14:paraId="5F25B7B1">
            <w:pPr>
              <w:rPr>
                <w:color w:val="auto"/>
                <w:sz w:val="28"/>
                <w:szCs w:val="28"/>
                <w:highlight w:val="none"/>
              </w:rPr>
            </w:pPr>
          </w:p>
        </w:tc>
      </w:tr>
      <w:tr w14:paraId="2191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6635474D">
            <w:pPr>
              <w:jc w:val="center"/>
              <w:rPr>
                <w:color w:val="auto"/>
                <w:sz w:val="28"/>
                <w:szCs w:val="28"/>
                <w:highlight w:val="none"/>
              </w:rPr>
            </w:pPr>
            <w:r>
              <w:rPr>
                <w:rFonts w:hint="eastAsia"/>
                <w:color w:val="auto"/>
                <w:sz w:val="28"/>
                <w:szCs w:val="28"/>
                <w:highlight w:val="none"/>
              </w:rPr>
              <w:t>拟投设备</w:t>
            </w:r>
          </w:p>
        </w:tc>
        <w:tc>
          <w:tcPr>
            <w:tcW w:w="6775" w:type="dxa"/>
            <w:gridSpan w:val="3"/>
          </w:tcPr>
          <w:p w14:paraId="24FD3974">
            <w:pPr>
              <w:rPr>
                <w:color w:val="auto"/>
                <w:sz w:val="28"/>
                <w:szCs w:val="28"/>
                <w:highlight w:val="none"/>
              </w:rPr>
            </w:pPr>
          </w:p>
        </w:tc>
      </w:tr>
      <w:tr w14:paraId="2014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746C9AA8">
            <w:pPr>
              <w:jc w:val="center"/>
              <w:rPr>
                <w:color w:val="auto"/>
                <w:sz w:val="28"/>
                <w:szCs w:val="28"/>
                <w:highlight w:val="none"/>
              </w:rPr>
            </w:pPr>
            <w:r>
              <w:rPr>
                <w:rFonts w:hint="eastAsia"/>
                <w:color w:val="auto"/>
                <w:sz w:val="28"/>
                <w:szCs w:val="28"/>
                <w:highlight w:val="none"/>
              </w:rPr>
              <w:t>制造厂商</w:t>
            </w:r>
          </w:p>
        </w:tc>
        <w:tc>
          <w:tcPr>
            <w:tcW w:w="6775" w:type="dxa"/>
            <w:gridSpan w:val="3"/>
          </w:tcPr>
          <w:p w14:paraId="05762276">
            <w:pPr>
              <w:rPr>
                <w:color w:val="auto"/>
                <w:sz w:val="28"/>
                <w:szCs w:val="28"/>
                <w:highlight w:val="none"/>
              </w:rPr>
            </w:pPr>
          </w:p>
        </w:tc>
      </w:tr>
      <w:tr w14:paraId="6571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4" w:hRule="atLeast"/>
        </w:trPr>
        <w:tc>
          <w:tcPr>
            <w:tcW w:w="2585" w:type="dxa"/>
            <w:vAlign w:val="center"/>
          </w:tcPr>
          <w:p w14:paraId="543FE806">
            <w:pPr>
              <w:jc w:val="center"/>
              <w:rPr>
                <w:color w:val="auto"/>
                <w:sz w:val="28"/>
                <w:szCs w:val="28"/>
                <w:highlight w:val="none"/>
              </w:rPr>
            </w:pPr>
            <w:r>
              <w:rPr>
                <w:rFonts w:hint="eastAsia"/>
                <w:color w:val="auto"/>
                <w:sz w:val="28"/>
                <w:szCs w:val="28"/>
                <w:highlight w:val="none"/>
              </w:rPr>
              <w:t>经营范围</w:t>
            </w:r>
          </w:p>
        </w:tc>
        <w:tc>
          <w:tcPr>
            <w:tcW w:w="6775" w:type="dxa"/>
            <w:gridSpan w:val="3"/>
          </w:tcPr>
          <w:p w14:paraId="32B50446">
            <w:pPr>
              <w:rPr>
                <w:color w:val="auto"/>
                <w:sz w:val="28"/>
                <w:szCs w:val="28"/>
                <w:highlight w:val="none"/>
              </w:rPr>
            </w:pPr>
          </w:p>
        </w:tc>
      </w:tr>
    </w:tbl>
    <w:p w14:paraId="331EFEF1">
      <w:pPr>
        <w:pStyle w:val="30"/>
        <w:rPr>
          <w:rFonts w:hint="eastAsia" w:ascii="宋体"/>
          <w:color w:val="auto"/>
          <w:sz w:val="24"/>
          <w:highlight w:val="none"/>
          <w:u w:val="single"/>
        </w:rPr>
      </w:pPr>
    </w:p>
    <w:sectPr>
      <w:headerReference r:id="rId9" w:type="even"/>
      <w:pgSz w:w="11906" w:h="16838"/>
      <w:pgMar w:top="1418" w:right="113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Garamond">
    <w:panose1 w:val="02020502050306020203"/>
    <w:charset w:val="00"/>
    <w:family w:val="roman"/>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方正黑体_GBK">
    <w:panose1 w:val="02010600010101010101"/>
    <w:charset w:val="86"/>
    <w:family w:val="script"/>
    <w:pitch w:val="default"/>
    <w:sig w:usb0="00000001" w:usb1="080E0000" w:usb2="00000000" w:usb3="00000000" w:csb0="00040000"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42561">
    <w:pPr>
      <w:pStyle w:val="42"/>
      <w:ind w:right="360"/>
      <w:jc w:val="center"/>
    </w:pPr>
    <w:r>
      <w:rPr>
        <w:rStyle w:val="65"/>
      </w:rPr>
      <w:fldChar w:fldCharType="begin"/>
    </w:r>
    <w:r>
      <w:rPr>
        <w:rStyle w:val="65"/>
      </w:rPr>
      <w:instrText xml:space="preserve"> PAGE </w:instrText>
    </w:r>
    <w:r>
      <w:fldChar w:fldCharType="separate"/>
    </w:r>
    <w:r>
      <w:rPr>
        <w:rStyle w:val="65"/>
      </w:rPr>
      <w:t>24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1EA78">
    <w:pPr>
      <w:spacing w:before="1" w:line="179" w:lineRule="auto"/>
      <w:ind w:left="4807"/>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9780A3">
                          <w:pPr>
                            <w:pStyle w:val="42"/>
                            <w:rPr>
                              <w:rFonts w:hint="default"/>
                            </w:rPr>
                          </w:pPr>
                          <w:r>
                            <w:fldChar w:fldCharType="begin"/>
                          </w:r>
                          <w:r>
                            <w:instrText xml:space="preserve"> PAGE  \* MERGEFORMAT </w:instrText>
                          </w:r>
                          <w:r>
                            <w:fldChar w:fldCharType="separate"/>
                          </w:r>
                          <w:r>
                            <w:rPr>
                              <w:rFonts w:hint="default"/>
                            </w:rP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59780A3">
                    <w:pPr>
                      <w:pStyle w:val="42"/>
                      <w:rPr>
                        <w:rFonts w:hint="default"/>
                      </w:rPr>
                    </w:pPr>
                    <w:r>
                      <w:fldChar w:fldCharType="begin"/>
                    </w:r>
                    <w:r>
                      <w:instrText xml:space="preserve"> PAGE  \* MERGEFORMAT </w:instrText>
                    </w:r>
                    <w:r>
                      <w:fldChar w:fldCharType="separate"/>
                    </w:r>
                    <w:r>
                      <w:rPr>
                        <w:rFonts w:hint="default"/>
                      </w:rPr>
                      <w:t>25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7059B">
    <w:pPr>
      <w:widowControl w:val="0"/>
      <w:jc w:val="both"/>
      <w:rPr>
        <w:rFonts w:hint="eastAsia" w:asciiTheme="minorAscii" w:hAnsiTheme="minorAscii" w:eastAsiaTheme="minorEastAsia" w:cstheme="minorBidi"/>
        <w:kern w:val="2"/>
        <w:sz w:val="18"/>
        <w:szCs w:val="24"/>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40689">
                          <w:pPr>
                            <w:pStyle w:val="4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8240689">
                    <w:pPr>
                      <w:pStyle w:val="4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80E0B">
    <w:pPr>
      <w:pStyle w:val="42"/>
      <w:ind w:right="360"/>
      <w:jc w:val="center"/>
    </w:pPr>
    <w:r>
      <w:rPr>
        <w:rStyle w:val="1370"/>
      </w:rPr>
      <w:fldChar w:fldCharType="begin"/>
    </w:r>
    <w:r>
      <w:rPr>
        <w:rStyle w:val="1370"/>
      </w:rPr>
      <w:instrText xml:space="preserve"> PAGE </w:instrText>
    </w:r>
    <w:r>
      <w:fldChar w:fldCharType="separate"/>
    </w:r>
    <w:r>
      <w:rPr>
        <w:rStyle w:val="1370"/>
      </w:rPr>
      <w:t>36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51EC5">
    <w:pP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EA523">
    <w:pPr>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FC0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349E1"/>
    <w:multiLevelType w:val="singleLevel"/>
    <w:tmpl w:val="861349E1"/>
    <w:lvl w:ilvl="0" w:tentative="0">
      <w:start w:val="1"/>
      <w:numFmt w:val="bullet"/>
      <w:suff w:val="nothing"/>
      <w:lvlText w:val=""/>
      <w:lvlJc w:val="left"/>
      <w:pPr>
        <w:ind w:left="418" w:hanging="420"/>
      </w:pPr>
      <w:rPr>
        <w:rFonts w:hint="default" w:ascii="Wingdings" w:hAnsi="Wingdings"/>
      </w:rPr>
    </w:lvl>
  </w:abstractNum>
  <w:abstractNum w:abstractNumId="1">
    <w:nsid w:val="E627004B"/>
    <w:multiLevelType w:val="multilevel"/>
    <w:tmpl w:val="E627004B"/>
    <w:lvl w:ilvl="0" w:tentative="0">
      <w:start w:val="0"/>
      <w:numFmt w:val="decimal"/>
      <w:pStyle w:val="446"/>
      <w:lvlText w:val=""/>
      <w:lvlJc w:val="left"/>
      <w:pPr>
        <w:tabs>
          <w:tab w:val="left" w:pos="0"/>
        </w:tabs>
        <w:ind w:left="0" w:firstLine="0"/>
      </w:p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2">
    <w:nsid w:val="E7A871F3"/>
    <w:multiLevelType w:val="singleLevel"/>
    <w:tmpl w:val="E7A871F3"/>
    <w:lvl w:ilvl="0" w:tentative="0">
      <w:start w:val="1"/>
      <w:numFmt w:val="bullet"/>
      <w:suff w:val="nothing"/>
      <w:lvlText w:val=""/>
      <w:lvlJc w:val="left"/>
      <w:pPr>
        <w:ind w:left="420" w:hanging="420"/>
      </w:pPr>
      <w:rPr>
        <w:rFonts w:hint="default" w:ascii="Wingdings" w:hAnsi="Wingdings"/>
      </w:rPr>
    </w:lvl>
  </w:abstractNum>
  <w:abstractNum w:abstractNumId="3">
    <w:nsid w:val="00000004"/>
    <w:multiLevelType w:val="multilevel"/>
    <w:tmpl w:val="0000000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6"/>
    <w:multiLevelType w:val="multilevel"/>
    <w:tmpl w:val="00000006"/>
    <w:lvl w:ilvl="0" w:tentative="0">
      <w:start w:val="0"/>
      <w:numFmt w:val="decimal"/>
      <w:pStyle w:val="449"/>
      <w:lvlText w:val=""/>
      <w:lvlJc w:val="left"/>
      <w:pPr>
        <w:tabs>
          <w:tab w:val="left" w:pos="0"/>
        </w:tabs>
        <w:ind w:left="0" w:firstLine="0"/>
      </w:p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5">
    <w:nsid w:val="00817EE2"/>
    <w:multiLevelType w:val="multilevel"/>
    <w:tmpl w:val="00817EE2"/>
    <w:lvl w:ilvl="0" w:tentative="0">
      <w:start w:val="1"/>
      <w:numFmt w:val="japaneseCounting"/>
      <w:lvlText w:val="第%1章"/>
      <w:lvlJc w:val="left"/>
      <w:pPr>
        <w:tabs>
          <w:tab w:val="left" w:pos="960"/>
        </w:tabs>
        <w:ind w:left="960" w:hanging="9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E155E7B"/>
    <w:multiLevelType w:val="multilevel"/>
    <w:tmpl w:val="0E155E7B"/>
    <w:lvl w:ilvl="0" w:tentative="0">
      <w:start w:val="1"/>
      <w:numFmt w:val="japaneseCounting"/>
      <w:lvlText w:val="（%1）"/>
      <w:lvlJc w:val="left"/>
      <w:pPr>
        <w:tabs>
          <w:tab w:val="left" w:pos="1395"/>
        </w:tabs>
        <w:ind w:left="1395" w:hanging="855"/>
      </w:pPr>
      <w:rPr>
        <w:rFonts w:hint="default"/>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7">
    <w:nsid w:val="15BEB018"/>
    <w:multiLevelType w:val="multilevel"/>
    <w:tmpl w:val="15BEB018"/>
    <w:lvl w:ilvl="0" w:tentative="0">
      <w:start w:val="1"/>
      <w:numFmt w:val="decimal"/>
      <w:lvlText w:val="%1"/>
      <w:lvlJc w:val="left"/>
      <w:pPr>
        <w:tabs>
          <w:tab w:val="left" w:pos="0"/>
        </w:tabs>
        <w:ind w:left="425" w:hanging="425"/>
      </w:pPr>
      <w:rPr>
        <w:rFonts w:hint="eastAsia" w:cs="Times New Roman"/>
      </w:rPr>
    </w:lvl>
    <w:lvl w:ilvl="1" w:tentative="0">
      <w:start w:val="1"/>
      <w:numFmt w:val="decimal"/>
      <w:lvlText w:val="%1.%2"/>
      <w:lvlJc w:val="left"/>
      <w:pPr>
        <w:tabs>
          <w:tab w:val="left" w:pos="0"/>
        </w:tabs>
        <w:ind w:left="425" w:hanging="425"/>
      </w:pPr>
      <w:rPr>
        <w:rFonts w:hint="eastAsia" w:cs="Times New Roman"/>
      </w:rPr>
    </w:lvl>
    <w:lvl w:ilvl="2" w:tentative="0">
      <w:start w:val="1"/>
      <w:numFmt w:val="decimal"/>
      <w:pStyle w:val="95"/>
      <w:lvlText w:val="%1.%2.%3"/>
      <w:lvlJc w:val="left"/>
      <w:pPr>
        <w:tabs>
          <w:tab w:val="left" w:pos="0"/>
        </w:tabs>
        <w:ind w:left="425" w:hanging="425"/>
      </w:pPr>
      <w:rPr>
        <w:rFonts w:hint="eastAsia" w:cs="Times New Roman"/>
      </w:rPr>
    </w:lvl>
    <w:lvl w:ilvl="3" w:tentative="0">
      <w:start w:val="1"/>
      <w:numFmt w:val="decimal"/>
      <w:lvlText w:val="%1.%2.%3.%4"/>
      <w:lvlJc w:val="left"/>
      <w:pPr>
        <w:tabs>
          <w:tab w:val="left" w:pos="0"/>
        </w:tabs>
        <w:ind w:left="425" w:hanging="425"/>
      </w:pPr>
      <w:rPr>
        <w:rFonts w:hint="eastAsia" w:cs="Times New Roman"/>
      </w:rPr>
    </w:lvl>
    <w:lvl w:ilvl="4" w:tentative="0">
      <w:start w:val="1"/>
      <w:numFmt w:val="decimal"/>
      <w:lvlText w:val="%1.%2.%3.%4.%5"/>
      <w:lvlJc w:val="left"/>
      <w:pPr>
        <w:tabs>
          <w:tab w:val="left" w:pos="0"/>
        </w:tabs>
        <w:ind w:left="425" w:hanging="425"/>
      </w:pPr>
      <w:rPr>
        <w:rFonts w:hint="eastAsia" w:cs="Times New Roman"/>
      </w:rPr>
    </w:lvl>
    <w:lvl w:ilvl="5" w:tentative="0">
      <w:start w:val="1"/>
      <w:numFmt w:val="decimal"/>
      <w:lvlText w:val="%1.%2.%3.%4.%5.%6"/>
      <w:lvlJc w:val="left"/>
      <w:pPr>
        <w:tabs>
          <w:tab w:val="left" w:pos="0"/>
        </w:tabs>
        <w:ind w:left="425" w:hanging="425"/>
      </w:pPr>
      <w:rPr>
        <w:rFonts w:hint="eastAsia" w:cs="Times New Roman"/>
      </w:rPr>
    </w:lvl>
    <w:lvl w:ilvl="6" w:tentative="0">
      <w:start w:val="1"/>
      <w:numFmt w:val="decimal"/>
      <w:lvlText w:val="%1.%2.%3.%4.%5.%6.%7"/>
      <w:lvlJc w:val="left"/>
      <w:pPr>
        <w:tabs>
          <w:tab w:val="left" w:pos="0"/>
        </w:tabs>
        <w:ind w:left="425" w:hanging="425"/>
      </w:pPr>
      <w:rPr>
        <w:rFonts w:hint="eastAsia" w:cs="Times New Roman"/>
      </w:rPr>
    </w:lvl>
    <w:lvl w:ilvl="7" w:tentative="0">
      <w:start w:val="1"/>
      <w:numFmt w:val="decimal"/>
      <w:lvlText w:val="%1.%2.%3.%4.%5.%6.%7.%8"/>
      <w:lvlJc w:val="left"/>
      <w:pPr>
        <w:tabs>
          <w:tab w:val="left" w:pos="0"/>
        </w:tabs>
        <w:ind w:left="425" w:hanging="425"/>
      </w:pPr>
      <w:rPr>
        <w:rFonts w:hint="eastAsia" w:cs="Times New Roman"/>
      </w:rPr>
    </w:lvl>
    <w:lvl w:ilvl="8" w:tentative="0">
      <w:start w:val="1"/>
      <w:numFmt w:val="decimal"/>
      <w:lvlText w:val="%1.%2.%3.%4.%5.%6.%7.%8.%9"/>
      <w:lvlJc w:val="left"/>
      <w:pPr>
        <w:tabs>
          <w:tab w:val="left" w:pos="0"/>
        </w:tabs>
        <w:ind w:left="425" w:hanging="425"/>
      </w:pPr>
      <w:rPr>
        <w:rFonts w:hint="eastAsia" w:cs="Times New Roman"/>
      </w:rPr>
    </w:lvl>
  </w:abstractNum>
  <w:abstractNum w:abstractNumId="8">
    <w:nsid w:val="1CC862B7"/>
    <w:multiLevelType w:val="singleLevel"/>
    <w:tmpl w:val="1CC862B7"/>
    <w:lvl w:ilvl="0" w:tentative="0">
      <w:start w:val="1"/>
      <w:numFmt w:val="decimal"/>
      <w:lvlText w:val="(%1)"/>
      <w:lvlJc w:val="left"/>
      <w:pPr>
        <w:tabs>
          <w:tab w:val="left" w:pos="454"/>
        </w:tabs>
        <w:ind w:left="454" w:hanging="454"/>
      </w:pPr>
      <w:rPr>
        <w:rFonts w:hint="eastAsia" w:cs="Times New Roman"/>
      </w:rPr>
    </w:lvl>
  </w:abstractNum>
  <w:abstractNum w:abstractNumId="9">
    <w:nsid w:val="21F4456E"/>
    <w:multiLevelType w:val="multilevel"/>
    <w:tmpl w:val="21F4456E"/>
    <w:lvl w:ilvl="0" w:tentative="0">
      <w:start w:val="1"/>
      <w:numFmt w:val="chineseCountingThousand"/>
      <w:lvlText w:val="%1、"/>
      <w:lvlJc w:val="left"/>
      <w:pPr>
        <w:tabs>
          <w:tab w:val="left" w:pos="600"/>
        </w:tabs>
        <w:ind w:left="600" w:hanging="600"/>
      </w:pPr>
      <w:rPr>
        <w:rFonts w:hint="default" w:cs="Times New Roman"/>
      </w:rPr>
    </w:lvl>
    <w:lvl w:ilvl="1" w:tentative="0">
      <w:start w:val="1"/>
      <w:numFmt w:val="decimal"/>
      <w:lvlText w:val="（%2）"/>
      <w:lvlJc w:val="left"/>
      <w:pPr>
        <w:tabs>
          <w:tab w:val="left" w:pos="1140"/>
        </w:tabs>
        <w:ind w:left="1140" w:hanging="72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20"/>
        </w:tabs>
        <w:ind w:left="1620" w:hanging="360"/>
      </w:pPr>
      <w:rPr>
        <w:rFonts w:hint="default"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26F707B4"/>
    <w:multiLevelType w:val="multilevel"/>
    <w:tmpl w:val="26F707B4"/>
    <w:lvl w:ilvl="0" w:tentative="0">
      <w:start w:val="1"/>
      <w:numFmt w:val="decimal"/>
      <w:lvlText w:val="（%1）"/>
      <w:lvlJc w:val="left"/>
      <w:pPr>
        <w:tabs>
          <w:tab w:val="left" w:pos="1200"/>
        </w:tabs>
        <w:ind w:left="1200" w:hanging="720"/>
      </w:pPr>
      <w:rPr>
        <w:rFonts w:hint="default" w:cs="Times New Roman"/>
      </w:rPr>
    </w:lvl>
    <w:lvl w:ilvl="1" w:tentative="0">
      <w:start w:val="10"/>
      <w:numFmt w:val="japaneseCounting"/>
      <w:lvlText w:val="%2、"/>
      <w:lvlJc w:val="left"/>
      <w:pPr>
        <w:tabs>
          <w:tab w:val="left" w:pos="855"/>
        </w:tabs>
        <w:ind w:left="855" w:hanging="435"/>
      </w:pPr>
      <w:rPr>
        <w:rFonts w:hint="default" w:cs="Times New Roman"/>
      </w:rPr>
    </w:lvl>
    <w:lvl w:ilvl="2" w:tentative="0">
      <w:start w:val="3"/>
      <w:numFmt w:val="japaneseCounting"/>
      <w:lvlText w:val="（%3）"/>
      <w:lvlJc w:val="left"/>
      <w:pPr>
        <w:tabs>
          <w:tab w:val="left" w:pos="1560"/>
        </w:tabs>
        <w:ind w:left="1560" w:hanging="720"/>
      </w:pPr>
      <w:rPr>
        <w:rFonts w:hint="default" w:cs="Times New Roman"/>
      </w:rPr>
    </w:lvl>
    <w:lvl w:ilvl="3" w:tentative="0">
      <w:start w:val="1"/>
      <w:numFmt w:val="decimal"/>
      <w:lvlText w:val="%4）"/>
      <w:lvlJc w:val="left"/>
      <w:pPr>
        <w:tabs>
          <w:tab w:val="left" w:pos="1620"/>
        </w:tabs>
        <w:ind w:left="1620" w:hanging="360"/>
      </w:pPr>
      <w:rPr>
        <w:rFonts w:hint="default" w:cs="Times New Roman"/>
      </w:rPr>
    </w:lvl>
    <w:lvl w:ilvl="4" w:tentative="0">
      <w:start w:val="1"/>
      <w:numFmt w:val="decimal"/>
      <w:lvlText w:val="%5、"/>
      <w:lvlJc w:val="left"/>
      <w:pPr>
        <w:tabs>
          <w:tab w:val="left" w:pos="2040"/>
        </w:tabs>
        <w:ind w:left="2040" w:hanging="360"/>
      </w:pPr>
      <w:rPr>
        <w:rFonts w:hint="default"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287F3E2F"/>
    <w:multiLevelType w:val="multilevel"/>
    <w:tmpl w:val="287F3E2F"/>
    <w:lvl w:ilvl="0" w:tentative="0">
      <w:start w:val="1"/>
      <w:numFmt w:val="decimal"/>
      <w:lvlText w:val="%1."/>
      <w:lvlJc w:val="left"/>
      <w:pPr>
        <w:tabs>
          <w:tab w:val="left" w:pos="360"/>
        </w:tabs>
        <w:ind w:left="0" w:firstLine="0"/>
      </w:pPr>
      <w:rPr>
        <w:rFonts w:hint="eastAsia" w:cs="Times New Roman"/>
      </w:rPr>
    </w:lvl>
    <w:lvl w:ilvl="1" w:tentative="0">
      <w:start w:val="1"/>
      <w:numFmt w:val="decimal"/>
      <w:lvlText w:val="%1.%2"/>
      <w:lvlJc w:val="left"/>
      <w:pPr>
        <w:tabs>
          <w:tab w:val="left" w:pos="644"/>
        </w:tabs>
        <w:ind w:left="284" w:firstLine="0"/>
      </w:pPr>
      <w:rPr>
        <w:rFonts w:hint="eastAsia" w:cs="Times New Roman"/>
        <w:b w:val="0"/>
      </w:rPr>
    </w:lvl>
    <w:lvl w:ilvl="2" w:tentative="0">
      <w:start w:val="1"/>
      <w:numFmt w:val="decimal"/>
      <w:lvlText w:val="%1.%2.%3"/>
      <w:lvlJc w:val="left"/>
      <w:pPr>
        <w:tabs>
          <w:tab w:val="left" w:pos="720"/>
        </w:tabs>
        <w:ind w:left="0" w:firstLine="0"/>
      </w:pPr>
      <w:rPr>
        <w:rFonts w:hint="eastAsia" w:cs="Times New Roman"/>
      </w:rPr>
    </w:lvl>
    <w:lvl w:ilvl="3" w:tentative="0">
      <w:start w:val="1"/>
      <w:numFmt w:val="decimal"/>
      <w:lvlText w:val="%1.%2.%3.%4."/>
      <w:lvlJc w:val="left"/>
      <w:pPr>
        <w:tabs>
          <w:tab w:val="left" w:pos="1080"/>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12">
    <w:nsid w:val="2F4A6BF4"/>
    <w:multiLevelType w:val="multilevel"/>
    <w:tmpl w:val="2F4A6BF4"/>
    <w:lvl w:ilvl="0" w:tentative="0">
      <w:start w:val="1"/>
      <w:numFmt w:val="decimal"/>
      <w:lvlText w:val="%1)"/>
      <w:lvlJc w:val="left"/>
      <w:pPr>
        <w:tabs>
          <w:tab w:val="left" w:pos="0"/>
        </w:tabs>
        <w:ind w:left="340" w:hanging="34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3">
    <w:nsid w:val="47251EC4"/>
    <w:multiLevelType w:val="singleLevel"/>
    <w:tmpl w:val="47251EC4"/>
    <w:lvl w:ilvl="0" w:tentative="0">
      <w:start w:val="1"/>
      <w:numFmt w:val="bullet"/>
      <w:pStyle w:val="23"/>
      <w:lvlText w:val=""/>
      <w:lvlJc w:val="left"/>
      <w:pPr>
        <w:tabs>
          <w:tab w:val="left" w:pos="340"/>
        </w:tabs>
        <w:ind w:left="340" w:hanging="340"/>
      </w:pPr>
      <w:rPr>
        <w:rFonts w:hint="default" w:ascii="Wingdings" w:hAnsi="Wingdings"/>
        <w:b w:val="0"/>
        <w:i w:val="0"/>
        <w:spacing w:val="0"/>
        <w:w w:val="100"/>
        <w:kern w:val="24"/>
        <w:position w:val="0"/>
        <w:sz w:val="24"/>
      </w:rPr>
    </w:lvl>
  </w:abstractNum>
  <w:abstractNum w:abstractNumId="14">
    <w:nsid w:val="4B8F68CF"/>
    <w:multiLevelType w:val="multilevel"/>
    <w:tmpl w:val="4B8F68CF"/>
    <w:lvl w:ilvl="0" w:tentative="0">
      <w:start w:val="1"/>
      <w:numFmt w:val="decimal"/>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5">
    <w:nsid w:val="76933334"/>
    <w:multiLevelType w:val="multilevel"/>
    <w:tmpl w:val="76933334"/>
    <w:lvl w:ilvl="0" w:tentative="0">
      <w:start w:val="1"/>
      <w:numFmt w:val="none"/>
      <w:pStyle w:val="500"/>
      <w:lvlText w:val="%1——"/>
      <w:lvlJc w:val="left"/>
      <w:pPr>
        <w:tabs>
          <w:tab w:val="left" w:pos="4080"/>
        </w:tabs>
        <w:ind w:left="3780" w:hanging="420"/>
      </w:pPr>
      <w:rPr>
        <w:rFonts w:hint="eastAsia" w:cs="Times New Roman"/>
      </w:rPr>
    </w:lvl>
    <w:lvl w:ilvl="1" w:tentative="0">
      <w:start w:val="1"/>
      <w:numFmt w:val="lowerLetter"/>
      <w:lvlText w:val="%2)"/>
      <w:lvlJc w:val="left"/>
      <w:pPr>
        <w:tabs>
          <w:tab w:val="left" w:pos="3780"/>
        </w:tabs>
        <w:ind w:left="3780" w:hanging="420"/>
      </w:pPr>
      <w:rPr>
        <w:rFonts w:cs="Times New Roman"/>
      </w:rPr>
    </w:lvl>
    <w:lvl w:ilvl="2" w:tentative="0">
      <w:start w:val="1"/>
      <w:numFmt w:val="lowerRoman"/>
      <w:lvlText w:val="%3."/>
      <w:lvlJc w:val="right"/>
      <w:pPr>
        <w:tabs>
          <w:tab w:val="left" w:pos="4200"/>
        </w:tabs>
        <w:ind w:left="4200" w:hanging="420"/>
      </w:pPr>
      <w:rPr>
        <w:rFonts w:cs="Times New Roman"/>
      </w:rPr>
    </w:lvl>
    <w:lvl w:ilvl="3" w:tentative="0">
      <w:start w:val="1"/>
      <w:numFmt w:val="decimal"/>
      <w:lvlText w:val="%4."/>
      <w:lvlJc w:val="left"/>
      <w:pPr>
        <w:tabs>
          <w:tab w:val="left" w:pos="4620"/>
        </w:tabs>
        <w:ind w:left="4620" w:hanging="420"/>
      </w:pPr>
      <w:rPr>
        <w:rFonts w:cs="Times New Roman"/>
      </w:rPr>
    </w:lvl>
    <w:lvl w:ilvl="4" w:tentative="0">
      <w:start w:val="1"/>
      <w:numFmt w:val="lowerLetter"/>
      <w:lvlText w:val="%5)"/>
      <w:lvlJc w:val="left"/>
      <w:pPr>
        <w:tabs>
          <w:tab w:val="left" w:pos="5040"/>
        </w:tabs>
        <w:ind w:left="5040" w:hanging="420"/>
      </w:pPr>
      <w:rPr>
        <w:rFonts w:cs="Times New Roman"/>
      </w:rPr>
    </w:lvl>
    <w:lvl w:ilvl="5" w:tentative="0">
      <w:start w:val="1"/>
      <w:numFmt w:val="lowerRoman"/>
      <w:lvlText w:val="%6."/>
      <w:lvlJc w:val="right"/>
      <w:pPr>
        <w:tabs>
          <w:tab w:val="left" w:pos="5460"/>
        </w:tabs>
        <w:ind w:left="5460" w:hanging="420"/>
      </w:pPr>
      <w:rPr>
        <w:rFonts w:cs="Times New Roman"/>
      </w:rPr>
    </w:lvl>
    <w:lvl w:ilvl="6" w:tentative="0">
      <w:start w:val="1"/>
      <w:numFmt w:val="decimal"/>
      <w:lvlText w:val="%7."/>
      <w:lvlJc w:val="left"/>
      <w:pPr>
        <w:tabs>
          <w:tab w:val="left" w:pos="5880"/>
        </w:tabs>
        <w:ind w:left="5880" w:hanging="420"/>
      </w:pPr>
      <w:rPr>
        <w:rFonts w:cs="Times New Roman"/>
      </w:rPr>
    </w:lvl>
    <w:lvl w:ilvl="7" w:tentative="0">
      <w:start w:val="1"/>
      <w:numFmt w:val="lowerLetter"/>
      <w:lvlText w:val="%8)"/>
      <w:lvlJc w:val="left"/>
      <w:pPr>
        <w:tabs>
          <w:tab w:val="left" w:pos="6300"/>
        </w:tabs>
        <w:ind w:left="6300" w:hanging="420"/>
      </w:pPr>
      <w:rPr>
        <w:rFonts w:cs="Times New Roman"/>
      </w:rPr>
    </w:lvl>
    <w:lvl w:ilvl="8" w:tentative="0">
      <w:start w:val="1"/>
      <w:numFmt w:val="lowerRoman"/>
      <w:lvlText w:val="%9."/>
      <w:lvlJc w:val="right"/>
      <w:pPr>
        <w:tabs>
          <w:tab w:val="left" w:pos="6720"/>
        </w:tabs>
        <w:ind w:left="6720" w:hanging="420"/>
      </w:pPr>
      <w:rPr>
        <w:rFonts w:cs="Times New Roman"/>
      </w:rPr>
    </w:lvl>
  </w:abstractNum>
  <w:num w:numId="1">
    <w:abstractNumId w:val="13"/>
  </w:num>
  <w:num w:numId="2">
    <w:abstractNumId w:val="7"/>
  </w:num>
  <w:num w:numId="3">
    <w:abstractNumId w:val="1"/>
  </w:num>
  <w:num w:numId="4">
    <w:abstractNumId w:val="4"/>
  </w:num>
  <w:num w:numId="5">
    <w:abstractNumId w:val="15"/>
  </w:num>
  <w:num w:numId="6">
    <w:abstractNumId w:val="9"/>
  </w:num>
  <w:num w:numId="7">
    <w:abstractNumId w:val="11"/>
  </w:num>
  <w:num w:numId="8">
    <w:abstractNumId w:val="5"/>
  </w:num>
  <w:num w:numId="9">
    <w:abstractNumId w:val="0"/>
  </w:num>
  <w:num w:numId="10">
    <w:abstractNumId w:val="2"/>
  </w:num>
  <w:num w:numId="11">
    <w:abstractNumId w:val="10"/>
  </w:num>
  <w:num w:numId="12">
    <w:abstractNumId w:val="14"/>
  </w:num>
  <w:num w:numId="13">
    <w:abstractNumId w:val="12"/>
  </w:num>
  <w:num w:numId="14">
    <w:abstractNumId w:val="8"/>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4"/>
  </w:compat>
  <w:docVars>
    <w:docVar w:name="commondata" w:val="eyJoZGlkIjoiNjRhODA0MGJlYjkwYzhjNWY3NDVmZDZhNTM4ODVlZmIifQ=="/>
  </w:docVars>
  <w:rsids>
    <w:rsidRoot w:val="00F85CB9"/>
    <w:rsid w:val="00003F64"/>
    <w:rsid w:val="00012FBC"/>
    <w:rsid w:val="00143BF0"/>
    <w:rsid w:val="00187796"/>
    <w:rsid w:val="001E3687"/>
    <w:rsid w:val="002172A2"/>
    <w:rsid w:val="00237512"/>
    <w:rsid w:val="002412CC"/>
    <w:rsid w:val="00281F8A"/>
    <w:rsid w:val="00294720"/>
    <w:rsid w:val="00296331"/>
    <w:rsid w:val="002B1FC4"/>
    <w:rsid w:val="00307526"/>
    <w:rsid w:val="0037700F"/>
    <w:rsid w:val="00390E99"/>
    <w:rsid w:val="003B3C6A"/>
    <w:rsid w:val="003C7EAA"/>
    <w:rsid w:val="003D04F0"/>
    <w:rsid w:val="004012A6"/>
    <w:rsid w:val="00405C2F"/>
    <w:rsid w:val="00457FE7"/>
    <w:rsid w:val="00461C12"/>
    <w:rsid w:val="004B6776"/>
    <w:rsid w:val="004C54FB"/>
    <w:rsid w:val="00506B1B"/>
    <w:rsid w:val="00506ED2"/>
    <w:rsid w:val="00517091"/>
    <w:rsid w:val="00532BE3"/>
    <w:rsid w:val="005C1044"/>
    <w:rsid w:val="005D3B85"/>
    <w:rsid w:val="0064090C"/>
    <w:rsid w:val="00652C9F"/>
    <w:rsid w:val="006C222D"/>
    <w:rsid w:val="006E1E2D"/>
    <w:rsid w:val="00717330"/>
    <w:rsid w:val="00730230"/>
    <w:rsid w:val="007756C4"/>
    <w:rsid w:val="007836C7"/>
    <w:rsid w:val="008070D4"/>
    <w:rsid w:val="0087441D"/>
    <w:rsid w:val="0088132C"/>
    <w:rsid w:val="008851AC"/>
    <w:rsid w:val="008B38DA"/>
    <w:rsid w:val="008D29E1"/>
    <w:rsid w:val="008F2266"/>
    <w:rsid w:val="00915CA2"/>
    <w:rsid w:val="009412DF"/>
    <w:rsid w:val="00974124"/>
    <w:rsid w:val="00975D66"/>
    <w:rsid w:val="00A51B28"/>
    <w:rsid w:val="00A86CB6"/>
    <w:rsid w:val="00A92853"/>
    <w:rsid w:val="00B428ED"/>
    <w:rsid w:val="00B5041C"/>
    <w:rsid w:val="00BB2ACC"/>
    <w:rsid w:val="00BC1B58"/>
    <w:rsid w:val="00C0612F"/>
    <w:rsid w:val="00C62D5A"/>
    <w:rsid w:val="00C739EE"/>
    <w:rsid w:val="00CF3AE0"/>
    <w:rsid w:val="00D14EC0"/>
    <w:rsid w:val="00D2735B"/>
    <w:rsid w:val="00D45499"/>
    <w:rsid w:val="00D510D4"/>
    <w:rsid w:val="00D743B5"/>
    <w:rsid w:val="00DD1D60"/>
    <w:rsid w:val="00E06919"/>
    <w:rsid w:val="00E13C70"/>
    <w:rsid w:val="00E43379"/>
    <w:rsid w:val="00E87A80"/>
    <w:rsid w:val="00EA663F"/>
    <w:rsid w:val="00EC2A8E"/>
    <w:rsid w:val="00ED589C"/>
    <w:rsid w:val="00EE01D8"/>
    <w:rsid w:val="00EE31EC"/>
    <w:rsid w:val="00F30E80"/>
    <w:rsid w:val="00F85CB9"/>
    <w:rsid w:val="00FE4D66"/>
    <w:rsid w:val="0106172A"/>
    <w:rsid w:val="01253372"/>
    <w:rsid w:val="0221133C"/>
    <w:rsid w:val="025C7268"/>
    <w:rsid w:val="02897931"/>
    <w:rsid w:val="028A337B"/>
    <w:rsid w:val="028F2527"/>
    <w:rsid w:val="03215DBB"/>
    <w:rsid w:val="04157F29"/>
    <w:rsid w:val="04267B2D"/>
    <w:rsid w:val="04697A1A"/>
    <w:rsid w:val="0475016D"/>
    <w:rsid w:val="049F168E"/>
    <w:rsid w:val="04C35575"/>
    <w:rsid w:val="0518619C"/>
    <w:rsid w:val="0534627A"/>
    <w:rsid w:val="054E09BE"/>
    <w:rsid w:val="05A21435"/>
    <w:rsid w:val="066E57BB"/>
    <w:rsid w:val="066F3649"/>
    <w:rsid w:val="06CC51D0"/>
    <w:rsid w:val="073B6CDC"/>
    <w:rsid w:val="07AA2823"/>
    <w:rsid w:val="08607386"/>
    <w:rsid w:val="0A6071C9"/>
    <w:rsid w:val="0A740EC6"/>
    <w:rsid w:val="0A786C09"/>
    <w:rsid w:val="0B1F52D6"/>
    <w:rsid w:val="0BC33065"/>
    <w:rsid w:val="0C341EBB"/>
    <w:rsid w:val="0E682AF0"/>
    <w:rsid w:val="0E735B3D"/>
    <w:rsid w:val="0F503CB0"/>
    <w:rsid w:val="1010343F"/>
    <w:rsid w:val="109F21AE"/>
    <w:rsid w:val="10EA3C90"/>
    <w:rsid w:val="114C66F9"/>
    <w:rsid w:val="115E51DD"/>
    <w:rsid w:val="117B2EAC"/>
    <w:rsid w:val="11C63F8C"/>
    <w:rsid w:val="11F36B75"/>
    <w:rsid w:val="123006FC"/>
    <w:rsid w:val="123A29F6"/>
    <w:rsid w:val="12784AFC"/>
    <w:rsid w:val="12E36934"/>
    <w:rsid w:val="130D3C66"/>
    <w:rsid w:val="14490FB4"/>
    <w:rsid w:val="14A74A23"/>
    <w:rsid w:val="14BA7E1E"/>
    <w:rsid w:val="15B36D47"/>
    <w:rsid w:val="15D373E9"/>
    <w:rsid w:val="15D52D67"/>
    <w:rsid w:val="15DC3B6A"/>
    <w:rsid w:val="15F41AED"/>
    <w:rsid w:val="16613B71"/>
    <w:rsid w:val="166D55F3"/>
    <w:rsid w:val="169C5A2D"/>
    <w:rsid w:val="16F56BA5"/>
    <w:rsid w:val="178D35C8"/>
    <w:rsid w:val="180D6418"/>
    <w:rsid w:val="183A0C8D"/>
    <w:rsid w:val="185E1A47"/>
    <w:rsid w:val="19924EC5"/>
    <w:rsid w:val="1A023DF9"/>
    <w:rsid w:val="1A7E237B"/>
    <w:rsid w:val="1AAB5868"/>
    <w:rsid w:val="1AC217DA"/>
    <w:rsid w:val="1ADE31D9"/>
    <w:rsid w:val="1B0E67CD"/>
    <w:rsid w:val="1B1C1A70"/>
    <w:rsid w:val="1B68647E"/>
    <w:rsid w:val="1CDF6673"/>
    <w:rsid w:val="1D0969A6"/>
    <w:rsid w:val="1D3615C2"/>
    <w:rsid w:val="1D721184"/>
    <w:rsid w:val="1D880AB9"/>
    <w:rsid w:val="1DD71A40"/>
    <w:rsid w:val="1E2017E9"/>
    <w:rsid w:val="1E24026E"/>
    <w:rsid w:val="1F0350F6"/>
    <w:rsid w:val="1FBF453A"/>
    <w:rsid w:val="20223965"/>
    <w:rsid w:val="20352935"/>
    <w:rsid w:val="218E0D26"/>
    <w:rsid w:val="221A55CD"/>
    <w:rsid w:val="22FD000A"/>
    <w:rsid w:val="23993A42"/>
    <w:rsid w:val="248A23DE"/>
    <w:rsid w:val="253D487F"/>
    <w:rsid w:val="25A246E2"/>
    <w:rsid w:val="26A95200"/>
    <w:rsid w:val="26B12B51"/>
    <w:rsid w:val="27012913"/>
    <w:rsid w:val="274E10B4"/>
    <w:rsid w:val="27D61011"/>
    <w:rsid w:val="27DE18FB"/>
    <w:rsid w:val="27E2526A"/>
    <w:rsid w:val="28472E05"/>
    <w:rsid w:val="28CD7CC8"/>
    <w:rsid w:val="297A7C16"/>
    <w:rsid w:val="29C42E79"/>
    <w:rsid w:val="2A181417"/>
    <w:rsid w:val="2A4915D0"/>
    <w:rsid w:val="2A862824"/>
    <w:rsid w:val="2A8862C8"/>
    <w:rsid w:val="2B186286"/>
    <w:rsid w:val="2B6052C0"/>
    <w:rsid w:val="2B9E3310"/>
    <w:rsid w:val="2C110642"/>
    <w:rsid w:val="2C324995"/>
    <w:rsid w:val="2C567700"/>
    <w:rsid w:val="2CD752A8"/>
    <w:rsid w:val="2D814FC4"/>
    <w:rsid w:val="2DED6539"/>
    <w:rsid w:val="2E2959A0"/>
    <w:rsid w:val="2F2F348A"/>
    <w:rsid w:val="2F3E700D"/>
    <w:rsid w:val="2F595022"/>
    <w:rsid w:val="2FBE130D"/>
    <w:rsid w:val="2FDA0882"/>
    <w:rsid w:val="300264A9"/>
    <w:rsid w:val="300932A8"/>
    <w:rsid w:val="303B19BB"/>
    <w:rsid w:val="304765B2"/>
    <w:rsid w:val="30DC650F"/>
    <w:rsid w:val="3144402E"/>
    <w:rsid w:val="31AF440F"/>
    <w:rsid w:val="32AD5BF3"/>
    <w:rsid w:val="32DA1DC4"/>
    <w:rsid w:val="33E31491"/>
    <w:rsid w:val="352676AB"/>
    <w:rsid w:val="36D466C5"/>
    <w:rsid w:val="36EE0647"/>
    <w:rsid w:val="373560F4"/>
    <w:rsid w:val="373A0C1E"/>
    <w:rsid w:val="37B00EE0"/>
    <w:rsid w:val="383D2FD0"/>
    <w:rsid w:val="383D616B"/>
    <w:rsid w:val="396C7089"/>
    <w:rsid w:val="39FA6443"/>
    <w:rsid w:val="3A2D4A6A"/>
    <w:rsid w:val="3A7475A1"/>
    <w:rsid w:val="3ACA22EB"/>
    <w:rsid w:val="3ADA7416"/>
    <w:rsid w:val="3AE570F3"/>
    <w:rsid w:val="3C216064"/>
    <w:rsid w:val="3CAD1E92"/>
    <w:rsid w:val="3DD97EC0"/>
    <w:rsid w:val="3DF150A0"/>
    <w:rsid w:val="3E8310FD"/>
    <w:rsid w:val="3EA45E53"/>
    <w:rsid w:val="3EB70DA6"/>
    <w:rsid w:val="3F3146B5"/>
    <w:rsid w:val="3F4B5032"/>
    <w:rsid w:val="3FBB48C6"/>
    <w:rsid w:val="400B542E"/>
    <w:rsid w:val="4145049D"/>
    <w:rsid w:val="41CC265B"/>
    <w:rsid w:val="430A3BEB"/>
    <w:rsid w:val="434B30B8"/>
    <w:rsid w:val="43CA3078"/>
    <w:rsid w:val="443C3164"/>
    <w:rsid w:val="44DD298D"/>
    <w:rsid w:val="44FF14E1"/>
    <w:rsid w:val="453C2005"/>
    <w:rsid w:val="4557115F"/>
    <w:rsid w:val="45EF7078"/>
    <w:rsid w:val="45FD79E7"/>
    <w:rsid w:val="469137ED"/>
    <w:rsid w:val="472114B3"/>
    <w:rsid w:val="474C16E3"/>
    <w:rsid w:val="47A11F03"/>
    <w:rsid w:val="47CE5431"/>
    <w:rsid w:val="47D429C9"/>
    <w:rsid w:val="48866ABE"/>
    <w:rsid w:val="489D725F"/>
    <w:rsid w:val="48FC3F85"/>
    <w:rsid w:val="49182075"/>
    <w:rsid w:val="492D05E3"/>
    <w:rsid w:val="498A77E3"/>
    <w:rsid w:val="49C2361A"/>
    <w:rsid w:val="4AA06B93"/>
    <w:rsid w:val="4AD4683C"/>
    <w:rsid w:val="4AF319E3"/>
    <w:rsid w:val="4B92472D"/>
    <w:rsid w:val="4C213D03"/>
    <w:rsid w:val="4C2F4672"/>
    <w:rsid w:val="4D892B32"/>
    <w:rsid w:val="4F0C7551"/>
    <w:rsid w:val="509E3B74"/>
    <w:rsid w:val="50F9059B"/>
    <w:rsid w:val="512E32A5"/>
    <w:rsid w:val="522C1FF4"/>
    <w:rsid w:val="523E1987"/>
    <w:rsid w:val="5271116E"/>
    <w:rsid w:val="52860D64"/>
    <w:rsid w:val="52D221D4"/>
    <w:rsid w:val="52E16E49"/>
    <w:rsid w:val="52E533B3"/>
    <w:rsid w:val="541A1764"/>
    <w:rsid w:val="544F2599"/>
    <w:rsid w:val="54A05219"/>
    <w:rsid w:val="54F04C05"/>
    <w:rsid w:val="55230AEC"/>
    <w:rsid w:val="55244FB1"/>
    <w:rsid w:val="55366F1B"/>
    <w:rsid w:val="55582E57"/>
    <w:rsid w:val="56CD51B3"/>
    <w:rsid w:val="570861EB"/>
    <w:rsid w:val="572F5526"/>
    <w:rsid w:val="578810DA"/>
    <w:rsid w:val="57AF48B9"/>
    <w:rsid w:val="57C2639A"/>
    <w:rsid w:val="57EA4662"/>
    <w:rsid w:val="5822606F"/>
    <w:rsid w:val="5A96694D"/>
    <w:rsid w:val="5AC02939"/>
    <w:rsid w:val="5AE02ADF"/>
    <w:rsid w:val="5AF947C9"/>
    <w:rsid w:val="5AFD12A8"/>
    <w:rsid w:val="5B0301FB"/>
    <w:rsid w:val="5BC874BE"/>
    <w:rsid w:val="5C5A7141"/>
    <w:rsid w:val="5DB50E4A"/>
    <w:rsid w:val="5E9B0354"/>
    <w:rsid w:val="5EE44E48"/>
    <w:rsid w:val="5F021772"/>
    <w:rsid w:val="5F08322C"/>
    <w:rsid w:val="5F154864"/>
    <w:rsid w:val="5F1E2295"/>
    <w:rsid w:val="60325D64"/>
    <w:rsid w:val="60471B32"/>
    <w:rsid w:val="606A17BB"/>
    <w:rsid w:val="610E494D"/>
    <w:rsid w:val="61504A17"/>
    <w:rsid w:val="61647E17"/>
    <w:rsid w:val="617F354E"/>
    <w:rsid w:val="61882C41"/>
    <w:rsid w:val="61DC44FC"/>
    <w:rsid w:val="61E366A5"/>
    <w:rsid w:val="61F24CBE"/>
    <w:rsid w:val="62C068F1"/>
    <w:rsid w:val="62C236F2"/>
    <w:rsid w:val="634A36E8"/>
    <w:rsid w:val="636C18B0"/>
    <w:rsid w:val="639A579E"/>
    <w:rsid w:val="63CB65D6"/>
    <w:rsid w:val="63D86F45"/>
    <w:rsid w:val="643423CE"/>
    <w:rsid w:val="648844C8"/>
    <w:rsid w:val="655A40B6"/>
    <w:rsid w:val="65F22540"/>
    <w:rsid w:val="66330151"/>
    <w:rsid w:val="66805D9E"/>
    <w:rsid w:val="66AD6467"/>
    <w:rsid w:val="66B15F58"/>
    <w:rsid w:val="685017A0"/>
    <w:rsid w:val="68674B9E"/>
    <w:rsid w:val="6949289B"/>
    <w:rsid w:val="6B3B2C8B"/>
    <w:rsid w:val="6B4F5D3F"/>
    <w:rsid w:val="6C482ED7"/>
    <w:rsid w:val="6CF748E0"/>
    <w:rsid w:val="6D1F1741"/>
    <w:rsid w:val="6F0F38E5"/>
    <w:rsid w:val="6F29322B"/>
    <w:rsid w:val="702F613F"/>
    <w:rsid w:val="70313C65"/>
    <w:rsid w:val="709E5B53"/>
    <w:rsid w:val="725956F5"/>
    <w:rsid w:val="72C62D8B"/>
    <w:rsid w:val="72F62F44"/>
    <w:rsid w:val="73AB01D2"/>
    <w:rsid w:val="73BC23E0"/>
    <w:rsid w:val="740D243F"/>
    <w:rsid w:val="742F670E"/>
    <w:rsid w:val="747F11E5"/>
    <w:rsid w:val="74FF1295"/>
    <w:rsid w:val="75134281"/>
    <w:rsid w:val="754E7067"/>
    <w:rsid w:val="75580612"/>
    <w:rsid w:val="75B72E5F"/>
    <w:rsid w:val="75E55C1E"/>
    <w:rsid w:val="75F06371"/>
    <w:rsid w:val="76CA74E6"/>
    <w:rsid w:val="777A6071"/>
    <w:rsid w:val="77AD62C7"/>
    <w:rsid w:val="77B12687"/>
    <w:rsid w:val="78337B9B"/>
    <w:rsid w:val="794B3FEA"/>
    <w:rsid w:val="7958447D"/>
    <w:rsid w:val="79A100AE"/>
    <w:rsid w:val="7A0C3B3A"/>
    <w:rsid w:val="7A2A367D"/>
    <w:rsid w:val="7A6B7F61"/>
    <w:rsid w:val="7ACF29F8"/>
    <w:rsid w:val="7B3C4A6B"/>
    <w:rsid w:val="7B5353D8"/>
    <w:rsid w:val="7D2955E7"/>
    <w:rsid w:val="7DCA0A44"/>
    <w:rsid w:val="7E611BB9"/>
    <w:rsid w:val="7E7F43B6"/>
    <w:rsid w:val="7F2875BF"/>
    <w:rsid w:val="7F2C666B"/>
    <w:rsid w:val="7F9C3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qFormat="1" w:unhideWhenUsed="0" w:uiPriority="0" w:semiHidden="0"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after="330" w:line="576" w:lineRule="auto"/>
      <w:jc w:val="both"/>
      <w:outlineLvl w:val="0"/>
    </w:pPr>
    <w:rPr>
      <w:rFonts w:ascii="Times New Roman" w:hAnsi="Times New Roman" w:eastAsia="宋体" w:cs="Times New Roman"/>
      <w:b/>
      <w:kern w:val="44"/>
      <w:sz w:val="44"/>
      <w:lang w:val="en-US" w:eastAsia="zh-CN" w:bidi="ar-SA"/>
    </w:rPr>
  </w:style>
  <w:style w:type="paragraph" w:styleId="3">
    <w:name w:val="heading 2"/>
    <w:basedOn w:val="1"/>
    <w:next w:val="1"/>
    <w:link w:val="1454"/>
    <w:qFormat/>
    <w:uiPriority w:val="0"/>
    <w:pPr>
      <w:keepNext/>
      <w:keepLines/>
      <w:adjustRightInd w:val="0"/>
      <w:spacing w:before="260" w:after="260" w:line="416" w:lineRule="atLeast"/>
      <w:textAlignment w:val="baseline"/>
      <w:outlineLvl w:val="1"/>
    </w:pPr>
    <w:rPr>
      <w:b/>
      <w:sz w:val="30"/>
    </w:rPr>
  </w:style>
  <w:style w:type="paragraph" w:styleId="4">
    <w:name w:val="heading 3"/>
    <w:next w:val="1"/>
    <w:qFormat/>
    <w:uiPriority w:val="0"/>
    <w:pPr>
      <w:keepNext/>
      <w:keepLines/>
      <w:widowControl w:val="0"/>
      <w:spacing w:before="260" w:after="260" w:line="415" w:lineRule="auto"/>
      <w:jc w:val="both"/>
      <w:outlineLvl w:val="2"/>
    </w:pPr>
    <w:rPr>
      <w:rFonts w:ascii="Calibri" w:hAnsi="Calibri" w:eastAsia="宋体" w:cs="Times New Roman"/>
      <w:b/>
      <w:bCs/>
      <w:kern w:val="2"/>
      <w:sz w:val="32"/>
      <w:szCs w:val="32"/>
      <w:lang w:val="en-US" w:eastAsia="zh-CN" w:bidi="ar-SA"/>
    </w:rPr>
  </w:style>
  <w:style w:type="paragraph" w:styleId="5">
    <w:name w:val="heading 4"/>
    <w:basedOn w:val="1"/>
    <w:next w:val="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next w:val="1"/>
    <w:qFormat/>
    <w:uiPriority w:val="0"/>
    <w:pPr>
      <w:keepNext/>
      <w:keepLines/>
      <w:widowControl w:val="0"/>
      <w:spacing w:before="280" w:after="290" w:line="377" w:lineRule="auto"/>
      <w:jc w:val="both"/>
      <w:outlineLvl w:val="4"/>
    </w:pPr>
    <w:rPr>
      <w:rFonts w:ascii="Calibri" w:hAnsi="Calibri" w:eastAsia="宋体" w:cs="Times New Roman"/>
      <w:b/>
      <w:bCs/>
      <w:kern w:val="2"/>
      <w:sz w:val="28"/>
      <w:szCs w:val="28"/>
      <w:lang w:val="en-US" w:eastAsia="zh-CN" w:bidi="ar-SA"/>
    </w:rPr>
  </w:style>
  <w:style w:type="paragraph" w:styleId="7">
    <w:name w:val="heading 6"/>
    <w:next w:val="1"/>
    <w:qFormat/>
    <w:uiPriority w:val="0"/>
    <w:pPr>
      <w:keepNext/>
      <w:keepLines/>
      <w:widowControl w:val="0"/>
      <w:spacing w:before="240" w:after="64" w:line="319" w:lineRule="auto"/>
      <w:jc w:val="both"/>
      <w:outlineLvl w:val="5"/>
    </w:pPr>
    <w:rPr>
      <w:rFonts w:ascii="Calibri Light" w:hAnsi="Calibri Light" w:eastAsia="宋体" w:cs="Times New Roman"/>
      <w:b/>
      <w:bCs/>
      <w:kern w:val="2"/>
      <w:sz w:val="24"/>
      <w:szCs w:val="24"/>
      <w:lang w:val="en-US" w:eastAsia="zh-CN" w:bidi="ar-SA"/>
    </w:rPr>
  </w:style>
  <w:style w:type="paragraph" w:styleId="8">
    <w:name w:val="heading 7"/>
    <w:basedOn w:val="1"/>
    <w:next w:val="1"/>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63">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List 3"/>
    <w:next w:val="12"/>
    <w:qFormat/>
    <w:uiPriority w:val="0"/>
    <w:pPr>
      <w:widowControl w:val="0"/>
      <w:ind w:left="1260" w:hanging="420"/>
      <w:jc w:val="both"/>
    </w:pPr>
    <w:rPr>
      <w:rFonts w:ascii="Times New Roman" w:hAnsi="Times New Roman" w:eastAsia="宋体" w:cs="Times New Roman"/>
      <w:kern w:val="2"/>
      <w:sz w:val="21"/>
      <w:szCs w:val="22"/>
      <w:lang w:val="en-US" w:eastAsia="zh-CN" w:bidi="ar-SA"/>
    </w:rPr>
  </w:style>
  <w:style w:type="paragraph" w:customStyle="1" w:styleId="12">
    <w:name w:val="五级条标题"/>
    <w:basedOn w:val="13"/>
    <w:next w:val="1"/>
    <w:qFormat/>
    <w:uiPriority w:val="0"/>
    <w:pPr>
      <w:tabs>
        <w:tab w:val="left" w:pos="360"/>
        <w:tab w:val="left" w:pos="840"/>
        <w:tab w:val="left" w:pos="900"/>
      </w:tabs>
      <w:outlineLvl w:val="5"/>
    </w:pPr>
  </w:style>
  <w:style w:type="paragraph" w:customStyle="1" w:styleId="13">
    <w:name w:val="四级条标题"/>
    <w:basedOn w:val="14"/>
    <w:next w:val="1"/>
    <w:qFormat/>
    <w:uiPriority w:val="0"/>
    <w:pPr>
      <w:tabs>
        <w:tab w:val="left" w:pos="360"/>
        <w:tab w:val="left" w:pos="840"/>
      </w:tabs>
      <w:outlineLvl w:val="4"/>
    </w:pPr>
  </w:style>
  <w:style w:type="paragraph" w:customStyle="1" w:styleId="14">
    <w:name w:val="三级条标题"/>
    <w:basedOn w:val="15"/>
    <w:next w:val="1"/>
    <w:qFormat/>
    <w:uiPriority w:val="0"/>
    <w:pPr>
      <w:tabs>
        <w:tab w:val="left" w:pos="360"/>
        <w:tab w:val="left" w:pos="840"/>
      </w:tabs>
      <w:outlineLvl w:val="3"/>
    </w:pPr>
  </w:style>
  <w:style w:type="paragraph" w:customStyle="1" w:styleId="15">
    <w:name w:val="二级条标题"/>
    <w:basedOn w:val="16"/>
    <w:next w:val="1"/>
    <w:qFormat/>
    <w:uiPriority w:val="0"/>
    <w:pPr>
      <w:tabs>
        <w:tab w:val="left" w:pos="360"/>
        <w:tab w:val="left" w:pos="840"/>
      </w:tabs>
      <w:outlineLvl w:val="2"/>
    </w:pPr>
    <w:rPr>
      <w:rFonts w:ascii="宋体" w:eastAsia="宋体"/>
      <w:b w:val="0"/>
    </w:rPr>
  </w:style>
  <w:style w:type="paragraph" w:customStyle="1" w:styleId="16">
    <w:name w:val="一级条标题"/>
    <w:basedOn w:val="17"/>
    <w:next w:val="1"/>
    <w:qFormat/>
    <w:uiPriority w:val="0"/>
    <w:pPr>
      <w:tabs>
        <w:tab w:val="left" w:pos="360"/>
        <w:tab w:val="left" w:pos="840"/>
      </w:tabs>
      <w:spacing w:before="0" w:beforeLines="0" w:after="0" w:afterLines="0"/>
      <w:ind w:hanging="840"/>
      <w:outlineLvl w:val="1"/>
    </w:pPr>
  </w:style>
  <w:style w:type="paragraph" w:customStyle="1" w:styleId="17">
    <w:name w:val="章标题"/>
    <w:next w:val="1"/>
    <w:qFormat/>
    <w:uiPriority w:val="0"/>
    <w:pPr>
      <w:spacing w:before="50" w:beforeLines="50" w:after="50" w:afterLines="50" w:line="460" w:lineRule="exact"/>
      <w:jc w:val="both"/>
      <w:outlineLvl w:val="0"/>
    </w:pPr>
    <w:rPr>
      <w:rFonts w:ascii="黑体" w:hAnsi="Times New Roman" w:eastAsia="黑体" w:cs="Times New Roman"/>
      <w:b/>
      <w:sz w:val="28"/>
      <w:lang w:val="en-US" w:eastAsia="zh-CN" w:bidi="ar-SA"/>
    </w:rPr>
  </w:style>
  <w:style w:type="paragraph" w:styleId="18">
    <w:name w:val="toc 7"/>
    <w:basedOn w:val="1"/>
    <w:next w:val="1"/>
    <w:qFormat/>
    <w:uiPriority w:val="0"/>
    <w:pPr>
      <w:ind w:left="1260"/>
      <w:jc w:val="left"/>
    </w:pPr>
    <w:rPr>
      <w:szCs w:val="21"/>
    </w:rPr>
  </w:style>
  <w:style w:type="paragraph" w:styleId="19">
    <w:name w:val="List Number 2"/>
    <w:basedOn w:val="20"/>
    <w:qFormat/>
    <w:uiPriority w:val="0"/>
    <w:pPr>
      <w:widowControl/>
      <w:tabs>
        <w:tab w:val="left" w:pos="0"/>
        <w:tab w:val="left" w:pos="360"/>
      </w:tabs>
      <w:spacing w:line="360" w:lineRule="auto"/>
      <w:ind w:left="1080" w:right="360" w:hanging="137"/>
      <w:jc w:val="left"/>
    </w:pPr>
    <w:rPr>
      <w:rFonts w:ascii="Garamond" w:hAnsi="Garamond"/>
      <w:color w:val="000000"/>
      <w:kern w:val="0"/>
      <w:szCs w:val="20"/>
    </w:rPr>
  </w:style>
  <w:style w:type="paragraph" w:styleId="20">
    <w:name w:val="List Number"/>
    <w:basedOn w:val="1"/>
    <w:qFormat/>
    <w:uiPriority w:val="0"/>
    <w:pPr>
      <w:ind w:left="1134" w:hanging="425"/>
    </w:pPr>
  </w:style>
  <w:style w:type="paragraph" w:styleId="21">
    <w:name w:val="Normal Indent"/>
    <w:basedOn w:val="1"/>
    <w:qFormat/>
    <w:uiPriority w:val="0"/>
    <w:pPr>
      <w:spacing w:line="360" w:lineRule="auto"/>
      <w:ind w:firstLine="200" w:firstLineChars="200"/>
    </w:pPr>
    <w:rPr>
      <w:sz w:val="24"/>
    </w:rPr>
  </w:style>
  <w:style w:type="paragraph" w:styleId="22">
    <w:name w:val="caption"/>
    <w:basedOn w:val="1"/>
    <w:next w:val="1"/>
    <w:qFormat/>
    <w:uiPriority w:val="0"/>
    <w:pPr>
      <w:spacing w:line="480" w:lineRule="auto"/>
    </w:pPr>
    <w:rPr>
      <w:rFonts w:ascii="华文中宋" w:eastAsia="华文中宋"/>
      <w:sz w:val="36"/>
      <w:szCs w:val="20"/>
    </w:rPr>
  </w:style>
  <w:style w:type="paragraph" w:styleId="23">
    <w:name w:val="List Bullet"/>
    <w:basedOn w:val="1"/>
    <w:qFormat/>
    <w:uiPriority w:val="0"/>
    <w:pPr>
      <w:numPr>
        <w:ilvl w:val="0"/>
        <w:numId w:val="1"/>
      </w:numPr>
      <w:tabs>
        <w:tab w:val="left" w:pos="360"/>
        <w:tab w:val="clear" w:pos="340"/>
      </w:tabs>
      <w:spacing w:line="360" w:lineRule="auto"/>
      <w:ind w:left="0" w:firstLine="360"/>
      <w:jc w:val="left"/>
    </w:pPr>
    <w:rPr>
      <w:rFonts w:ascii="宋体"/>
      <w:kern w:val="24"/>
      <w:sz w:val="24"/>
    </w:rPr>
  </w:style>
  <w:style w:type="paragraph" w:styleId="24">
    <w:name w:val="envelope address"/>
    <w:qFormat/>
    <w:uiPriority w:val="0"/>
    <w:pPr>
      <w:widowControl w:val="0"/>
      <w:snapToGrid w:val="0"/>
      <w:ind w:left="2880"/>
      <w:jc w:val="both"/>
    </w:pPr>
    <w:rPr>
      <w:rFonts w:ascii="Arial" w:hAnsi="Arial" w:eastAsia="宋体" w:cs="Times New Roman"/>
      <w:kern w:val="2"/>
      <w:sz w:val="24"/>
      <w:lang w:val="en-US" w:eastAsia="zh-CN" w:bidi="ar-SA"/>
    </w:rPr>
  </w:style>
  <w:style w:type="paragraph" w:styleId="25">
    <w:name w:val="Document Map"/>
    <w:basedOn w:val="1"/>
    <w:qFormat/>
    <w:uiPriority w:val="0"/>
    <w:pPr>
      <w:shd w:val="clear" w:color="auto" w:fill="000080"/>
    </w:pPr>
  </w:style>
  <w:style w:type="paragraph" w:styleId="26">
    <w:name w:val="toa heading"/>
    <w:basedOn w:val="1"/>
    <w:next w:val="1"/>
    <w:qFormat/>
    <w:uiPriority w:val="0"/>
    <w:pPr>
      <w:spacing w:before="120" w:beforeAutospacing="0"/>
      <w:jc w:val="center"/>
    </w:pPr>
    <w:rPr>
      <w:rFonts w:ascii="Arial" w:hAnsi="Arial"/>
      <w:b/>
      <w:sz w:val="32"/>
    </w:rPr>
  </w:style>
  <w:style w:type="paragraph" w:styleId="27">
    <w:name w:val="annotation text"/>
    <w:next w:val="28"/>
    <w:qFormat/>
    <w:uiPriority w:val="0"/>
    <w:pPr>
      <w:widowControl w:val="0"/>
      <w:jc w:val="both"/>
    </w:pPr>
    <w:rPr>
      <w:rFonts w:ascii="Times New Roman" w:hAnsi="Times New Roman" w:eastAsia="宋体" w:cs="Times New Roman"/>
      <w:sz w:val="24"/>
      <w:lang w:val="en-US" w:eastAsia="zh-CN" w:bidi="ar-SA"/>
    </w:rPr>
  </w:style>
  <w:style w:type="paragraph" w:customStyle="1" w:styleId="28">
    <w:name w:val="正文30"/>
    <w:qFormat/>
    <w:uiPriority w:val="0"/>
    <w:pPr>
      <w:widowControl w:val="0"/>
      <w:jc w:val="both"/>
    </w:pPr>
    <w:rPr>
      <w:rFonts w:ascii="Calibri" w:hAnsi="Calibri" w:eastAsia="宋体" w:cs="Times New Roman"/>
      <w:kern w:val="2"/>
      <w:sz w:val="21"/>
      <w:szCs w:val="22"/>
      <w:lang w:val="en-US" w:eastAsia="zh-CN" w:bidi="ar-SA"/>
    </w:rPr>
  </w:style>
  <w:style w:type="paragraph" w:styleId="29">
    <w:name w:val="Body Text 3"/>
    <w:qFormat/>
    <w:uiPriority w:val="0"/>
    <w:rPr>
      <w:rFonts w:ascii="宋体" w:hAnsi="Times New Roman" w:eastAsia="宋体" w:cs="宋体"/>
      <w:kern w:val="2"/>
      <w:sz w:val="24"/>
      <w:szCs w:val="24"/>
      <w:lang w:val="en-US" w:eastAsia="zh-CN" w:bidi="ar-SA"/>
    </w:rPr>
  </w:style>
  <w:style w:type="paragraph" w:styleId="30">
    <w:name w:val="Body Text"/>
    <w:basedOn w:val="1"/>
    <w:qFormat/>
    <w:uiPriority w:val="0"/>
    <w:pPr>
      <w:widowControl w:val="0"/>
      <w:jc w:val="both"/>
    </w:pPr>
    <w:rPr>
      <w:rFonts w:ascii="Calibri" w:hAnsi="Calibri" w:eastAsia="宋体" w:cs="Times New Roman"/>
      <w:kern w:val="2"/>
      <w:sz w:val="28"/>
      <w:szCs w:val="22"/>
      <w:lang w:val="en-US" w:eastAsia="zh-CN" w:bidi="ar-SA"/>
    </w:rPr>
  </w:style>
  <w:style w:type="paragraph" w:styleId="31">
    <w:name w:val="Body Text Indent"/>
    <w:basedOn w:val="1"/>
    <w:qFormat/>
    <w:uiPriority w:val="0"/>
    <w:pPr>
      <w:widowControl/>
      <w:spacing w:line="360" w:lineRule="auto"/>
      <w:ind w:firstLine="709"/>
      <w:jc w:val="left"/>
    </w:pPr>
    <w:rPr>
      <w:rFonts w:ascii="宋体"/>
      <w:kern w:val="0"/>
      <w:sz w:val="28"/>
      <w:szCs w:val="20"/>
    </w:rPr>
  </w:style>
  <w:style w:type="paragraph" w:styleId="32">
    <w:name w:val="List 2"/>
    <w:basedOn w:val="1"/>
    <w:qFormat/>
    <w:uiPriority w:val="0"/>
    <w:pPr>
      <w:ind w:left="400" w:leftChars="200" w:hanging="200" w:hangingChars="200"/>
    </w:pPr>
  </w:style>
  <w:style w:type="paragraph" w:styleId="33">
    <w:name w:val="Block Text"/>
    <w:basedOn w:val="1"/>
    <w:qFormat/>
    <w:uiPriority w:val="0"/>
    <w:pPr>
      <w:spacing w:after="120"/>
      <w:ind w:left="700" w:leftChars="700" w:right="700" w:rightChars="700"/>
    </w:pPr>
  </w:style>
  <w:style w:type="paragraph" w:styleId="34">
    <w:name w:val="toc 5"/>
    <w:basedOn w:val="1"/>
    <w:next w:val="1"/>
    <w:qFormat/>
    <w:uiPriority w:val="0"/>
    <w:pPr>
      <w:ind w:left="840"/>
      <w:jc w:val="left"/>
    </w:pPr>
    <w:rPr>
      <w:szCs w:val="21"/>
    </w:rPr>
  </w:style>
  <w:style w:type="paragraph" w:styleId="35">
    <w:name w:val="toc 3"/>
    <w:next w:val="1"/>
    <w:qFormat/>
    <w:uiPriority w:val="0"/>
    <w:pPr>
      <w:widowControl w:val="0"/>
      <w:ind w:left="400" w:leftChars="400"/>
      <w:jc w:val="both"/>
    </w:pPr>
    <w:rPr>
      <w:rFonts w:ascii="Times New Roman" w:hAnsi="Times New Roman" w:eastAsia="宋体" w:cs="Times New Roman"/>
      <w:kern w:val="2"/>
      <w:sz w:val="21"/>
      <w:szCs w:val="24"/>
      <w:lang w:val="en-US" w:eastAsia="zh-CN" w:bidi="ar-SA"/>
    </w:rPr>
  </w:style>
  <w:style w:type="paragraph" w:styleId="36">
    <w:name w:val="Plain Text"/>
    <w:basedOn w:val="1"/>
    <w:next w:val="37"/>
    <w:qFormat/>
    <w:uiPriority w:val="0"/>
    <w:rPr>
      <w:rFonts w:ascii="宋体" w:cs="Courier New"/>
      <w:szCs w:val="21"/>
    </w:rPr>
  </w:style>
  <w:style w:type="paragraph" w:customStyle="1" w:styleId="3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8">
    <w:name w:val="toc 8"/>
    <w:basedOn w:val="1"/>
    <w:next w:val="1"/>
    <w:qFormat/>
    <w:uiPriority w:val="0"/>
    <w:pPr>
      <w:ind w:left="1470"/>
      <w:jc w:val="left"/>
    </w:pPr>
    <w:rPr>
      <w:szCs w:val="21"/>
    </w:rPr>
  </w:style>
  <w:style w:type="paragraph" w:styleId="39">
    <w:name w:val="Date"/>
    <w:basedOn w:val="1"/>
    <w:next w:val="1"/>
    <w:qFormat/>
    <w:uiPriority w:val="0"/>
    <w:pPr>
      <w:spacing w:line="360" w:lineRule="auto"/>
      <w:ind w:left="2500" w:leftChars="2500"/>
    </w:pPr>
    <w:rPr>
      <w:sz w:val="24"/>
      <w:szCs w:val="20"/>
    </w:rPr>
  </w:style>
  <w:style w:type="paragraph" w:styleId="40">
    <w:name w:val="Body Text Indent 2"/>
    <w:qFormat/>
    <w:uiPriority w:val="0"/>
    <w:pPr>
      <w:widowControl w:val="0"/>
      <w:ind w:firstLine="586"/>
      <w:jc w:val="both"/>
    </w:pPr>
    <w:rPr>
      <w:rFonts w:ascii="宋体" w:hAnsi="Times New Roman" w:eastAsia="宋体" w:cs="Times New Roman"/>
      <w:kern w:val="2"/>
      <w:sz w:val="21"/>
      <w:szCs w:val="21"/>
      <w:lang w:val="en-US" w:eastAsia="zh-CN" w:bidi="ar-SA"/>
    </w:rPr>
  </w:style>
  <w:style w:type="paragraph" w:styleId="41">
    <w:name w:val="Balloon Text"/>
    <w:basedOn w:val="1"/>
    <w:qFormat/>
    <w:uiPriority w:val="0"/>
    <w:rPr>
      <w:sz w:val="18"/>
      <w:szCs w:val="18"/>
    </w:rPr>
  </w:style>
  <w:style w:type="paragraph" w:styleId="42">
    <w:name w:val="footer"/>
    <w:basedOn w:val="1"/>
    <w:qFormat/>
    <w:uiPriority w:val="0"/>
    <w:pPr>
      <w:widowControl w:val="0"/>
      <w:tabs>
        <w:tab w:val="center" w:pos="4153"/>
        <w:tab w:val="right" w:pos="8306"/>
      </w:tabs>
      <w:adjustRightInd w:val="0"/>
      <w:spacing w:line="240" w:lineRule="atLeast"/>
      <w:textAlignment w:val="baseline"/>
    </w:pPr>
    <w:rPr>
      <w:rFonts w:ascii="Times New Roman" w:hAnsi="Times New Roman" w:eastAsia="宋体" w:cs="Times New Roman"/>
      <w:sz w:val="18"/>
      <w:lang w:val="en-US" w:eastAsia="zh-CN" w:bidi="ar-SA"/>
    </w:rPr>
  </w:style>
  <w:style w:type="paragraph" w:styleId="43">
    <w:name w:val="header"/>
    <w:basedOn w:val="1"/>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44">
    <w:name w:val="toc 1"/>
    <w:next w:val="1"/>
    <w:qFormat/>
    <w:uiPriority w:val="0"/>
    <w:pPr>
      <w:widowControl w:val="0"/>
      <w:spacing w:before="120" w:after="120" w:line="360" w:lineRule="auto"/>
    </w:pPr>
    <w:rPr>
      <w:rFonts w:ascii="Times New Roman" w:hAnsi="Times New Roman" w:eastAsia="宋体" w:cs="Times New Roman"/>
      <w:b/>
      <w:bCs/>
      <w:caps/>
      <w:kern w:val="2"/>
      <w:sz w:val="24"/>
      <w:lang w:val="en-US" w:eastAsia="zh-CN" w:bidi="ar-SA"/>
    </w:rPr>
  </w:style>
  <w:style w:type="paragraph" w:styleId="45">
    <w:name w:val="toc 4"/>
    <w:basedOn w:val="1"/>
    <w:next w:val="1"/>
    <w:qFormat/>
    <w:uiPriority w:val="0"/>
    <w:pPr>
      <w:ind w:left="600" w:leftChars="600"/>
    </w:pPr>
  </w:style>
  <w:style w:type="paragraph" w:styleId="46">
    <w:name w:val="index heading"/>
    <w:basedOn w:val="1"/>
    <w:next w:val="47"/>
    <w:qFormat/>
    <w:uiPriority w:val="0"/>
    <w:rPr>
      <w:szCs w:val="20"/>
    </w:rPr>
  </w:style>
  <w:style w:type="paragraph" w:styleId="47">
    <w:name w:val="index 1"/>
    <w:basedOn w:val="1"/>
    <w:next w:val="1"/>
    <w:qFormat/>
    <w:uiPriority w:val="0"/>
    <w:rPr>
      <w:szCs w:val="20"/>
    </w:rPr>
  </w:style>
  <w:style w:type="paragraph" w:styleId="4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49">
    <w:name w:val="toc 6"/>
    <w:basedOn w:val="1"/>
    <w:next w:val="1"/>
    <w:qFormat/>
    <w:uiPriority w:val="0"/>
    <w:pPr>
      <w:ind w:left="1050"/>
      <w:jc w:val="left"/>
    </w:pPr>
    <w:rPr>
      <w:szCs w:val="21"/>
    </w:rPr>
  </w:style>
  <w:style w:type="paragraph" w:styleId="50">
    <w:name w:val="Body Text Indent 3"/>
    <w:basedOn w:val="1"/>
    <w:qFormat/>
    <w:uiPriority w:val="0"/>
    <w:pPr>
      <w:spacing w:line="360" w:lineRule="auto"/>
      <w:ind w:left="540"/>
    </w:pPr>
    <w:rPr>
      <w:sz w:val="24"/>
      <w:szCs w:val="20"/>
    </w:rPr>
  </w:style>
  <w:style w:type="paragraph" w:styleId="51">
    <w:name w:val="index 9"/>
    <w:basedOn w:val="1"/>
    <w:next w:val="1"/>
    <w:qFormat/>
    <w:uiPriority w:val="0"/>
    <w:pPr>
      <w:ind w:left="1600" w:leftChars="1600"/>
    </w:pPr>
    <w:rPr>
      <w:szCs w:val="20"/>
    </w:rPr>
  </w:style>
  <w:style w:type="paragraph" w:styleId="52">
    <w:name w:val="toc 2"/>
    <w:next w:val="1"/>
    <w:qFormat/>
    <w:uiPriority w:val="0"/>
    <w:pPr>
      <w:widowControl w:val="0"/>
      <w:tabs>
        <w:tab w:val="right" w:leader="dot" w:pos="9344"/>
      </w:tabs>
      <w:spacing w:line="360" w:lineRule="auto"/>
      <w:ind w:left="214" w:leftChars="114" w:hanging="100" w:hangingChars="100"/>
    </w:pPr>
    <w:rPr>
      <w:rFonts w:ascii="宋体" w:hAnsi="Times New Roman" w:eastAsia="宋体" w:cs="Times New Roman"/>
      <w:smallCaps/>
      <w:kern w:val="2"/>
      <w:sz w:val="24"/>
      <w:szCs w:val="24"/>
      <w:lang w:val="en-US" w:eastAsia="zh-CN" w:bidi="ar-SA"/>
    </w:rPr>
  </w:style>
  <w:style w:type="paragraph" w:styleId="53">
    <w:name w:val="toc 9"/>
    <w:basedOn w:val="1"/>
    <w:next w:val="1"/>
    <w:qFormat/>
    <w:uiPriority w:val="0"/>
    <w:pPr>
      <w:ind w:left="1680"/>
      <w:jc w:val="left"/>
    </w:pPr>
    <w:rPr>
      <w:szCs w:val="21"/>
    </w:rPr>
  </w:style>
  <w:style w:type="paragraph" w:styleId="54">
    <w:name w:val="Body Text 2"/>
    <w:basedOn w:val="1"/>
    <w:qFormat/>
    <w:uiPriority w:val="0"/>
    <w:pPr>
      <w:spacing w:after="120" w:line="480" w:lineRule="auto"/>
    </w:pPr>
  </w:style>
  <w:style w:type="paragraph" w:styleId="55">
    <w:name w:val="Normal (Web)"/>
    <w:next w:val="56"/>
    <w:qFormat/>
    <w:uiPriority w:val="0"/>
    <w:pPr>
      <w:widowControl w:val="0"/>
      <w:jc w:val="both"/>
    </w:pPr>
    <w:rPr>
      <w:rFonts w:ascii="Calibri" w:hAnsi="Calibri" w:eastAsia="宋体" w:cs="Times New Roman"/>
      <w:kern w:val="2"/>
      <w:sz w:val="24"/>
      <w:szCs w:val="22"/>
      <w:lang w:val="en-US" w:eastAsia="zh-CN" w:bidi="ar-SA"/>
    </w:rPr>
  </w:style>
  <w:style w:type="paragraph" w:customStyle="1" w:styleId="56">
    <w:name w:val="正文18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7">
    <w:name w:val="Title"/>
    <w:next w:val="58"/>
    <w:qFormat/>
    <w:uiPriority w:val="0"/>
    <w:pPr>
      <w:widowControl w:val="0"/>
      <w:spacing w:before="240" w:after="60"/>
      <w:jc w:val="center"/>
      <w:outlineLvl w:val="0"/>
    </w:pPr>
    <w:rPr>
      <w:rFonts w:ascii="Arial" w:hAnsi="Arial" w:eastAsia="宋体" w:cs="Times New Roman"/>
      <w:b/>
      <w:kern w:val="2"/>
      <w:sz w:val="32"/>
      <w:szCs w:val="24"/>
      <w:lang w:val="en-US" w:eastAsia="zh-CN" w:bidi="ar-SA"/>
    </w:rPr>
  </w:style>
  <w:style w:type="paragraph" w:customStyle="1" w:styleId="58">
    <w:name w:val="xl23"/>
    <w:basedOn w:val="1"/>
    <w:qFormat/>
    <w:uiPriority w:val="0"/>
    <w:pPr>
      <w:widowControl/>
      <w:spacing w:before="100" w:beforeAutospacing="1" w:after="100" w:afterAutospacing="1" w:line="360" w:lineRule="auto"/>
      <w:textAlignment w:val="top"/>
    </w:pPr>
    <w:rPr>
      <w:kern w:val="0"/>
      <w:sz w:val="24"/>
    </w:rPr>
  </w:style>
  <w:style w:type="paragraph" w:styleId="59">
    <w:name w:val="annotation subject"/>
    <w:next w:val="27"/>
    <w:qFormat/>
    <w:uiPriority w:val="0"/>
    <w:pPr>
      <w:widowControl w:val="0"/>
      <w:jc w:val="both"/>
    </w:pPr>
    <w:rPr>
      <w:rFonts w:ascii="Times New Roman" w:hAnsi="Times New Roman" w:eastAsia="宋体" w:cs="Times New Roman"/>
      <w:b/>
      <w:bCs/>
      <w:sz w:val="24"/>
      <w:lang w:val="en-US" w:eastAsia="zh-CN" w:bidi="ar-SA"/>
    </w:rPr>
  </w:style>
  <w:style w:type="paragraph" w:styleId="60">
    <w:name w:val="Body Text First Indent"/>
    <w:basedOn w:val="30"/>
    <w:qFormat/>
    <w:uiPriority w:val="0"/>
    <w:pPr>
      <w:spacing w:after="120"/>
      <w:ind w:firstLine="100" w:firstLineChars="100"/>
    </w:pPr>
    <w:rPr>
      <w:rFonts w:ascii="Times New Roman" w:hAnsi="Times New Roman"/>
      <w:sz w:val="21"/>
    </w:rPr>
  </w:style>
  <w:style w:type="paragraph" w:styleId="61">
    <w:name w:val="Body Text First Indent 2"/>
    <w:basedOn w:val="31"/>
    <w:qFormat/>
    <w:uiPriority w:val="0"/>
    <w:pPr>
      <w:widowControl w:val="0"/>
      <w:spacing w:after="120" w:line="240" w:lineRule="auto"/>
      <w:ind w:left="200" w:leftChars="200" w:firstLine="200" w:firstLineChars="200"/>
      <w:jc w:val="both"/>
    </w:pPr>
    <w:rPr>
      <w:rFonts w:ascii="Times New Roman"/>
      <w:kern w:val="2"/>
      <w:sz w:val="21"/>
      <w:szCs w:val="24"/>
    </w:rPr>
  </w:style>
  <w:style w:type="character" w:styleId="64">
    <w:name w:val="Strong"/>
    <w:qFormat/>
    <w:uiPriority w:val="0"/>
    <w:rPr>
      <w:b/>
    </w:rPr>
  </w:style>
  <w:style w:type="character" w:styleId="65">
    <w:name w:val="page number"/>
    <w:basedOn w:val="63"/>
    <w:qFormat/>
    <w:uiPriority w:val="0"/>
  </w:style>
  <w:style w:type="character" w:styleId="66">
    <w:name w:val="FollowedHyperlink"/>
    <w:qFormat/>
    <w:uiPriority w:val="0"/>
    <w:rPr>
      <w:color w:val="800080"/>
      <w:u w:val="single"/>
    </w:rPr>
  </w:style>
  <w:style w:type="character" w:styleId="67">
    <w:name w:val="Hyperlink"/>
    <w:qFormat/>
    <w:uiPriority w:val="0"/>
    <w:rPr>
      <w:color w:val="0000FF"/>
      <w:u w:val="single"/>
    </w:rPr>
  </w:style>
  <w:style w:type="character" w:styleId="68">
    <w:name w:val="annotation reference"/>
    <w:qFormat/>
    <w:uiPriority w:val="0"/>
    <w:rPr>
      <w:sz w:val="21"/>
      <w:szCs w:val="21"/>
    </w:rPr>
  </w:style>
  <w:style w:type="paragraph" w:customStyle="1" w:styleId="69">
    <w:name w:val="样式 62 10 磅"/>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0">
    <w:name w:val="正文文本缩进 Char"/>
    <w:qFormat/>
    <w:uiPriority w:val="0"/>
    <w:rPr>
      <w:rFonts w:eastAsia="宋体"/>
      <w:kern w:val="2"/>
      <w:sz w:val="32"/>
      <w:lang w:val="en-US" w:eastAsia="zh-CN"/>
    </w:rPr>
  </w:style>
  <w:style w:type="character" w:customStyle="1" w:styleId="71">
    <w:name w:val="标题 4 Char1 Char"/>
    <w:qFormat/>
    <w:uiPriority w:val="0"/>
    <w:rPr>
      <w:rFonts w:ascii="Arial" w:hAnsi="Arial" w:eastAsia="黑体"/>
      <w:b/>
      <w:kern w:val="2"/>
      <w:sz w:val="28"/>
      <w:lang w:val="en-US" w:eastAsia="zh-CN"/>
    </w:rPr>
  </w:style>
  <w:style w:type="character" w:customStyle="1" w:styleId="72">
    <w:name w:val="纯文本 Char1"/>
    <w:qFormat/>
    <w:uiPriority w:val="0"/>
    <w:rPr>
      <w:rFonts w:ascii="宋体" w:eastAsia="宋体" w:cs="Courier New"/>
      <w:kern w:val="2"/>
      <w:sz w:val="24"/>
      <w:szCs w:val="21"/>
      <w:lang w:val="en-US" w:eastAsia="zh-CN" w:bidi="ar-SA"/>
    </w:rPr>
  </w:style>
  <w:style w:type="character" w:customStyle="1" w:styleId="73">
    <w:name w:val="chanpin1"/>
    <w:qFormat/>
    <w:uiPriority w:val="0"/>
    <w:rPr>
      <w:rFonts w:ascii="??" w:hAnsi="??"/>
      <w:color w:val="000000"/>
      <w:sz w:val="20"/>
      <w:u w:val="none"/>
    </w:rPr>
  </w:style>
  <w:style w:type="character" w:customStyle="1" w:styleId="74">
    <w:name w:val="题注(图注) Char Char1"/>
    <w:qFormat/>
    <w:uiPriority w:val="0"/>
    <w:rPr>
      <w:rFonts w:ascii="Arial" w:hAnsi="Arial" w:eastAsia="黑体"/>
      <w:snapToGrid w:val="0"/>
      <w:lang w:val="en-US" w:eastAsia="zh-CN"/>
    </w:rPr>
  </w:style>
  <w:style w:type="character" w:customStyle="1" w:styleId="75">
    <w:name w:val="标题 3 Char"/>
    <w:qFormat/>
    <w:uiPriority w:val="0"/>
    <w:rPr>
      <w:rFonts w:eastAsia="宋体"/>
      <w:b/>
      <w:kern w:val="2"/>
      <w:sz w:val="32"/>
      <w:lang w:val="en-US" w:eastAsia="zh-CN"/>
    </w:rPr>
  </w:style>
  <w:style w:type="character" w:customStyle="1" w:styleId="76">
    <w:name w:val="标题 2 Char"/>
    <w:qFormat/>
    <w:uiPriority w:val="0"/>
    <w:rPr>
      <w:rFonts w:ascii="Arial" w:hAnsi="Arial" w:eastAsia="黑体"/>
      <w:b/>
      <w:kern w:val="2"/>
      <w:sz w:val="32"/>
      <w:lang w:val="en-US" w:eastAsia="zh-CN"/>
    </w:rPr>
  </w:style>
  <w:style w:type="character" w:customStyle="1" w:styleId="77">
    <w:name w:val="chanpin拷贝"/>
    <w:qFormat/>
    <w:uiPriority w:val="0"/>
  </w:style>
  <w:style w:type="character" w:customStyle="1" w:styleId="78">
    <w:name w:val="c21"/>
    <w:qFormat/>
    <w:uiPriority w:val="0"/>
    <w:rPr>
      <w:rFonts w:ascii="??" w:hAnsi="??"/>
      <w:color w:val="000000"/>
      <w:sz w:val="20"/>
      <w:u w:val="none"/>
    </w:rPr>
  </w:style>
  <w:style w:type="character" w:customStyle="1" w:styleId="79">
    <w:name w:val="style11"/>
    <w:qFormat/>
    <w:uiPriority w:val="0"/>
    <w:rPr>
      <w:color w:val="004B99"/>
    </w:rPr>
  </w:style>
  <w:style w:type="character" w:customStyle="1" w:styleId="80">
    <w:name w:val="标题 2 Char Char Char"/>
    <w:qFormat/>
    <w:uiPriority w:val="0"/>
    <w:rPr>
      <w:rFonts w:ascii="Arial" w:hAnsi="Arial" w:eastAsia="黑体"/>
      <w:b/>
      <w:kern w:val="2"/>
      <w:sz w:val="32"/>
      <w:lang w:val="en-US" w:eastAsia="zh-CN"/>
    </w:rPr>
  </w:style>
  <w:style w:type="character" w:customStyle="1" w:styleId="81">
    <w:name w:val="zengping"/>
    <w:qFormat/>
    <w:uiPriority w:val="0"/>
    <w:rPr>
      <w:rFonts w:ascii="Arial" w:hAnsi="Arial" w:eastAsia="宋体"/>
      <w:color w:val="auto"/>
      <w:sz w:val="20"/>
    </w:rPr>
  </w:style>
  <w:style w:type="character" w:customStyle="1" w:styleId="82">
    <w:name w:val="Char Char3"/>
    <w:qFormat/>
    <w:uiPriority w:val="0"/>
    <w:rPr>
      <w:rFonts w:ascii="宋体" w:eastAsia="宋体"/>
      <w:kern w:val="2"/>
      <w:sz w:val="21"/>
      <w:lang w:val="en-US" w:eastAsia="zh-CN"/>
    </w:rPr>
  </w:style>
  <w:style w:type="character" w:customStyle="1" w:styleId="83">
    <w:name w:val="批注引用_0"/>
    <w:qFormat/>
    <w:uiPriority w:val="0"/>
    <w:rPr>
      <w:sz w:val="21"/>
      <w:szCs w:val="21"/>
    </w:rPr>
  </w:style>
  <w:style w:type="paragraph" w:customStyle="1" w:styleId="84">
    <w:name w:val="样式 26 10 磅"/>
    <w:next w:val="8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5">
    <w:name w:val="样式 1 10 磅"/>
    <w:next w:val="8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列出段落_0"/>
    <w:next w:val="1"/>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88">
    <w:name w:val="样式 100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9">
    <w:name w:val="正文7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样式 109 10 磅"/>
    <w:next w:val="9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1">
    <w:name w:val="样式 109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样式 15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93">
    <w:name w:val="样式 10 10 磅"/>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4">
    <w:name w:val="Char Char1 Char Char Char Char Char Char"/>
    <w:basedOn w:val="1"/>
    <w:qFormat/>
    <w:uiPriority w:val="0"/>
    <w:pPr>
      <w:tabs>
        <w:tab w:val="left" w:pos="360"/>
      </w:tabs>
      <w:ind w:firstLine="150" w:firstLineChars="150"/>
    </w:pPr>
    <w:rPr>
      <w:rFonts w:ascii="Arial" w:hAnsi="Arial" w:cs="Arial"/>
      <w:sz w:val="20"/>
      <w:szCs w:val="20"/>
    </w:rPr>
  </w:style>
  <w:style w:type="paragraph" w:customStyle="1" w:styleId="95">
    <w:name w:val="07-E3-标题三"/>
    <w:qFormat/>
    <w:uiPriority w:val="0"/>
    <w:pPr>
      <w:keepNext/>
      <w:keepLines/>
      <w:widowControl w:val="0"/>
      <w:numPr>
        <w:ilvl w:val="2"/>
        <w:numId w:val="2"/>
      </w:numPr>
      <w:spacing w:before="260" w:after="260" w:line="415" w:lineRule="auto"/>
      <w:jc w:val="both"/>
      <w:outlineLvl w:val="2"/>
    </w:pPr>
    <w:rPr>
      <w:rFonts w:ascii="Times New Roman" w:hAnsi="Times New Roman" w:eastAsia="黑体" w:cs="Times New Roman"/>
      <w:b/>
      <w:bCs/>
      <w:kern w:val="2"/>
      <w:sz w:val="24"/>
      <w:szCs w:val="24"/>
      <w:lang w:val="en-US" w:eastAsia="zh-CN" w:bidi="ar-SA"/>
    </w:rPr>
  </w:style>
  <w:style w:type="paragraph" w:customStyle="1" w:styleId="96">
    <w:name w:val="样式 4 10 磅"/>
    <w:next w:val="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正文5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
    <w:name w:val="正文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
    <w:name w:val="正文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正文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List Paragraph1"/>
    <w:basedOn w:val="1"/>
    <w:qFormat/>
    <w:uiPriority w:val="0"/>
    <w:pPr>
      <w:ind w:firstLine="200" w:firstLineChars="200"/>
    </w:pPr>
  </w:style>
  <w:style w:type="paragraph" w:customStyle="1" w:styleId="102">
    <w:name w:val="正文1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页脚_0"/>
    <w:next w:val="46"/>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customStyle="1" w:styleId="104">
    <w:name w:val="标书正文"/>
    <w:basedOn w:val="1"/>
    <w:qFormat/>
    <w:uiPriority w:val="0"/>
    <w:pPr>
      <w:spacing w:before="100" w:after="100" w:line="360" w:lineRule="auto"/>
      <w:jc w:val="center"/>
    </w:pPr>
    <w:rPr>
      <w:rFonts w:ascii="宋体"/>
      <w:spacing w:val="20"/>
      <w:szCs w:val="20"/>
    </w:rPr>
  </w:style>
  <w:style w:type="paragraph" w:customStyle="1" w:styleId="105">
    <w:name w:val="样式 53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6">
    <w:name w:val="正文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样式 14 10 磅"/>
    <w:next w:val="108"/>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8">
    <w:name w:val="默认段落字体 Para Char Char"/>
    <w:basedOn w:val="1"/>
    <w:qFormat/>
    <w:uiPriority w:val="0"/>
    <w:pPr>
      <w:spacing w:line="360" w:lineRule="auto"/>
      <w:ind w:firstLine="200" w:firstLineChars="200"/>
    </w:pPr>
    <w:rPr>
      <w:rFonts w:ascii="Tahoma" w:hAnsi="Tahoma"/>
      <w:sz w:val="24"/>
      <w:szCs w:val="20"/>
    </w:rPr>
  </w:style>
  <w:style w:type="paragraph" w:customStyle="1" w:styleId="109">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0">
    <w:name w:val="样式 18 10 磅"/>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1">
    <w:name w:val="正文7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
    <w:name w:val="样式 2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
    <w:name w:val="正文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样式 75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eastAsia="Arial Unicode MS" w:cs="Arial Unicode MS"/>
      <w:b/>
      <w:bCs/>
      <w:color w:val="000000"/>
      <w:kern w:val="0"/>
      <w:sz w:val="20"/>
      <w:szCs w:val="20"/>
    </w:rPr>
  </w:style>
  <w:style w:type="paragraph" w:customStyle="1" w:styleId="116">
    <w:name w:val="正文缩进_0"/>
    <w:next w:val="12"/>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17">
    <w:name w:val="Char2"/>
    <w:basedOn w:val="1"/>
    <w:qFormat/>
    <w:uiPriority w:val="0"/>
    <w:rPr>
      <w:rFonts w:ascii="Tahoma" w:hAnsi="Tahoma"/>
      <w:sz w:val="24"/>
      <w:szCs w:val="20"/>
    </w:rPr>
  </w:style>
  <w:style w:type="paragraph" w:customStyle="1" w:styleId="118">
    <w:name w:val="正文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样式 12 10 磅"/>
    <w:next w:val="12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0">
    <w:name w:val="n"/>
    <w:basedOn w:val="1"/>
    <w:qFormat/>
    <w:uiPriority w:val="0"/>
    <w:pPr>
      <w:autoSpaceDE w:val="0"/>
      <w:autoSpaceDN w:val="0"/>
      <w:adjustRightInd w:val="0"/>
      <w:spacing w:line="400" w:lineRule="atLeast"/>
      <w:textAlignment w:val="baseline"/>
    </w:pPr>
    <w:rPr>
      <w:rFonts w:ascii="宋体"/>
      <w:kern w:val="0"/>
      <w:sz w:val="24"/>
      <w:szCs w:val="20"/>
    </w:rPr>
  </w:style>
  <w:style w:type="paragraph" w:customStyle="1" w:styleId="121">
    <w:name w:val="样式 10 磅"/>
    <w:next w:val="12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123">
    <w:name w:val="样式 4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4">
    <w:name w:val="样式3"/>
    <w:basedOn w:val="1"/>
    <w:qFormat/>
    <w:uiPriority w:val="0"/>
    <w:pPr>
      <w:spacing w:line="300" w:lineRule="auto"/>
    </w:pPr>
    <w:rPr>
      <w:rFonts w:ascii="宋体"/>
      <w:sz w:val="24"/>
    </w:rPr>
  </w:style>
  <w:style w:type="paragraph" w:customStyle="1" w:styleId="125">
    <w:name w:val="正文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正文7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正文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样式 112 10 磅"/>
    <w:qFormat/>
    <w:uiPriority w:val="0"/>
    <w:rPr>
      <w:rFonts w:ascii="Times New Roman" w:hAnsi="Times New Roman" w:eastAsia="宋体" w:cs="Times New Roman"/>
      <w:sz w:val="21"/>
      <w:szCs w:val="21"/>
      <w:lang w:val="en-US" w:eastAsia="zh-CN" w:bidi="ar-SA"/>
    </w:rPr>
  </w:style>
  <w:style w:type="paragraph" w:customStyle="1" w:styleId="129">
    <w:name w:val="样式 56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0">
    <w:name w:val="正文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1">
    <w:name w:val="正文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
    <w:name w:val="列出段落11"/>
    <w:basedOn w:val="1"/>
    <w:qFormat/>
    <w:uiPriority w:val="0"/>
    <w:pPr>
      <w:ind w:left="720"/>
      <w:contextualSpacing/>
    </w:pPr>
    <w:rPr>
      <w:rFonts w:ascii="Calibri" w:hAnsi="Calibri" w:cs="Arial"/>
      <w:szCs w:val="22"/>
    </w:rPr>
  </w:style>
  <w:style w:type="paragraph" w:customStyle="1" w:styleId="133">
    <w:name w:val="xl37"/>
    <w:basedOn w:val="1"/>
    <w:qFormat/>
    <w:uiPriority w:val="0"/>
    <w:pPr>
      <w:widowControl/>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134">
    <w:name w:val="正文1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样式 6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36">
    <w:name w:val="正文5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正文7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
    <w:name w:val="样式 小五1"/>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customStyle="1" w:styleId="139">
    <w:name w:val="正文4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正文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1">
    <w:name w:val="正文7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正文5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
    <w:name w:val="列表－视讯"/>
    <w:basedOn w:val="20"/>
    <w:qFormat/>
    <w:uiPriority w:val="0"/>
    <w:pPr>
      <w:tabs>
        <w:tab w:val="left" w:pos="360"/>
      </w:tabs>
      <w:adjustRightInd w:val="0"/>
      <w:spacing w:line="360" w:lineRule="atLeast"/>
      <w:ind w:left="200" w:hanging="200" w:hangingChars="200"/>
      <w:textAlignment w:val="baseline"/>
    </w:pPr>
    <w:rPr>
      <w:sz w:val="24"/>
    </w:rPr>
  </w:style>
  <w:style w:type="paragraph" w:customStyle="1" w:styleId="14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eastAsia="Arial Unicode MS" w:cs="Arial Unicode MS"/>
      <w:b/>
      <w:bCs/>
      <w:color w:val="000000"/>
      <w:kern w:val="0"/>
      <w:sz w:val="16"/>
      <w:szCs w:val="16"/>
    </w:rPr>
  </w:style>
  <w:style w:type="paragraph" w:customStyle="1" w:styleId="14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eastAsia="Arial Unicode MS" w:cs="Arial Unicode MS"/>
      <w:b/>
      <w:bCs/>
      <w:color w:val="000000"/>
      <w:kern w:val="0"/>
      <w:sz w:val="20"/>
      <w:szCs w:val="20"/>
    </w:rPr>
  </w:style>
  <w:style w:type="paragraph" w:customStyle="1" w:styleId="146">
    <w:name w:val="Char Char5"/>
    <w:basedOn w:val="1"/>
    <w:qFormat/>
    <w:uiPriority w:val="0"/>
    <w:rPr>
      <w:rFonts w:ascii="Tahoma" w:hAnsi="Tahoma"/>
      <w:sz w:val="24"/>
      <w:szCs w:val="20"/>
    </w:rPr>
  </w:style>
  <w:style w:type="paragraph" w:customStyle="1" w:styleId="147">
    <w:name w:val="正文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样式 97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9">
    <w:name w:val="正文7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正文5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
    <w:name w:val="正文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2">
    <w:name w:val="样式 4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3">
    <w:name w:val="样式 63 10 磅"/>
    <w:next w:val="15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4">
    <w:name w:val="正文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正文7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
    <w:name w:val="正文1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
    <w:name w:val="样式 16 10 磅"/>
    <w:next w:val="158"/>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8">
    <w:name w:val="样式2"/>
    <w:next w:val="159"/>
    <w:qFormat/>
    <w:uiPriority w:val="0"/>
    <w:pPr>
      <w:widowControl w:val="0"/>
      <w:spacing w:line="300" w:lineRule="auto"/>
      <w:jc w:val="center"/>
      <w:outlineLvl w:val="0"/>
    </w:pPr>
    <w:rPr>
      <w:rFonts w:ascii="Times New Roman" w:hAnsi="Times New Roman" w:eastAsia="宋体" w:cs="Times New Roman"/>
      <w:b/>
      <w:kern w:val="2"/>
      <w:sz w:val="24"/>
      <w:szCs w:val="24"/>
      <w:lang w:val="en-US" w:eastAsia="zh-CN" w:bidi="ar-SA"/>
    </w:rPr>
  </w:style>
  <w:style w:type="paragraph" w:customStyle="1" w:styleId="159">
    <w:name w:val="正文1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5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Char Char2 Char Char"/>
    <w:basedOn w:val="1"/>
    <w:qFormat/>
    <w:uiPriority w:val="0"/>
    <w:pPr>
      <w:tabs>
        <w:tab w:val="left" w:pos="360"/>
      </w:tabs>
      <w:ind w:firstLine="150" w:firstLineChars="150"/>
    </w:pPr>
    <w:rPr>
      <w:rFonts w:ascii="Arial" w:hAnsi="Arial" w:cs="Arial"/>
      <w:sz w:val="20"/>
      <w:szCs w:val="20"/>
    </w:rPr>
  </w:style>
  <w:style w:type="paragraph" w:customStyle="1" w:styleId="162">
    <w:name w:val="正文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样式 38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4">
    <w:name w:val="样式 115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65">
    <w:name w:val="正文5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样式 59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7">
    <w:name w:val="正文5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7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样式 小五"/>
    <w:next w:val="138"/>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customStyle="1" w:styleId="170">
    <w:name w:val="正文4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72">
    <w:name w:val="正文7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样式 99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4">
    <w:name w:val="正文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样式 2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76">
    <w:name w:val="正文5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样式 116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8">
    <w:name w:val="正文4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样式 28 10 磅"/>
    <w:next w:val="18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0">
    <w:name w:val="样式 87 10 磅"/>
    <w:next w:val="1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正文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2">
    <w:name w:val="正文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3">
    <w:name w:val="样式 41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4">
    <w:name w:val="样式 68 10 磅"/>
    <w:next w:val="18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5">
    <w:name w:val="样式 68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6">
    <w:name w:val="正文5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样式4"/>
    <w:basedOn w:val="1"/>
    <w:qFormat/>
    <w:uiPriority w:val="0"/>
    <w:pPr>
      <w:jc w:val="center"/>
      <w:outlineLvl w:val="0"/>
    </w:pPr>
    <w:rPr>
      <w:b/>
      <w:sz w:val="32"/>
      <w:szCs w:val="20"/>
    </w:rPr>
  </w:style>
  <w:style w:type="paragraph" w:customStyle="1" w:styleId="188">
    <w:name w:val="样式 78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9">
    <w:name w:val="正文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0">
    <w:name w:val="正文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1">
    <w:name w:val="正文5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样式5"/>
    <w:basedOn w:val="2"/>
    <w:qFormat/>
    <w:uiPriority w:val="0"/>
    <w:pPr>
      <w:spacing w:line="360" w:lineRule="exact"/>
      <w:jc w:val="center"/>
    </w:pPr>
    <w:rPr>
      <w:rFonts w:ascii="宋体"/>
      <w:b w:val="0"/>
      <w:bCs/>
      <w:sz w:val="21"/>
      <w:szCs w:val="21"/>
    </w:rPr>
  </w:style>
  <w:style w:type="paragraph" w:customStyle="1" w:styleId="193">
    <w:name w:val="正文4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样式 40 10 磅"/>
    <w:next w:val="1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正文5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
    <w:name w:val="正文5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优先级：高"/>
    <w:basedOn w:val="21"/>
    <w:qFormat/>
    <w:uiPriority w:val="0"/>
    <w:pPr>
      <w:spacing w:line="240" w:lineRule="auto"/>
      <w:ind w:firstLine="0" w:firstLineChars="0"/>
    </w:pPr>
    <w:rPr>
      <w:b/>
      <w:color w:val="FF0000"/>
      <w:sz w:val="21"/>
    </w:rPr>
  </w:style>
  <w:style w:type="paragraph" w:customStyle="1" w:styleId="198">
    <w:name w:val="正文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正文5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正文5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样式 7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eastAsia="Arial Unicode MS" w:cs="Arial Unicode MS"/>
      <w:b/>
      <w:bCs/>
      <w:color w:val="000000"/>
      <w:kern w:val="0"/>
      <w:sz w:val="32"/>
      <w:szCs w:val="32"/>
    </w:rPr>
  </w:style>
  <w:style w:type="paragraph" w:customStyle="1" w:styleId="203">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204">
    <w:name w:val="默认段落字体 Para Char"/>
    <w:basedOn w:val="1"/>
    <w:qFormat/>
    <w:uiPriority w:val="0"/>
    <w:pPr>
      <w:adjustRightInd w:val="0"/>
      <w:spacing w:line="360" w:lineRule="auto"/>
    </w:pPr>
    <w:rPr>
      <w:kern w:val="0"/>
      <w:sz w:val="24"/>
      <w:szCs w:val="20"/>
    </w:rPr>
  </w:style>
  <w:style w:type="paragraph" w:customStyle="1" w:styleId="20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06">
    <w:name w:val="样式 42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7">
    <w:name w:val="样式 95 10 磅"/>
    <w:next w:val="2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8">
    <w:name w:val="样式 105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9">
    <w:name w:val="优先级：中"/>
    <w:basedOn w:val="21"/>
    <w:qFormat/>
    <w:uiPriority w:val="0"/>
    <w:pPr>
      <w:spacing w:line="240" w:lineRule="auto"/>
      <w:ind w:firstLine="0" w:firstLineChars="0"/>
    </w:pPr>
    <w:rPr>
      <w:color w:val="0000FF"/>
      <w:sz w:val="21"/>
    </w:rPr>
  </w:style>
  <w:style w:type="paragraph" w:customStyle="1" w:styleId="210">
    <w:name w:val="正文5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Char1"/>
    <w:basedOn w:val="1"/>
    <w:qFormat/>
    <w:uiPriority w:val="0"/>
    <w:pPr>
      <w:tabs>
        <w:tab w:val="left" w:pos="360"/>
      </w:tabs>
    </w:pPr>
    <w:rPr>
      <w:sz w:val="24"/>
    </w:rPr>
  </w:style>
  <w:style w:type="paragraph" w:customStyle="1" w:styleId="212">
    <w:name w:val="正文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214">
    <w:name w:val="正文6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正文1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
    <w:name w:val="正文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7">
    <w:name w:val="大标题下的概括说明文字"/>
    <w:basedOn w:val="1"/>
    <w:qFormat/>
    <w:uiPriority w:val="0"/>
    <w:pPr>
      <w:tabs>
        <w:tab w:val="left" w:pos="780"/>
      </w:tabs>
      <w:spacing w:line="360" w:lineRule="auto"/>
      <w:ind w:left="780" w:hanging="360"/>
    </w:pPr>
    <w:rPr>
      <w:rFonts w:ascii="宋体"/>
      <w:color w:val="000000"/>
      <w:sz w:val="28"/>
    </w:rPr>
  </w:style>
  <w:style w:type="paragraph" w:customStyle="1" w:styleId="218">
    <w:name w:val="正文4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样式 86 10 磅"/>
    <w:next w:val="2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0">
    <w:name w:val="样式 标题 2 + 右侧:  1.2 厘米 行距: 单倍行距"/>
    <w:basedOn w:val="3"/>
    <w:qFormat/>
    <w:uiPriority w:val="0"/>
    <w:pPr>
      <w:spacing w:line="240" w:lineRule="auto"/>
      <w:ind w:right="680"/>
    </w:pPr>
    <w:rPr>
      <w:rFonts w:ascii="Arial" w:hAnsi="Arial" w:eastAsia="黑体" w:cs="宋体"/>
    </w:rPr>
  </w:style>
  <w:style w:type="paragraph" w:customStyle="1" w:styleId="221">
    <w:name w:val="正文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样式 98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23">
    <w:name w:val="正文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4">
    <w:name w:val="正文7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正文5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样式 四号"/>
    <w:qFormat/>
    <w:uiPriority w:val="0"/>
    <w:pPr>
      <w:widowControl w:val="0"/>
      <w:ind w:firstLine="200"/>
      <w:jc w:val="both"/>
    </w:pPr>
    <w:rPr>
      <w:rFonts w:ascii="宋体" w:hAnsi="Times New Roman" w:eastAsia="宋体" w:cs="Times New Roman"/>
      <w:bCs/>
      <w:sz w:val="28"/>
      <w:szCs w:val="28"/>
      <w:lang w:val="en-US" w:eastAsia="zh-CN" w:bidi="ar-SA"/>
    </w:rPr>
  </w:style>
  <w:style w:type="paragraph" w:customStyle="1" w:styleId="227">
    <w:name w:val="正文4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正文1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正文5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样式 6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1">
    <w:name w:val="正文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正文5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样式 120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4">
    <w:name w:val="正文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5">
    <w:name w:val="样式 65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6">
    <w:name w:val="默认段落字体 Para Char Char Char Char"/>
    <w:basedOn w:val="1"/>
    <w:qFormat/>
    <w:uiPriority w:val="0"/>
    <w:rPr>
      <w:rFonts w:ascii="Arial" w:hAnsi="Arial" w:cs="Arial"/>
      <w:szCs w:val="21"/>
    </w:rPr>
  </w:style>
  <w:style w:type="paragraph" w:customStyle="1" w:styleId="237">
    <w:name w:val="正文5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Char Char"/>
    <w:basedOn w:val="1"/>
    <w:qFormat/>
    <w:uiPriority w:val="0"/>
    <w:pPr>
      <w:tabs>
        <w:tab w:val="left" w:pos="360"/>
      </w:tabs>
      <w:ind w:firstLine="150" w:firstLineChars="150"/>
    </w:pPr>
    <w:rPr>
      <w:rFonts w:ascii="Arial" w:hAnsi="Arial" w:cs="Arial"/>
      <w:sz w:val="20"/>
      <w:szCs w:val="20"/>
    </w:rPr>
  </w:style>
  <w:style w:type="paragraph" w:customStyle="1" w:styleId="239">
    <w:name w:val="正文5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0">
    <w:name w:val="正文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242">
    <w:name w:val="正文9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正文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4">
    <w:name w:val="列出段落1"/>
    <w:basedOn w:val="1"/>
    <w:qFormat/>
    <w:uiPriority w:val="0"/>
    <w:pPr>
      <w:adjustRightInd w:val="0"/>
      <w:spacing w:line="360" w:lineRule="atLeast"/>
      <w:ind w:firstLine="200" w:firstLineChars="200"/>
      <w:jc w:val="left"/>
      <w:textAlignment w:val="baseline"/>
    </w:pPr>
    <w:rPr>
      <w:kern w:val="0"/>
      <w:sz w:val="24"/>
      <w:szCs w:val="20"/>
    </w:rPr>
  </w:style>
  <w:style w:type="paragraph" w:customStyle="1" w:styleId="245">
    <w:name w:val="正文_2_0"/>
    <w:next w:val="41"/>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246">
    <w:name w:val="正文5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修订1"/>
    <w:qFormat/>
    <w:uiPriority w:val="0"/>
    <w:rPr>
      <w:rFonts w:ascii="Times New Roman" w:hAnsi="Times New Roman" w:eastAsia="宋体" w:cs="Times New Roman"/>
      <w:kern w:val="2"/>
      <w:sz w:val="21"/>
      <w:szCs w:val="24"/>
      <w:lang w:val="en-US" w:eastAsia="zh-CN" w:bidi="ar-SA"/>
    </w:rPr>
  </w:style>
  <w:style w:type="paragraph" w:customStyle="1" w:styleId="248">
    <w:name w:val="CSS1级正文"/>
    <w:basedOn w:val="30"/>
    <w:qFormat/>
    <w:uiPriority w:val="0"/>
    <w:pPr>
      <w:adjustRightInd w:val="0"/>
      <w:snapToGrid w:val="0"/>
      <w:ind w:firstLine="200" w:firstLineChars="200"/>
    </w:pPr>
    <w:rPr>
      <w:rFonts w:ascii="Times New Roman" w:hAnsi="Times New Roman" w:cs="宋体"/>
    </w:rPr>
  </w:style>
  <w:style w:type="paragraph" w:customStyle="1" w:styleId="249">
    <w:name w:val="正文5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标题 1A"/>
    <w:basedOn w:val="1"/>
    <w:qFormat/>
    <w:uiPriority w:val="0"/>
    <w:pPr>
      <w:widowControl/>
      <w:spacing w:before="120" w:line="360" w:lineRule="auto"/>
    </w:pPr>
    <w:rPr>
      <w:kern w:val="0"/>
      <w:sz w:val="24"/>
      <w:szCs w:val="20"/>
    </w:rPr>
  </w:style>
  <w:style w:type="paragraph" w:customStyle="1" w:styleId="251">
    <w:name w:val="样式 23 10 磅"/>
    <w:next w:val="25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52">
    <w:name w:val="Char Char Char Char"/>
    <w:basedOn w:val="1"/>
    <w:qFormat/>
    <w:uiPriority w:val="0"/>
    <w:rPr>
      <w:rFonts w:ascii="Tahoma" w:hAnsi="Tahoma"/>
      <w:sz w:val="24"/>
      <w:szCs w:val="20"/>
    </w:rPr>
  </w:style>
  <w:style w:type="paragraph" w:customStyle="1" w:styleId="253">
    <w:name w:val="正文5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4">
    <w:name w:val="正文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5">
    <w:name w:val="正文4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样式 60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7">
    <w:name w:val="样式 左 首行缩进:  1.06 厘米 行距: 1.5 倍行距"/>
    <w:basedOn w:val="1"/>
    <w:qFormat/>
    <w:uiPriority w:val="0"/>
    <w:pPr>
      <w:ind w:firstLine="601"/>
      <w:jc w:val="left"/>
    </w:pPr>
    <w:rPr>
      <w:rFonts w:cs="宋体"/>
      <w:sz w:val="24"/>
      <w:szCs w:val="20"/>
    </w:rPr>
  </w:style>
  <w:style w:type="paragraph" w:customStyle="1" w:styleId="258">
    <w:name w:val="样式 73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9">
    <w:name w:val="样式 93 10 磅"/>
    <w:next w:val="2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0">
    <w:name w:val="样式 88 10 磅"/>
    <w:next w:val="26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1">
    <w:name w:val="样式 18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262">
    <w:name w:val="优先级：低"/>
    <w:basedOn w:val="21"/>
    <w:qFormat/>
    <w:uiPriority w:val="0"/>
    <w:pPr>
      <w:spacing w:line="240" w:lineRule="auto"/>
      <w:ind w:firstLine="0" w:firstLineChars="0"/>
    </w:pPr>
    <w:rPr>
      <w:color w:val="808080"/>
      <w:sz w:val="21"/>
      <w:szCs w:val="21"/>
    </w:rPr>
  </w:style>
  <w:style w:type="paragraph" w:customStyle="1" w:styleId="263">
    <w:name w:val="正文5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4">
    <w:name w:val="正文7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5">
    <w:name w:val="样式 25 10 磅"/>
    <w:next w:val="23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6">
    <w:name w:val="正文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正文5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8">
    <w:name w:val="样式 1 四号"/>
    <w:next w:val="269"/>
    <w:qFormat/>
    <w:uiPriority w:val="0"/>
    <w:pPr>
      <w:widowControl w:val="0"/>
      <w:ind w:firstLine="200"/>
      <w:jc w:val="both"/>
    </w:pPr>
    <w:rPr>
      <w:rFonts w:ascii="宋体" w:hAnsi="Times New Roman" w:eastAsia="宋体" w:cs="Times New Roman"/>
      <w:bCs/>
      <w:sz w:val="28"/>
      <w:szCs w:val="28"/>
      <w:lang w:val="en-US" w:eastAsia="zh-CN" w:bidi="ar-SA"/>
    </w:rPr>
  </w:style>
  <w:style w:type="paragraph" w:customStyle="1" w:styleId="269">
    <w:name w:val="正文1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0">
    <w:name w:val="正文5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1">
    <w:name w:val="样式  + 首行缩进:  0.79 厘米"/>
    <w:next w:val="21"/>
    <w:qFormat/>
    <w:uiPriority w:val="0"/>
    <w:pPr>
      <w:spacing w:line="300" w:lineRule="auto"/>
      <w:jc w:val="both"/>
    </w:pPr>
    <w:rPr>
      <w:rFonts w:ascii="宋体" w:hAnsi="Times New Roman" w:eastAsia="宋体" w:cs="Arial"/>
      <w:kern w:val="2"/>
      <w:sz w:val="24"/>
      <w:szCs w:val="17"/>
      <w:lang w:val="en-US" w:eastAsia="zh-CN" w:bidi="ar-SA"/>
    </w:rPr>
  </w:style>
  <w:style w:type="paragraph" w:customStyle="1" w:styleId="272">
    <w:name w:val="正文1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3">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274">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275">
    <w:name w:val="样式 46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6">
    <w:name w:val="样式 10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277">
    <w:name w:val="正文7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8">
    <w:name w:val="样式 30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9">
    <w:name w:val="正文5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0">
    <w:name w:val="正文7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金宏发行正文"/>
    <w:basedOn w:val="1"/>
    <w:qFormat/>
    <w:uiPriority w:val="0"/>
    <w:pPr>
      <w:spacing w:line="500" w:lineRule="exact"/>
      <w:ind w:firstLine="200" w:firstLineChars="200"/>
    </w:pPr>
    <w:rPr>
      <w:rFonts w:eastAsia="Times New Roman" w:cs="宋体"/>
      <w:sz w:val="28"/>
      <w:szCs w:val="20"/>
    </w:rPr>
  </w:style>
  <w:style w:type="paragraph" w:customStyle="1" w:styleId="282">
    <w:name w:val="正文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正文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4">
    <w:name w:val="正文1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5">
    <w:name w:val="正文5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6">
    <w:name w:val="样式 32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7">
    <w:name w:val="正文1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正文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9">
    <w:name w:val="样式 89 10 磅"/>
    <w:next w:val="29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eastAsia="Arial Unicode MS" w:cs="Arial Unicode MS"/>
      <w:color w:val="000000"/>
      <w:kern w:val="0"/>
      <w:sz w:val="16"/>
      <w:szCs w:val="16"/>
    </w:rPr>
  </w:style>
  <w:style w:type="paragraph" w:customStyle="1" w:styleId="291">
    <w:name w:val="正文5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2">
    <w:name w:val="样式 45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3">
    <w:name w:val="正文4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4">
    <w:name w:val="样式 52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5">
    <w:name w:val="正文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6">
    <w:name w:val="正文1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Char Char Char Char Char Char1"/>
    <w:basedOn w:val="1"/>
    <w:qFormat/>
    <w:uiPriority w:val="0"/>
    <w:pPr>
      <w:tabs>
        <w:tab w:val="left" w:pos="360"/>
      </w:tabs>
      <w:ind w:firstLine="150" w:firstLineChars="150"/>
    </w:pPr>
    <w:rPr>
      <w:rFonts w:ascii="Arial" w:hAnsi="Arial" w:cs="Arial"/>
      <w:sz w:val="20"/>
      <w:szCs w:val="20"/>
    </w:rPr>
  </w:style>
  <w:style w:type="paragraph" w:customStyle="1" w:styleId="298">
    <w:name w:val="样式 118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9">
    <w:name w:val="样式 2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0">
    <w:name w:val="正文_4_0"/>
    <w:next w:val="16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1">
    <w:name w:val="正文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xl64"/>
    <w:basedOn w:val="1"/>
    <w:qFormat/>
    <w:uiPriority w:val="0"/>
    <w:pPr>
      <w:widowControl/>
      <w:spacing w:before="100" w:beforeAutospacing="1" w:after="100" w:afterAutospacing="1"/>
      <w:jc w:val="center"/>
      <w:textAlignment w:val="center"/>
    </w:pPr>
    <w:rPr>
      <w:rFonts w:ascii="宋体" w:cs="Arial Unicode MS"/>
      <w:b/>
      <w:bCs/>
      <w:kern w:val="0"/>
      <w:sz w:val="36"/>
      <w:szCs w:val="36"/>
    </w:rPr>
  </w:style>
  <w:style w:type="paragraph" w:customStyle="1" w:styleId="303">
    <w:name w:val="正文7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样式 11 10 磅"/>
    <w:next w:val="28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5">
    <w:name w:val="样式 103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6">
    <w:name w:val="样式 24 10 磅"/>
    <w:next w:val="30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7">
    <w:name w:val="样式 36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8">
    <w:name w:val="正文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
    <w:name w:val="正文5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
    <w:name w:val="正文7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
    <w:name w:val="正文列项_字母"/>
    <w:basedOn w:val="1"/>
    <w:qFormat/>
    <w:uiPriority w:val="0"/>
    <w:pPr>
      <w:tabs>
        <w:tab w:val="left" w:pos="1320"/>
      </w:tabs>
      <w:autoSpaceDE w:val="0"/>
      <w:autoSpaceDN w:val="0"/>
      <w:spacing w:line="460" w:lineRule="exact"/>
      <w:ind w:left="480" w:leftChars="300" w:hanging="180" w:hangingChars="180"/>
      <w:outlineLvl w:val="6"/>
    </w:pPr>
    <w:rPr>
      <w:rFonts w:ascii="宋体"/>
      <w:kern w:val="0"/>
      <w:sz w:val="28"/>
      <w:szCs w:val="20"/>
    </w:rPr>
  </w:style>
  <w:style w:type="paragraph" w:customStyle="1" w:styleId="312">
    <w:name w:val="Char Char Char"/>
    <w:basedOn w:val="1"/>
    <w:qFormat/>
    <w:uiPriority w:val="0"/>
    <w:rPr>
      <w:rFonts w:ascii="Tahoma" w:hAnsi="Tahoma"/>
      <w:sz w:val="24"/>
      <w:szCs w:val="20"/>
    </w:rPr>
  </w:style>
  <w:style w:type="paragraph" w:customStyle="1" w:styleId="313">
    <w:name w:val="样式 111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4">
    <w:name w:val="正文1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
    <w:name w:val="正文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6">
    <w:name w:val="正文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
    <w:name w:val="正文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
    <w:name w:val="正文5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9">
    <w:name w:val="正文5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
    <w:name w:val="正文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322">
    <w:name w:val="正文27"/>
    <w:qFormat/>
    <w:uiPriority w:val="0"/>
    <w:pPr>
      <w:jc w:val="both"/>
    </w:pPr>
    <w:rPr>
      <w:rFonts w:ascii="Times New Roman" w:hAnsi="Times New Roman" w:eastAsia="方正黑体_GBK" w:cs="Times New Roman"/>
      <w:sz w:val="21"/>
      <w:szCs w:val="21"/>
      <w:lang w:val="en-US" w:eastAsia="zh-CN" w:bidi="ar-SA"/>
    </w:rPr>
  </w:style>
  <w:style w:type="paragraph" w:customStyle="1" w:styleId="323">
    <w:name w:val="样式 标题 2Chapter X.X. Statementh22Header 2l2Level 2 Headhea..."/>
    <w:basedOn w:val="3"/>
    <w:qFormat/>
    <w:uiPriority w:val="0"/>
    <w:pPr>
      <w:tabs>
        <w:tab w:val="left" w:pos="576"/>
      </w:tabs>
      <w:spacing w:before="0" w:after="0" w:line="240" w:lineRule="auto"/>
      <w:ind w:left="578" w:hanging="578"/>
      <w:jc w:val="left"/>
    </w:pPr>
    <w:rPr>
      <w:rFonts w:ascii="Arial" w:hAnsi="Arial"/>
      <w:sz w:val="28"/>
    </w:rPr>
  </w:style>
  <w:style w:type="paragraph" w:customStyle="1" w:styleId="324">
    <w:name w:val="样式 13 10 磅"/>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25">
    <w:name w:val="正文5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Char Char Char Char Char Char"/>
    <w:basedOn w:val="1"/>
    <w:qFormat/>
    <w:uiPriority w:val="0"/>
    <w:pPr>
      <w:tabs>
        <w:tab w:val="left" w:pos="360"/>
      </w:tabs>
      <w:ind w:firstLine="150" w:firstLineChars="150"/>
    </w:pPr>
    <w:rPr>
      <w:rFonts w:ascii="Arial" w:hAnsi="Arial" w:cs="Arial"/>
      <w:sz w:val="20"/>
      <w:szCs w:val="20"/>
    </w:rPr>
  </w:style>
  <w:style w:type="paragraph" w:customStyle="1" w:styleId="327">
    <w:name w:val="正文格式"/>
    <w:basedOn w:val="1"/>
    <w:qFormat/>
    <w:uiPriority w:val="0"/>
    <w:pPr>
      <w:widowControl/>
      <w:autoSpaceDE w:val="0"/>
      <w:autoSpaceDN w:val="0"/>
      <w:adjustRightInd w:val="0"/>
      <w:snapToGrid w:val="0"/>
      <w:spacing w:line="360" w:lineRule="atLeast"/>
      <w:textAlignment w:val="baseline"/>
    </w:pPr>
    <w:rPr>
      <w:kern w:val="0"/>
      <w:sz w:val="24"/>
      <w:szCs w:val="20"/>
    </w:rPr>
  </w:style>
  <w:style w:type="paragraph" w:customStyle="1" w:styleId="328">
    <w:name w:val="正文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9">
    <w:name w:val="样式 72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0">
    <w:name w:val="正文5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
    <w:name w:val="正文5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正文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3">
    <w:name w:val="正文4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
    <w:name w:val="样式 9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335">
    <w:name w:val="样式 4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336">
    <w:name w:val="正文5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
    <w:name w:val="样式 114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38">
    <w:name w:val="正文 + 宋体"/>
    <w:basedOn w:val="1"/>
    <w:qFormat/>
    <w:uiPriority w:val="0"/>
    <w:pPr>
      <w:widowControl/>
      <w:ind w:left="360" w:hanging="360"/>
      <w:jc w:val="left"/>
    </w:pPr>
    <w:rPr>
      <w:rFonts w:ascii="宋体" w:cs="宋体"/>
      <w:b/>
      <w:bCs/>
      <w:color w:val="000000"/>
      <w:kern w:val="0"/>
      <w:sz w:val="18"/>
      <w:szCs w:val="18"/>
    </w:rPr>
  </w:style>
  <w:style w:type="paragraph" w:customStyle="1" w:styleId="339">
    <w:name w:val="W内容"/>
    <w:next w:val="20"/>
    <w:qFormat/>
    <w:uiPriority w:val="0"/>
    <w:pPr>
      <w:widowControl w:val="0"/>
      <w:ind w:firstLine="200"/>
      <w:jc w:val="both"/>
    </w:pPr>
    <w:rPr>
      <w:rFonts w:ascii="宋体" w:hAnsi="Times New Roman" w:eastAsia="宋体" w:cs="Times New Roman"/>
      <w:bCs/>
      <w:sz w:val="28"/>
      <w:szCs w:val="28"/>
      <w:lang w:val="en-US" w:eastAsia="zh-CN" w:bidi="ar-SA"/>
    </w:rPr>
  </w:style>
  <w:style w:type="paragraph" w:customStyle="1" w:styleId="34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341">
    <w:name w:val="正文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2">
    <w:name w:val="正文4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正文列项_数字"/>
    <w:basedOn w:val="1"/>
    <w:qFormat/>
    <w:uiPriority w:val="0"/>
    <w:pPr>
      <w:tabs>
        <w:tab w:val="left" w:pos="1740"/>
      </w:tabs>
      <w:autoSpaceDE w:val="0"/>
      <w:autoSpaceDN w:val="0"/>
      <w:spacing w:line="460" w:lineRule="exact"/>
      <w:ind w:left="680" w:leftChars="530" w:hanging="150" w:hangingChars="150"/>
      <w:outlineLvl w:val="7"/>
    </w:pPr>
    <w:rPr>
      <w:rFonts w:ascii="宋体"/>
      <w:kern w:val="0"/>
      <w:sz w:val="28"/>
      <w:szCs w:val="20"/>
    </w:rPr>
  </w:style>
  <w:style w:type="paragraph" w:customStyle="1" w:styleId="344">
    <w:name w:val="样式 2 10 磅"/>
    <w:next w:val="34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5">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346">
    <w:name w:val="正文5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
    <w:name w:val="正文2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正文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0">
    <w:name w:val="正文7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正文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表格文字"/>
    <w:basedOn w:val="31"/>
    <w:qFormat/>
    <w:uiPriority w:val="0"/>
    <w:pPr>
      <w:widowControl w:val="0"/>
      <w:spacing w:before="20" w:after="20" w:line="240" w:lineRule="auto"/>
      <w:ind w:firstLine="0"/>
      <w:jc w:val="both"/>
    </w:pPr>
    <w:rPr>
      <w:rFonts w:ascii="Century Gothic" w:hAnsi="Century Gothic"/>
      <w:kern w:val="2"/>
      <w:sz w:val="20"/>
    </w:rPr>
  </w:style>
  <w:style w:type="paragraph" w:customStyle="1" w:styleId="353">
    <w:name w:val="正文7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
    <w:name w:val="正文1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
    <w:name w:val="正文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6">
    <w:name w:val="正文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
    <w:name w:val="HD正文1"/>
    <w:basedOn w:val="1"/>
    <w:qFormat/>
    <w:uiPriority w:val="0"/>
    <w:pPr>
      <w:spacing w:line="440" w:lineRule="atLeast"/>
    </w:pPr>
    <w:rPr>
      <w:sz w:val="24"/>
      <w:szCs w:val="20"/>
    </w:rPr>
  </w:style>
  <w:style w:type="paragraph" w:customStyle="1" w:styleId="358">
    <w:name w:val="正文1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9">
    <w:name w:val="xl35"/>
    <w:basedOn w:val="1"/>
    <w:qFormat/>
    <w:uiPriority w:val="0"/>
    <w:pPr>
      <w:widowControl/>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360">
    <w:name w:val="正文5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1">
    <w:name w:val="正文2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图中文字"/>
    <w:next w:val="363"/>
    <w:qFormat/>
    <w:uiPriority w:val="0"/>
    <w:pPr>
      <w:widowControl w:val="0"/>
      <w:adjustRightInd w:val="0"/>
      <w:snapToGrid w:val="0"/>
      <w:spacing w:line="240" w:lineRule="atLeast"/>
      <w:jc w:val="center"/>
    </w:pPr>
    <w:rPr>
      <w:rFonts w:ascii="Times New Roman" w:hAnsi="Times New Roman" w:eastAsia="宋体" w:cs="Times New Roman"/>
      <w:kern w:val="2"/>
      <w:sz w:val="24"/>
      <w:lang w:val="en-US" w:eastAsia="zh-CN" w:bidi="ar-SA"/>
    </w:rPr>
  </w:style>
  <w:style w:type="paragraph" w:customStyle="1" w:styleId="363">
    <w:name w:val="正文3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正文7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
    <w:name w:val="正文4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
    <w:name w:val="正文3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368">
    <w:name w:val="正文2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
    <w:name w:val="段落"/>
    <w:basedOn w:val="1"/>
    <w:qFormat/>
    <w:uiPriority w:val="0"/>
    <w:pPr>
      <w:spacing w:before="120" w:after="120" w:line="240" w:lineRule="atLeast"/>
      <w:ind w:firstLine="567"/>
    </w:pPr>
    <w:rPr>
      <w:sz w:val="28"/>
      <w:szCs w:val="20"/>
    </w:rPr>
  </w:style>
  <w:style w:type="paragraph" w:customStyle="1" w:styleId="370">
    <w:name w:val="正文文本缩进_0"/>
    <w:next w:val="156"/>
    <w:qFormat/>
    <w:uiPriority w:val="0"/>
    <w:pPr>
      <w:widowControl w:val="0"/>
      <w:adjustRightInd w:val="0"/>
      <w:spacing w:after="120" w:line="360" w:lineRule="atLeast"/>
      <w:ind w:left="420"/>
      <w:textAlignment w:val="baseline"/>
    </w:pPr>
    <w:rPr>
      <w:rFonts w:ascii="Times New Roman" w:hAnsi="Times New Roman" w:eastAsia="宋体" w:cs="Times New Roman"/>
      <w:sz w:val="24"/>
      <w:lang w:val="en-US" w:eastAsia="zh-CN" w:bidi="ar-SA"/>
    </w:rPr>
  </w:style>
  <w:style w:type="paragraph" w:customStyle="1" w:styleId="371">
    <w:name w:val="样式 71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373">
    <w:name w:val="正文5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
    <w:name w:val="正文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5">
    <w:name w:val="1 Char Char Char Char"/>
    <w:basedOn w:val="1"/>
    <w:qFormat/>
    <w:uiPriority w:val="0"/>
    <w:rPr>
      <w:rFonts w:ascii="Tahoma" w:hAnsi="Tahoma"/>
      <w:sz w:val="24"/>
      <w:szCs w:val="20"/>
    </w:rPr>
  </w:style>
  <w:style w:type="paragraph" w:customStyle="1" w:styleId="376">
    <w:name w:val="正文3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
    <w:name w:val="正文7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
    <w:name w:val="正文2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
    <w:name w:val="xl34"/>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380">
    <w:name w:val="正文1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样式 16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38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eastAsia="Arial Unicode MS" w:cs="Arial Unicode MS"/>
      <w:kern w:val="0"/>
      <w:sz w:val="24"/>
    </w:rPr>
  </w:style>
  <w:style w:type="paragraph" w:customStyle="1" w:styleId="383">
    <w:name w:val="正文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
    <w:name w:val="正文3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386">
    <w:name w:val="正文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
    <w:name w:val="样式 48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8">
    <w:name w:val="正文4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
    <w:name w:val="样式 6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0">
    <w:name w:val="正文3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
    <w:name w:val="font6"/>
    <w:basedOn w:val="1"/>
    <w:qFormat/>
    <w:uiPriority w:val="0"/>
    <w:pPr>
      <w:widowControl/>
      <w:spacing w:before="100" w:beforeAutospacing="1" w:after="100" w:afterAutospacing="1"/>
      <w:jc w:val="left"/>
    </w:pPr>
    <w:rPr>
      <w:rFonts w:ascii="宋体" w:cs="宋体"/>
      <w:kern w:val="0"/>
      <w:sz w:val="20"/>
      <w:szCs w:val="20"/>
    </w:rPr>
  </w:style>
  <w:style w:type="paragraph" w:customStyle="1" w:styleId="392">
    <w:name w:val="正文3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
    <w:name w:val="首标2"/>
    <w:basedOn w:val="1"/>
    <w:qFormat/>
    <w:uiPriority w:val="0"/>
    <w:pPr>
      <w:framePr w:w="7938" w:h="11624" w:hRule="exact" w:wrap="notBeside" w:vAnchor="margin" w:hAnchor="margin" w:xAlign="center" w:yAlign="top" w:anchorLock="1"/>
      <w:tabs>
        <w:tab w:val="left" w:pos="360"/>
      </w:tabs>
      <w:adjustRightInd w:val="0"/>
      <w:spacing w:line="320" w:lineRule="atLeast"/>
      <w:ind w:left="425" w:hanging="425"/>
      <w:textAlignment w:val="baseline"/>
    </w:pPr>
    <w:rPr>
      <w:kern w:val="0"/>
      <w:sz w:val="20"/>
      <w:szCs w:val="20"/>
    </w:rPr>
  </w:style>
  <w:style w:type="paragraph" w:customStyle="1" w:styleId="394">
    <w:name w:val="样式 50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5">
    <w:name w:val="正文4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样式 6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7">
    <w:name w:val="正文4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8">
    <w:name w:val="正文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9">
    <w:name w:val="样式 7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400">
    <w:name w:val="正文3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正文4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
    <w:name w:val="样式 样式 标题 2 + 首行缩进:  2 字符 段前: 0.5 行 段后: 0.5 行 + 段前: 0.5 行 段后: 0...."/>
    <w:basedOn w:val="1"/>
    <w:qFormat/>
    <w:uiPriority w:val="0"/>
    <w:rPr>
      <w:spacing w:val="20"/>
      <w:sz w:val="24"/>
    </w:rPr>
  </w:style>
  <w:style w:type="paragraph" w:customStyle="1" w:styleId="403">
    <w:name w:val="正文3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正文4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
    <w:name w:val="正文1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407">
    <w:name w:val="样式 106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08">
    <w:name w:val="样式 85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09">
    <w:name w:val="font5"/>
    <w:basedOn w:val="1"/>
    <w:qFormat/>
    <w:uiPriority w:val="0"/>
    <w:pPr>
      <w:widowControl/>
      <w:spacing w:before="100" w:beforeAutospacing="1" w:after="100" w:afterAutospacing="1"/>
      <w:jc w:val="left"/>
    </w:pPr>
    <w:rPr>
      <w:rFonts w:ascii="宋体" w:cs="宋体"/>
      <w:kern w:val="0"/>
      <w:sz w:val="18"/>
      <w:szCs w:val="18"/>
    </w:rPr>
  </w:style>
  <w:style w:type="paragraph" w:customStyle="1" w:styleId="410">
    <w:name w:val="正文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1">
    <w:name w:val="样式 9 10 磅"/>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13">
    <w:name w:val="正文3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4">
    <w:name w:val="正文4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5">
    <w:name w:val="正文2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6">
    <w:name w:val="样式 22 小四1"/>
    <w:qFormat/>
    <w:uiPriority w:val="0"/>
    <w:pPr>
      <w:widowControl w:val="0"/>
      <w:adjustRightInd w:val="0"/>
      <w:spacing w:after="120" w:line="360" w:lineRule="atLeast"/>
      <w:ind w:left="420"/>
      <w:textAlignment w:val="baseline"/>
    </w:pPr>
    <w:rPr>
      <w:rFonts w:ascii="Times New Roman" w:hAnsi="Times New Roman" w:eastAsia="宋体" w:cs="Times New Roman"/>
      <w:sz w:val="24"/>
      <w:lang w:val="en-US" w:eastAsia="zh-CN" w:bidi="ar-SA"/>
    </w:rPr>
  </w:style>
  <w:style w:type="paragraph" w:customStyle="1" w:styleId="417">
    <w:name w:val="正文3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font8"/>
    <w:basedOn w:val="1"/>
    <w:qFormat/>
    <w:uiPriority w:val="0"/>
    <w:pPr>
      <w:widowControl/>
      <w:spacing w:before="100" w:beforeAutospacing="1" w:after="100" w:afterAutospacing="1"/>
      <w:jc w:val="left"/>
    </w:pPr>
    <w:rPr>
      <w:kern w:val="0"/>
      <w:sz w:val="36"/>
      <w:szCs w:val="36"/>
    </w:rPr>
  </w:style>
  <w:style w:type="paragraph" w:customStyle="1" w:styleId="419">
    <w:name w:val="正文3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421">
    <w:name w:val="正文4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2">
    <w:name w:val="样式 5 10 磅"/>
    <w:next w:val="217"/>
    <w:qFormat/>
    <w:uiPriority w:val="0"/>
    <w:pPr>
      <w:widowControl w:val="0"/>
      <w:jc w:val="both"/>
    </w:pPr>
    <w:rPr>
      <w:rFonts w:ascii="Times New Roman" w:hAnsi="Times New Roman" w:eastAsia="宋体" w:cs="Times New Roman"/>
      <w:kern w:val="2"/>
      <w:sz w:val="21"/>
      <w:szCs w:val="21"/>
      <w:lang w:val="en-US" w:eastAsia="en-US" w:bidi="ar-SA"/>
    </w:rPr>
  </w:style>
  <w:style w:type="paragraph" w:customStyle="1" w:styleId="423">
    <w:name w:val="正文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4">
    <w:name w:val="样式 3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eastAsia="Arial Unicode MS" w:cs="Arial Unicode MS"/>
      <w:color w:val="000000"/>
      <w:kern w:val="0"/>
      <w:sz w:val="20"/>
      <w:szCs w:val="20"/>
    </w:rPr>
  </w:style>
  <w:style w:type="paragraph" w:customStyle="1" w:styleId="426">
    <w:name w:val="正文3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7">
    <w:name w:val="font9"/>
    <w:basedOn w:val="1"/>
    <w:qFormat/>
    <w:uiPriority w:val="0"/>
    <w:pPr>
      <w:widowControl/>
      <w:spacing w:before="100" w:beforeAutospacing="1" w:after="100" w:afterAutospacing="1"/>
      <w:jc w:val="left"/>
    </w:pPr>
    <w:rPr>
      <w:rFonts w:ascii="宋体" w:cs="Arial Unicode MS"/>
      <w:color w:val="000000"/>
      <w:kern w:val="0"/>
      <w:sz w:val="20"/>
      <w:szCs w:val="20"/>
    </w:rPr>
  </w:style>
  <w:style w:type="paragraph" w:customStyle="1" w:styleId="428">
    <w:name w:val="样式 3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429">
    <w:name w:val="正文3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0">
    <w:name w:val="正文4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1">
    <w:name w:val="正文3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2">
    <w:name w:val="样式 86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3">
    <w:name w:val="正文1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正文3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436">
    <w:name w:val="样式 84 10 磅"/>
    <w:next w:val="3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7">
    <w:name w:val="Char Char Char Char Char Char1 Char Char"/>
    <w:basedOn w:val="1"/>
    <w:qFormat/>
    <w:uiPriority w:val="0"/>
    <w:pPr>
      <w:tabs>
        <w:tab w:val="left" w:pos="360"/>
      </w:tabs>
      <w:ind w:firstLine="150" w:firstLineChars="150"/>
    </w:pPr>
    <w:rPr>
      <w:rFonts w:ascii="Arial" w:hAnsi="Arial" w:cs="Arial"/>
      <w:sz w:val="20"/>
      <w:szCs w:val="20"/>
    </w:rPr>
  </w:style>
  <w:style w:type="paragraph" w:customStyle="1" w:styleId="438">
    <w:name w:val="正文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9">
    <w:name w:val="正文4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0">
    <w:name w:val="样式 113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441">
    <w:name w:val="样式 19 10 磅"/>
    <w:next w:val="18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42">
    <w:name w:val="样式 21 10 磅"/>
    <w:next w:val="3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43">
    <w:name w:val="样式 90 10 磅"/>
    <w:next w:val="39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4">
    <w:name w:val="正文5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5">
    <w:name w:val="正文1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6">
    <w:name w:val="样式1"/>
    <w:next w:val="95"/>
    <w:qFormat/>
    <w:uiPriority w:val="0"/>
    <w:pPr>
      <w:widowControl w:val="0"/>
      <w:numPr>
        <w:ilvl w:val="0"/>
        <w:numId w:val="3"/>
      </w:numPr>
      <w:jc w:val="both"/>
    </w:pPr>
    <w:rPr>
      <w:rFonts w:ascii="宋体" w:hAnsi="Times New Roman" w:eastAsia="宋体" w:cs="Times New Roman"/>
      <w:kern w:val="2"/>
      <w:sz w:val="21"/>
      <w:szCs w:val="21"/>
      <w:lang w:val="en-US" w:eastAsia="zh-CN" w:bidi="ar-SA"/>
    </w:rPr>
  </w:style>
  <w:style w:type="paragraph" w:customStyle="1" w:styleId="447">
    <w:name w:val="正文_1"/>
    <w:next w:val="27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8">
    <w:name w:val="正文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9">
    <w:name w:val="样式 10 磅1"/>
    <w:qFormat/>
    <w:uiPriority w:val="0"/>
    <w:pPr>
      <w:widowControl w:val="0"/>
      <w:numPr>
        <w:ilvl w:val="0"/>
        <w:numId w:val="4"/>
      </w:numPr>
      <w:jc w:val="both"/>
    </w:pPr>
    <w:rPr>
      <w:rFonts w:ascii="宋体" w:hAnsi="Times New Roman" w:eastAsia="宋体" w:cs="Times New Roman"/>
      <w:kern w:val="2"/>
      <w:sz w:val="21"/>
      <w:szCs w:val="21"/>
      <w:lang w:val="en-US" w:eastAsia="zh-CN" w:bidi="ar-SA"/>
    </w:rPr>
  </w:style>
  <w:style w:type="paragraph" w:customStyle="1" w:styleId="450">
    <w:name w:val="正文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1">
    <w:name w:val="样式 31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2">
    <w:name w:val="正文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3">
    <w:name w:val="表格1"/>
    <w:next w:val="454"/>
    <w:qFormat/>
    <w:uiPriority w:val="0"/>
    <w:pPr>
      <w:widowControl w:val="0"/>
      <w:jc w:val="center"/>
    </w:pPr>
    <w:rPr>
      <w:rFonts w:ascii="Times New Roman" w:hAnsi="Times New Roman" w:eastAsia="宋体" w:cs="Times New Roman"/>
      <w:kern w:val="2"/>
      <w:sz w:val="24"/>
      <w:lang w:val="en-US" w:eastAsia="zh-CN" w:bidi="ar-SA"/>
    </w:rPr>
  </w:style>
  <w:style w:type="paragraph" w:customStyle="1" w:styleId="454">
    <w:name w:val="正文7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5">
    <w:name w:val="正文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6">
    <w:name w:val="样式 94 10 磅"/>
    <w:next w:val="40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7">
    <w:name w:val="正文1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8">
    <w:name w:val="正文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9">
    <w:name w:val="样式 小四"/>
    <w:next w:val="214"/>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460">
    <w:name w:val="正文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1">
    <w:name w:val="样式 39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2">
    <w:name w:val="正文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3">
    <w:name w:val="正文1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4">
    <w:name w:val="正文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5">
    <w:name w:val="样式 82 10 磅"/>
    <w:next w:val="39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6">
    <w:name w:val="正文7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样式 92 10 磅"/>
    <w:next w:val="40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469">
    <w:name w:val="正文2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0">
    <w:name w:val="样式 91 10 磅"/>
    <w:next w:val="40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1">
    <w:name w:val="正文3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2">
    <w:name w:val="正文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3">
    <w:name w:val="正文2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4">
    <w:name w:val="样式 66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5">
    <w:name w:val="正文6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6">
    <w:name w:val="样式 80 10 磅"/>
    <w:next w:val="3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7">
    <w:name w:val="正文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8">
    <w:name w:val="样式 5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9">
    <w:name w:val="正文3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481">
    <w:name w:val="样式 83 10 磅"/>
    <w:next w:val="39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2">
    <w:name w:val="正文7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3">
    <w:name w:val="正文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4">
    <w:name w:val="样式 26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485">
    <w:name w:val="xl36"/>
    <w:basedOn w:val="1"/>
    <w:qFormat/>
    <w:uiPriority w:val="0"/>
    <w:pPr>
      <w:widowControl/>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486">
    <w:name w:val="样式 14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487">
    <w:name w:val="正文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489">
    <w:name w:val="正文6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0">
    <w:name w:val="正文5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1">
    <w:name w:val="样式 15 10 磅"/>
    <w:next w:val="2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2">
    <w:name w:val="正文4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eastAsia="Arial Unicode MS" w:cs="Arial Unicode MS"/>
      <w:b/>
      <w:bCs/>
      <w:color w:val="000000"/>
      <w:kern w:val="0"/>
      <w:sz w:val="20"/>
      <w:szCs w:val="20"/>
    </w:rPr>
  </w:style>
  <w:style w:type="paragraph" w:customStyle="1" w:styleId="494">
    <w:name w:val="样式 黑色 左 首行缩进:  1.69 厘米 行距: 2 倍行距"/>
    <w:basedOn w:val="1"/>
    <w:qFormat/>
    <w:uiPriority w:val="0"/>
    <w:pPr>
      <w:ind w:firstLine="958"/>
      <w:jc w:val="left"/>
    </w:pPr>
    <w:rPr>
      <w:rFonts w:cs="宋体"/>
      <w:color w:val="000000"/>
      <w:sz w:val="24"/>
      <w:szCs w:val="20"/>
    </w:rPr>
  </w:style>
  <w:style w:type="paragraph" w:customStyle="1" w:styleId="495">
    <w:name w:val="样式 7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6">
    <w:name w:val="正文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9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8">
    <w:name w:val="正文5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9">
    <w:name w:val="正文7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0">
    <w:name w:val="列项——"/>
    <w:qFormat/>
    <w:uiPriority w:val="0"/>
    <w:pPr>
      <w:widowControl w:val="0"/>
      <w:numPr>
        <w:ilvl w:val="0"/>
        <w:numId w:val="5"/>
      </w:numPr>
      <w:jc w:val="both"/>
    </w:pPr>
    <w:rPr>
      <w:rFonts w:ascii="宋体" w:hAnsi="Times New Roman" w:eastAsia="宋体" w:cs="Times New Roman"/>
      <w:sz w:val="21"/>
      <w:lang w:val="en-US" w:eastAsia="zh-CN" w:bidi="ar-SA"/>
    </w:rPr>
  </w:style>
  <w:style w:type="paragraph" w:customStyle="1" w:styleId="501">
    <w:name w:val="样式 6 10 磅"/>
    <w:next w:val="218"/>
    <w:qFormat/>
    <w:uiPriority w:val="0"/>
    <w:pPr>
      <w:widowControl w:val="0"/>
      <w:spacing w:after="120" w:line="480" w:lineRule="auto"/>
      <w:ind w:left="420"/>
      <w:jc w:val="both"/>
    </w:pPr>
    <w:rPr>
      <w:rFonts w:ascii="Times New Roman" w:hAnsi="Times New Roman" w:eastAsia="宋体" w:cs="Times New Roman"/>
      <w:kern w:val="2"/>
      <w:sz w:val="21"/>
      <w:szCs w:val="22"/>
      <w:lang w:val="en-US" w:eastAsia="zh-CN" w:bidi="ar-SA"/>
    </w:rPr>
  </w:style>
  <w:style w:type="paragraph" w:customStyle="1" w:styleId="502">
    <w:name w:val="正文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3">
    <w:name w:val="样式 8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04">
    <w:name w:val="样式 33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5">
    <w:name w:val="正文5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正文7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7">
    <w:name w:val="正文5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8">
    <w:name w:val="正文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9">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eastAsia="Arial Unicode MS" w:cs="Arial Unicode MS"/>
      <w:b/>
      <w:bCs/>
      <w:color w:val="000000"/>
      <w:kern w:val="0"/>
      <w:sz w:val="22"/>
      <w:szCs w:val="22"/>
    </w:rPr>
  </w:style>
  <w:style w:type="paragraph" w:customStyle="1" w:styleId="510">
    <w:name w:val="样式 76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1">
    <w:name w:val="正文4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2">
    <w:name w:val="样式 12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13">
    <w:name w:val="样式 样式 首行缩进 + 首行缩进:  2 字符 + 首行缩进:  2 字符"/>
    <w:basedOn w:val="1"/>
    <w:qFormat/>
    <w:uiPriority w:val="0"/>
    <w:pPr>
      <w:spacing w:line="360" w:lineRule="auto"/>
      <w:ind w:firstLine="200" w:firstLineChars="200"/>
    </w:pPr>
    <w:rPr>
      <w:rFonts w:eastAsia="Times New Roman" w:cs="宋体"/>
      <w:sz w:val="24"/>
      <w:szCs w:val="20"/>
    </w:rPr>
  </w:style>
  <w:style w:type="paragraph" w:customStyle="1" w:styleId="514">
    <w:name w:val="正文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5">
    <w:name w:val="正文5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6">
    <w:name w:val="样式 102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eastAsia="Arial Unicode MS" w:cs="Arial Unicode MS"/>
      <w:color w:val="000000"/>
      <w:kern w:val="0"/>
      <w:sz w:val="22"/>
      <w:szCs w:val="22"/>
    </w:rPr>
  </w:style>
  <w:style w:type="paragraph" w:customStyle="1" w:styleId="518">
    <w:name w:val="样式 61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9">
    <w:name w:val="正文_3_0"/>
    <w:next w:val="13"/>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20">
    <w:name w:val="样式 104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21">
    <w:name w:val="样式 29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2">
    <w:name w:val="样式 7 10 磅"/>
    <w:next w:val="2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3">
    <w:name w:val="样式 79 10 磅"/>
    <w:next w:val="39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4">
    <w:name w:val="样式 110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25">
    <w:name w:val="正文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正文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正文缩进1"/>
    <w:qFormat/>
    <w:uiPriority w:val="0"/>
    <w:pPr>
      <w:widowControl w:val="0"/>
      <w:ind w:firstLine="420"/>
      <w:jc w:val="both"/>
    </w:pPr>
    <w:rPr>
      <w:rFonts w:ascii="Calibri" w:hAnsi="Calibri" w:eastAsia="宋体" w:cs="Times New Roman"/>
      <w:kern w:val="2"/>
      <w:sz w:val="21"/>
      <w:szCs w:val="22"/>
      <w:lang w:val="en-US" w:eastAsia="zh-CN" w:bidi="ar-SA"/>
    </w:rPr>
  </w:style>
  <w:style w:type="paragraph" w:customStyle="1" w:styleId="528">
    <w:name w:val="样式 20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29">
    <w:name w:val="正文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0">
    <w:name w:val="样式 1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1">
    <w:name w:val="样式 Arial 段前: 8.75 磅 段后: 8.75 磅 行距: 1.5 倍行距"/>
    <w:basedOn w:val="1"/>
    <w:qFormat/>
    <w:uiPriority w:val="0"/>
    <w:pPr>
      <w:spacing w:before="175" w:after="175"/>
    </w:pPr>
    <w:rPr>
      <w:rFonts w:ascii="Arial" w:hAnsi="Arial" w:cs="宋体"/>
      <w:sz w:val="24"/>
      <w:szCs w:val="20"/>
    </w:rPr>
  </w:style>
  <w:style w:type="paragraph" w:customStyle="1" w:styleId="532">
    <w:name w:val="正文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样式 17 10 磅"/>
    <w:next w:val="27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4">
    <w:name w:val="样式 108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5">
    <w:name w:val="样式 5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36">
    <w:name w:val="正文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样式 居中"/>
    <w:basedOn w:val="1"/>
    <w:qFormat/>
    <w:uiPriority w:val="0"/>
    <w:pPr>
      <w:jc w:val="left"/>
    </w:pPr>
    <w:rPr>
      <w:rFonts w:cs="宋体"/>
      <w:sz w:val="24"/>
      <w:szCs w:val="20"/>
    </w:rPr>
  </w:style>
  <w:style w:type="paragraph" w:customStyle="1" w:styleId="538">
    <w:name w:val="样式 样式 首行缩进:  2 字符 Char + 黑色 Char"/>
    <w:basedOn w:val="1"/>
    <w:qFormat/>
    <w:uiPriority w:val="0"/>
    <w:pPr>
      <w:spacing w:line="440" w:lineRule="exact"/>
    </w:pPr>
    <w:rPr>
      <w:rFonts w:ascii="华文细黑" w:eastAsia="华文细黑" w:cs="宋体"/>
      <w:color w:val="000000"/>
      <w:sz w:val="24"/>
    </w:rPr>
  </w:style>
  <w:style w:type="paragraph" w:customStyle="1" w:styleId="539">
    <w:name w:val="正文7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0">
    <w:name w:val="样式 85 10 磅"/>
    <w:next w:val="39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1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2">
    <w:name w:val="样式 51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3">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44">
    <w:name w:val="样式 3 10 磅"/>
    <w:next w:val="21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5">
    <w:name w:val="正文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8">
    <w:name w:val="样式 20 10 磅"/>
    <w:next w:val="21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9">
    <w:name w:val="样式 69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0">
    <w:name w:val="样式 21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51">
    <w:name w:val="样式 101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52">
    <w:name w:val="正文7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3">
    <w:name w:val="样式 3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4">
    <w:name w:val="正文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5">
    <w:name w:val="正文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6">
    <w:name w:val="正文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7">
    <w:name w:val="样式 11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58">
    <w:name w:val="正文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9">
    <w:name w:val="标题1"/>
    <w:basedOn w:val="57"/>
    <w:qFormat/>
    <w:uiPriority w:val="0"/>
    <w:pPr>
      <w:spacing w:after="240"/>
    </w:pPr>
    <w:rPr>
      <w:spacing w:val="2"/>
      <w:sz w:val="44"/>
    </w:rPr>
  </w:style>
  <w:style w:type="paragraph" w:customStyle="1" w:styleId="560">
    <w:name w:val="样式 5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1">
    <w:name w:val="样式 43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2">
    <w:name w:val="样式 22 小四"/>
    <w:next w:val="416"/>
    <w:qFormat/>
    <w:uiPriority w:val="0"/>
    <w:pPr>
      <w:widowControl w:val="0"/>
      <w:adjustRightInd w:val="0"/>
      <w:spacing w:after="120" w:line="360" w:lineRule="atLeast"/>
      <w:ind w:left="420"/>
      <w:textAlignment w:val="baseline"/>
    </w:pPr>
    <w:rPr>
      <w:rFonts w:ascii="Times New Roman" w:hAnsi="Times New Roman" w:eastAsia="宋体" w:cs="Times New Roman"/>
      <w:sz w:val="24"/>
      <w:lang w:val="en-US" w:eastAsia="zh-CN" w:bidi="ar-SA"/>
    </w:rPr>
  </w:style>
  <w:style w:type="paragraph" w:customStyle="1" w:styleId="563">
    <w:name w:val="正文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4">
    <w:name w:val="样式 13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65">
    <w:name w:val="正文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正文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7">
    <w:name w:val="正文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8">
    <w:name w:val="正文1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9">
    <w:name w:val="样式 49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0">
    <w:name w:val="样式 26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1">
    <w:name w:val="正文6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2">
    <w:name w:val="正文缩进2"/>
    <w:qFormat/>
    <w:uiPriority w:val="0"/>
    <w:pPr>
      <w:widowControl w:val="0"/>
      <w:ind w:firstLine="420"/>
      <w:jc w:val="both"/>
    </w:pPr>
    <w:rPr>
      <w:rFonts w:ascii="Calibri" w:hAnsi="Calibri" w:eastAsia="宋体" w:cs="Times New Roman"/>
      <w:kern w:val="2"/>
      <w:sz w:val="21"/>
      <w:szCs w:val="22"/>
      <w:lang w:val="en-US" w:eastAsia="zh-CN" w:bidi="ar-SA"/>
    </w:rPr>
  </w:style>
  <w:style w:type="paragraph" w:customStyle="1" w:styleId="573">
    <w:name w:val="样式 8 10 磅"/>
    <w:next w:val="221"/>
    <w:qFormat/>
    <w:uiPriority w:val="0"/>
    <w:pPr>
      <w:widowControl w:val="0"/>
    </w:pPr>
    <w:rPr>
      <w:rFonts w:ascii="Times New Roman" w:hAnsi="Times New Roman" w:eastAsia="宋体" w:cs="Times New Roman"/>
      <w:kern w:val="2"/>
      <w:sz w:val="21"/>
      <w:szCs w:val="22"/>
      <w:lang w:val="en-US" w:eastAsia="zh-CN" w:bidi="ar-SA"/>
    </w:rPr>
  </w:style>
  <w:style w:type="paragraph" w:customStyle="1" w:styleId="574">
    <w:name w:val="正文1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5">
    <w:name w:val="正文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6">
    <w:name w:val="正文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7">
    <w:name w:val="正文1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8">
    <w:name w:val="样式 81 10 磅"/>
    <w:next w:val="39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9">
    <w:name w:val="样式 58 10 磅"/>
    <w:next w:val="58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0">
    <w:name w:val="样式 58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1">
    <w:name w:val="正文1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2">
    <w:name w:val="正文_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83">
    <w:name w:val="正文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4">
    <w:name w:val="正文1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5">
    <w:name w:val="样式 17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86">
    <w:name w:val="样式 19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587">
    <w:name w:val="正文7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8">
    <w:name w:val="正文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9">
    <w:name w:val="样式 107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90">
    <w:name w:val="样式 116 10 磅"/>
    <w:next w:val="17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91">
    <w:name w:val="正文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2">
    <w:name w:val="样式 35 10 磅"/>
    <w:next w:val="25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3">
    <w:name w:val="正文7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4">
    <w:name w:val="正文1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5">
    <w:name w:val="正文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6">
    <w:name w:val="样式 96 10 磅"/>
    <w:next w:val="40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7">
    <w:name w:val="样式 55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8">
    <w:name w:val="样式 22 10 磅"/>
    <w:next w:val="16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99">
    <w:name w:val="正文文本缩进 2_0"/>
    <w:next w:val="30"/>
    <w:qFormat/>
    <w:uiPriority w:val="0"/>
    <w:pPr>
      <w:widowControl w:val="0"/>
      <w:spacing w:after="120" w:line="480" w:lineRule="auto"/>
      <w:ind w:left="420"/>
      <w:jc w:val="both"/>
    </w:pPr>
    <w:rPr>
      <w:rFonts w:ascii="Times New Roman" w:hAnsi="Times New Roman" w:eastAsia="宋体" w:cs="Times New Roman"/>
      <w:kern w:val="2"/>
      <w:sz w:val="21"/>
      <w:szCs w:val="22"/>
      <w:lang w:val="en-US" w:eastAsia="zh-CN" w:bidi="ar-SA"/>
    </w:rPr>
  </w:style>
  <w:style w:type="paragraph" w:customStyle="1" w:styleId="600">
    <w:name w:val="正文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正文7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2">
    <w:name w:val="正文1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3">
    <w:name w:val="正文766"/>
    <w:next w:val="6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正文1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5">
    <w:name w:val="正文1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6">
    <w:name w:val="正文1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7">
    <w:name w:val="正文1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8">
    <w:name w:val="正文1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9">
    <w:name w:val="正文1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0">
    <w:name w:val="正文1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1">
    <w:name w:val="正文1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2">
    <w:name w:val="正文1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3">
    <w:name w:val="正文1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4">
    <w:name w:val="正文1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5">
    <w:name w:val="正文1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6">
    <w:name w:val="正文1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7">
    <w:name w:val="正文1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8">
    <w:name w:val="正文1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9">
    <w:name w:val="正文1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0">
    <w:name w:val="正文1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1">
    <w:name w:val="正文1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2">
    <w:name w:val="正文1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3">
    <w:name w:val="正文1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4">
    <w:name w:val="正文1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5">
    <w:name w:val="正文1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6">
    <w:name w:val="正文4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7">
    <w:name w:val="正文1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8">
    <w:name w:val="正文4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9">
    <w:name w:val="正文1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0">
    <w:name w:val="正文4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正文1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2">
    <w:name w:val="正文4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3">
    <w:name w:val="正文1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4">
    <w:name w:val="正文4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5">
    <w:name w:val="正文1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6">
    <w:name w:val="正文4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7">
    <w:name w:val="正文1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8">
    <w:name w:val="正文4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9">
    <w:name w:val="正文1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0">
    <w:name w:val="正文4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1">
    <w:name w:val="正文1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2">
    <w:name w:val="正文4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3">
    <w:name w:val="正文1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4">
    <w:name w:val="正文4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5">
    <w:name w:val="正文1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6">
    <w:name w:val="正文4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7">
    <w:name w:val="正文1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8">
    <w:name w:val="正文4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9">
    <w:name w:val="正文6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0">
    <w:name w:val="正文4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1">
    <w:name w:val="正文1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2">
    <w:name w:val="正文4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3">
    <w:name w:val="正文1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4">
    <w:name w:val="正文4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5">
    <w:name w:val="正文6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6">
    <w:name w:val="正文4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7">
    <w:name w:val="正文1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8">
    <w:name w:val="正文4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9">
    <w:name w:val="正文1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0">
    <w:name w:val="正文4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1">
    <w:name w:val="正文6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2">
    <w:name w:val="正文4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3">
    <w:name w:val="正文1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4">
    <w:name w:val="正文4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5">
    <w:name w:val="正文1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6">
    <w:name w:val="正文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7">
    <w:name w:val="正文6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8">
    <w:name w:val="正文4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9">
    <w:name w:val="正文1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0">
    <w:name w:val="正文4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1">
    <w:name w:val="正文1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2">
    <w:name w:val="正文4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3">
    <w:name w:val="正文1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4">
    <w:name w:val="正文4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5">
    <w:name w:val="正文1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6">
    <w:name w:val="正文4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7">
    <w:name w:val="正文1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8">
    <w:name w:val="正文4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9">
    <w:name w:val="正文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0">
    <w:name w:val="正文4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1">
    <w:name w:val="正文1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2">
    <w:name w:val="正文4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3">
    <w:name w:val="正文1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4">
    <w:name w:val="正文4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5">
    <w:name w:val="正文1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6">
    <w:name w:val="正文4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7">
    <w:name w:val="正文1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8">
    <w:name w:val="正文4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9">
    <w:name w:val="正文1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0">
    <w:name w:val="正文4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1">
    <w:name w:val="正文1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2">
    <w:name w:val="正文4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3">
    <w:name w:val="正文1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4">
    <w:name w:val="正文4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5">
    <w:name w:val="正文1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6">
    <w:name w:val="正文4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7">
    <w:name w:val="正文1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8">
    <w:name w:val="正文4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9">
    <w:name w:val="正文1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0">
    <w:name w:val="正文4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1">
    <w:name w:val="正文1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2">
    <w:name w:val="正文4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3">
    <w:name w:val="正文1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4">
    <w:name w:val="正文4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5">
    <w:name w:val="正文1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6">
    <w:name w:val="正文4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7">
    <w:name w:val="正文1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8">
    <w:name w:val="正文4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9">
    <w:name w:val="正文1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0">
    <w:name w:val="正文4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1">
    <w:name w:val="正文1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2">
    <w:name w:val="正文4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3">
    <w:name w:val="正文1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4">
    <w:name w:val="正文4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5">
    <w:name w:val="正文1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6">
    <w:name w:val="正文4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7">
    <w:name w:val="正文1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8">
    <w:name w:val="正文4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9">
    <w:name w:val="正文1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0">
    <w:name w:val="正文4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1">
    <w:name w:val="正文1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2">
    <w:name w:val="正文4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3">
    <w:name w:val="正文1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4">
    <w:name w:val="正文4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5">
    <w:name w:val="正文1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6">
    <w:name w:val="正文4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7">
    <w:name w:val="正文19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8">
    <w:name w:val="正文4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9">
    <w:name w:val="正文19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0">
    <w:name w:val="正文4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1">
    <w:name w:val="正文2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2">
    <w:name w:val="正文4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3">
    <w:name w:val="正文2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4">
    <w:name w:val="正文4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5">
    <w:name w:val="正文2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6">
    <w:name w:val="正文4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7">
    <w:name w:val="正文2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8">
    <w:name w:val="正文4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9">
    <w:name w:val="正文2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0">
    <w:name w:val="正文4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1">
    <w:name w:val="正文2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2">
    <w:name w:val="正文4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3">
    <w:name w:val="正文2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4">
    <w:name w:val="正文4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5">
    <w:name w:val="正文2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6">
    <w:name w:val="正文4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7">
    <w:name w:val="正文2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8">
    <w:name w:val="正文4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9">
    <w:name w:val="正文2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0">
    <w:name w:val="正文4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1">
    <w:name w:val="正文2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2">
    <w:name w:val="正文4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3">
    <w:name w:val="正文2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4">
    <w:name w:val="正文4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5">
    <w:name w:val="正文2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6">
    <w:name w:val="正文4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7">
    <w:name w:val="正文2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8">
    <w:name w:val="正文4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9">
    <w:name w:val="样式 129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0">
    <w:name w:val="正文4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1">
    <w:name w:val="正文2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2">
    <w:name w:val="正文4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3">
    <w:name w:val="样式 128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4">
    <w:name w:val="正文4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5">
    <w:name w:val="正文2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6">
    <w:name w:val="正文4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7">
    <w:name w:val="样式 127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68">
    <w:name w:val="正文4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2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0">
    <w:name w:val="正文4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1">
    <w:name w:val="样式 126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72">
    <w:name w:val="正文4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正文2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正文4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5">
    <w:name w:val="正文2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6">
    <w:name w:val="正文4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7">
    <w:name w:val="正文2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8">
    <w:name w:val="正文49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9">
    <w:name w:val="正文2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0">
    <w:name w:val="正文49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1">
    <w:name w:val="正文2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2">
    <w:name w:val="正文5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3">
    <w:name w:val="正文2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4">
    <w:name w:val="正文5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5">
    <w:name w:val="正文2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6">
    <w:name w:val="正文5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7">
    <w:name w:val="正文2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8">
    <w:name w:val="正文5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9">
    <w:name w:val="正文2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0">
    <w:name w:val="正文5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1">
    <w:name w:val="正文2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2">
    <w:name w:val="正文5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3">
    <w:name w:val="正文2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4">
    <w:name w:val="正文5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5">
    <w:name w:val="正文2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6">
    <w:name w:val="正文5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7">
    <w:name w:val="正文2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8">
    <w:name w:val="正文5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9">
    <w:name w:val="正文2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0">
    <w:name w:val="正文5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1">
    <w:name w:val="正文2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2">
    <w:name w:val="正文5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3">
    <w:name w:val="正文2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4">
    <w:name w:val="正文5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5">
    <w:name w:val="正文2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6">
    <w:name w:val="正文5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7">
    <w:name w:val="正文2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8">
    <w:name w:val="正文5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9">
    <w:name w:val="正文2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0">
    <w:name w:val="正文2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1">
    <w:name w:val="正文2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2">
    <w:name w:val="正文2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3">
    <w:name w:val="正文2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4">
    <w:name w:val="正文2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5">
    <w:name w:val="正文2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2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7">
    <w:name w:val="正文2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8">
    <w:name w:val="正文2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9">
    <w:name w:val="正文2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0">
    <w:name w:val="正文2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1">
    <w:name w:val="正文2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2">
    <w:name w:val="正文2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3">
    <w:name w:val="正文2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4">
    <w:name w:val="正文2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5">
    <w:name w:val="正文2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6">
    <w:name w:val="正文2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7">
    <w:name w:val="正文2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8">
    <w:name w:val="正文2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正文2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0">
    <w:name w:val="正文2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1">
    <w:name w:val="正文2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2">
    <w:name w:val="正文2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正文2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4">
    <w:name w:val="正文2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5">
    <w:name w:val="正文2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6">
    <w:name w:val="正文2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7">
    <w:name w:val="正文2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8">
    <w:name w:val="正文2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9">
    <w:name w:val="正文2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0">
    <w:name w:val="正文2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1">
    <w:name w:val="正文2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2">
    <w:name w:val="正文2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3">
    <w:name w:val="正文2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4">
    <w:name w:val="正文2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5">
    <w:name w:val="正文2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6">
    <w:name w:val="正文2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7">
    <w:name w:val="正文2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8">
    <w:name w:val="正文2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9">
    <w:name w:val="正文2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0">
    <w:name w:val="正文2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1">
    <w:name w:val="正文2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2">
    <w:name w:val="正文2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3">
    <w:name w:val="正文2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4">
    <w:name w:val="正文2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5">
    <w:name w:val="正文2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6">
    <w:name w:val="正文2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7">
    <w:name w:val="正文2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8">
    <w:name w:val="正文2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9">
    <w:name w:val="正文2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0">
    <w:name w:val="正文2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1">
    <w:name w:val="正文2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2">
    <w:name w:val="正文2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3">
    <w:name w:val="正文2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4">
    <w:name w:val="正文2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5">
    <w:name w:val="正文29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6">
    <w:name w:val="正文29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7">
    <w:name w:val="正文3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8">
    <w:name w:val="正文3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9">
    <w:name w:val="正文3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0">
    <w:name w:val="正文3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1">
    <w:name w:val="正文3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2">
    <w:name w:val="正文3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3">
    <w:name w:val="正文3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4">
    <w:name w:val="正文3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5">
    <w:name w:val="正文3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6">
    <w:name w:val="正文3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7">
    <w:name w:val="正文3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8">
    <w:name w:val="正文3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9">
    <w:name w:val="正文3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0">
    <w:name w:val="正文3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1">
    <w:name w:val="正文3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2">
    <w:name w:val="正文3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3">
    <w:name w:val="正文3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4">
    <w:name w:val="正文3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5">
    <w:name w:val="正文3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6">
    <w:name w:val="正文3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7">
    <w:name w:val="正文3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8">
    <w:name w:val="正文3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9">
    <w:name w:val="正文3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0">
    <w:name w:val="正文3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1">
    <w:name w:val="正文3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2">
    <w:name w:val="正文3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3">
    <w:name w:val="正文3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4">
    <w:name w:val="正文3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5">
    <w:name w:val="正文3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6">
    <w:name w:val="正文3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7">
    <w:name w:val="正文3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8">
    <w:name w:val="正文3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9">
    <w:name w:val="正文3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0">
    <w:name w:val="正文3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1">
    <w:name w:val="正文3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2">
    <w:name w:val="正文3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3">
    <w:name w:val="正文3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4">
    <w:name w:val="正文3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5">
    <w:name w:val="正文3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6">
    <w:name w:val="正文3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7">
    <w:name w:val="正文3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8">
    <w:name w:val="正文3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9">
    <w:name w:val="正文3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0">
    <w:name w:val="正文3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1">
    <w:name w:val="正文3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2">
    <w:name w:val="正文3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3">
    <w:name w:val="正文3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4">
    <w:name w:val="正文3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5">
    <w:name w:val="正文3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6">
    <w:name w:val="正文3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7">
    <w:name w:val="正文3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8">
    <w:name w:val="正文3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9">
    <w:name w:val="正文3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0">
    <w:name w:val="正文3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1">
    <w:name w:val="正文3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2">
    <w:name w:val="正文3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3">
    <w:name w:val="正文3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4">
    <w:name w:val="正文3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5">
    <w:name w:val="正文3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6">
    <w:name w:val="正文3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7">
    <w:name w:val="正文3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8">
    <w:name w:val="正文3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9">
    <w:name w:val="正文3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0">
    <w:name w:val="正文3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1">
    <w:name w:val="正文3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2">
    <w:name w:val="正文3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3">
    <w:name w:val="正文3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4">
    <w:name w:val="正文3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5">
    <w:name w:val="正文3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6">
    <w:name w:val="正文3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7">
    <w:name w:val="正文3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8">
    <w:name w:val="正文3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9">
    <w:name w:val="正文3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0">
    <w:name w:val="正文3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1">
    <w:name w:val="正文3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2">
    <w:name w:val="正文3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3">
    <w:name w:val="正文3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4">
    <w:name w:val="正文3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5">
    <w:name w:val="正文3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6">
    <w:name w:val="正文3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7">
    <w:name w:val="正文3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8">
    <w:name w:val="正文39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9">
    <w:name w:val="正文39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0">
    <w:name w:val="正文5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1">
    <w:name w:val="正文5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2">
    <w:name w:val="正文5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3">
    <w:name w:val="正文5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4">
    <w:name w:val="正文5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5">
    <w:name w:val="正文5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6">
    <w:name w:val="正文5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7">
    <w:name w:val="正文5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8">
    <w:name w:val="正文5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9">
    <w:name w:val="正文5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0">
    <w:name w:val="正文5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1">
    <w:name w:val="正文5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2">
    <w:name w:val="正文5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3">
    <w:name w:val="正文5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4">
    <w:name w:val="正文5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正文5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6">
    <w:name w:val="正文5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7">
    <w:name w:val="正文5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8">
    <w:name w:val="正文5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9">
    <w:name w:val="正文5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0">
    <w:name w:val="正文5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1">
    <w:name w:val="正文5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2">
    <w:name w:val="正文5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3">
    <w:name w:val="正文5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4">
    <w:name w:val="正文5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5">
    <w:name w:val="正文5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6">
    <w:name w:val="正文5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7">
    <w:name w:val="正文5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8">
    <w:name w:val="正文5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9">
    <w:name w:val="正文5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0">
    <w:name w:val="正文5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1">
    <w:name w:val="正文5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2">
    <w:name w:val="正文5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3">
    <w:name w:val="正文5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4">
    <w:name w:val="正文5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5">
    <w:name w:val="正文5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6">
    <w:name w:val="正文5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7">
    <w:name w:val="正文5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8">
    <w:name w:val="正文5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9">
    <w:name w:val="正文5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0">
    <w:name w:val="正文59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1">
    <w:name w:val="正文59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2">
    <w:name w:val="正文6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3">
    <w:name w:val="正文6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4">
    <w:name w:val="正文6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5">
    <w:name w:val="正文6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6">
    <w:name w:val="正文6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7">
    <w:name w:val="正文6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8">
    <w:name w:val="正文6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9">
    <w:name w:val="正文6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0">
    <w:name w:val="正文6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1">
    <w:name w:val="正文6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2">
    <w:name w:val="正文6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3">
    <w:name w:val="正文6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4">
    <w:name w:val="正文6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5">
    <w:name w:val="正文6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6">
    <w:name w:val="正文6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7">
    <w:name w:val="正文6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8">
    <w:name w:val="正文6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9">
    <w:name w:val="正文6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0">
    <w:name w:val="正文6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1">
    <w:name w:val="正文6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2">
    <w:name w:val="正文6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3">
    <w:name w:val="正文6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4">
    <w:name w:val="正文6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5">
    <w:name w:val="正文6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6">
    <w:name w:val="正文6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7">
    <w:name w:val="正文6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8">
    <w:name w:val="正文6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9">
    <w:name w:val="正文6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0">
    <w:name w:val="正文6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1">
    <w:name w:val="正文6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2">
    <w:name w:val="正文6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3">
    <w:name w:val="正文6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4">
    <w:name w:val="正文6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5">
    <w:name w:val="正文6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6">
    <w:name w:val="正文6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7">
    <w:name w:val="正文6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8">
    <w:name w:val="正文6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9">
    <w:name w:val="正文6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0">
    <w:name w:val="正文6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1">
    <w:name w:val="正文6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2">
    <w:name w:val="正文6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3">
    <w:name w:val="正文6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4">
    <w:name w:val="正文6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5">
    <w:name w:val="正文6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6">
    <w:name w:val="正文6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7">
    <w:name w:val="正文6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8">
    <w:name w:val="正文6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9">
    <w:name w:val="正文6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0">
    <w:name w:val="正文6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1">
    <w:name w:val="正文6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2">
    <w:name w:val="正文6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3">
    <w:name w:val="正文6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4">
    <w:name w:val="正文6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5">
    <w:name w:val="正文6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6">
    <w:name w:val="正文6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7">
    <w:name w:val="正文6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8">
    <w:name w:val="正文6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9">
    <w:name w:val="正文6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0">
    <w:name w:val="正文6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1">
    <w:name w:val="正文6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2">
    <w:name w:val="正文6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3">
    <w:name w:val="正文6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4">
    <w:name w:val="正文6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5">
    <w:name w:val="正文6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6">
    <w:name w:val="正文6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7">
    <w:name w:val="正文6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8">
    <w:name w:val="正文6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9">
    <w:name w:val="正文6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0">
    <w:name w:val="正文6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1">
    <w:name w:val="正文6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2">
    <w:name w:val="正文6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3">
    <w:name w:val="正文6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4">
    <w:name w:val="正文6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5">
    <w:name w:val="正文6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6">
    <w:name w:val="正文6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7">
    <w:name w:val="正文6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8">
    <w:name w:val="正文6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9">
    <w:name w:val="正文6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0">
    <w:name w:val="正文6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1">
    <w:name w:val="正文6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2">
    <w:name w:val="正文6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3">
    <w:name w:val="正文6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4">
    <w:name w:val="正文6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5">
    <w:name w:val="正文6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6">
    <w:name w:val="正文6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7">
    <w:name w:val="正文6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8">
    <w:name w:val="正文6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9">
    <w:name w:val="正文6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0">
    <w:name w:val="正文6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1">
    <w:name w:val="正文6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2">
    <w:name w:val="正文69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3">
    <w:name w:val="正文69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4">
    <w:name w:val="正文70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5">
    <w:name w:val="正文70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6">
    <w:name w:val="正文70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7">
    <w:name w:val="正文7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8">
    <w:name w:val="正文7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9">
    <w:name w:val="正文7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0">
    <w:name w:val="正文7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1">
    <w:name w:val="正文7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2">
    <w:name w:val="正文7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3">
    <w:name w:val="正文7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4">
    <w:name w:val="正文7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5">
    <w:name w:val="正文7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6">
    <w:name w:val="正文7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7">
    <w:name w:val="正文7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8">
    <w:name w:val="正文7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9">
    <w:name w:val="正文7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0">
    <w:name w:val="正文7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1">
    <w:name w:val="正文7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2">
    <w:name w:val="正文7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3">
    <w:name w:val="正文7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4">
    <w:name w:val="正文7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5">
    <w:name w:val="正文7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6">
    <w:name w:val="正文7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7">
    <w:name w:val="正文7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8">
    <w:name w:val="正文7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9">
    <w:name w:val="正文7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0">
    <w:name w:val="正文7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1">
    <w:name w:val="正文7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2">
    <w:name w:val="正文7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3">
    <w:name w:val="正文7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4">
    <w:name w:val="正文7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5">
    <w:name w:val="正文7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6">
    <w:name w:val="正文7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7">
    <w:name w:val="正文7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8">
    <w:name w:val="正文7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9">
    <w:name w:val="正文7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0">
    <w:name w:val="正文7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1">
    <w:name w:val="正文7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2">
    <w:name w:val="正文7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3">
    <w:name w:val="正文7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4">
    <w:name w:val="样式 117 10 磅"/>
    <w:next w:val="1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25">
    <w:name w:val="样式 117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26">
    <w:name w:val="样式 119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27">
    <w:name w:val="样式 121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28">
    <w:name w:val="样式 122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29">
    <w:name w:val="样式 123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0">
    <w:name w:val="样式 124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1">
    <w:name w:val="样式 125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2">
    <w:name w:val="样式 130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3">
    <w:name w:val="样式 131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4">
    <w:name w:val="样式 132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5">
    <w:name w:val="样式 133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6">
    <w:name w:val="样式 134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7">
    <w:name w:val="样式 135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8">
    <w:name w:val="样式 136 10 磅"/>
    <w:next w:val="459"/>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39">
    <w:name w:val="样式 137 10 磅"/>
    <w:next w:val="46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40">
    <w:name w:val="样式 138 10 磅"/>
    <w:next w:val="46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41">
    <w:name w:val="样式 139 10 磅"/>
    <w:next w:val="46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42">
    <w:name w:val="样式 140 10 磅"/>
    <w:next w:val="46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43">
    <w:name w:val="纯文本1"/>
    <w:qFormat/>
    <w:uiPriority w:val="0"/>
    <w:pPr>
      <w:widowControl w:val="0"/>
      <w:spacing w:line="360" w:lineRule="auto"/>
      <w:jc w:val="both"/>
    </w:pPr>
    <w:rPr>
      <w:rFonts w:ascii="宋体" w:hAnsi="Times New Roman" w:eastAsia="宋体" w:cs="Courier New"/>
      <w:kern w:val="2"/>
      <w:sz w:val="24"/>
      <w:szCs w:val="21"/>
      <w:lang w:val="en-US" w:eastAsia="zh-CN" w:bidi="ar-SA"/>
    </w:rPr>
  </w:style>
  <w:style w:type="paragraph" w:customStyle="1" w:styleId="1144">
    <w:name w:val="样式 141 10 磅"/>
    <w:next w:val="11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5">
    <w:name w:val="样式 141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6">
    <w:name w:val="正文_0"/>
    <w:next w:val="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47">
    <w:name w:val="样式 142 10 磅"/>
    <w:next w:val="46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48">
    <w:name w:val="样式 143 10 磅"/>
    <w:next w:val="46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49">
    <w:name w:val="样式 143 10 磅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0">
    <w:name w:val="样式 144 10 磅"/>
    <w:next w:val="468"/>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51">
    <w:name w:val="样式 145 10 磅"/>
    <w:next w:val="469"/>
    <w:qFormat/>
    <w:uiPriority w:val="0"/>
    <w:rPr>
      <w:rFonts w:ascii="Times New Roman" w:hAnsi="Times New Roman" w:eastAsia="微软雅黑" w:cs="Times New Roman"/>
      <w:sz w:val="21"/>
      <w:szCs w:val="21"/>
      <w:lang w:val="en-US" w:eastAsia="zh-CN" w:bidi="ar-SA"/>
    </w:rPr>
  </w:style>
  <w:style w:type="character" w:customStyle="1" w:styleId="1152">
    <w:name w:val="apple-converted-space"/>
    <w:qFormat/>
    <w:uiPriority w:val="0"/>
  </w:style>
  <w:style w:type="paragraph" w:customStyle="1" w:styleId="1153">
    <w:name w:val="样式 145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4">
    <w:name w:val="样式 146 10 磅"/>
    <w:next w:val="47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55">
    <w:name w:val="样式 147 10 磅"/>
    <w:next w:val="47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56">
    <w:name w:val="样式 147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7">
    <w:name w:val="样式 148 10 磅"/>
    <w:next w:val="47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58">
    <w:name w:val="样式 148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59">
    <w:name w:val="样式 149 10 磅"/>
    <w:next w:val="47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0">
    <w:name w:val="样式 150 10 磅"/>
    <w:next w:val="47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1">
    <w:name w:val="样式 151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62">
    <w:name w:val="样式 152 10 磅"/>
    <w:next w:val="47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3">
    <w:name w:val="样式 153 10 磅"/>
    <w:next w:val="47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4">
    <w:name w:val="样式 153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5">
    <w:name w:val="样式 154 10 磅"/>
    <w:next w:val="47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6">
    <w:name w:val="样式 154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7">
    <w:name w:val="正文文本缩进 2_0_0"/>
    <w:next w:val="1"/>
    <w:qFormat/>
    <w:uiPriority w:val="0"/>
    <w:pPr>
      <w:widowControl w:val="0"/>
      <w:adjustRightInd w:val="0"/>
      <w:ind w:firstLine="244"/>
    </w:pPr>
    <w:rPr>
      <w:rFonts w:ascii="宋体" w:hAnsi="Times New Roman" w:eastAsia="宋体" w:cs="宋体"/>
      <w:sz w:val="24"/>
      <w:szCs w:val="21"/>
      <w:lang w:val="en-US" w:eastAsia="en-US" w:bidi="ar-SA"/>
    </w:rPr>
  </w:style>
  <w:style w:type="paragraph" w:customStyle="1" w:styleId="1168">
    <w:name w:val="TOC 标题1"/>
    <w:basedOn w:val="2"/>
    <w:next w:val="1"/>
    <w:qFormat/>
    <w:uiPriority w:val="0"/>
    <w:pPr>
      <w:widowControl/>
      <w:spacing w:after="0" w:line="259" w:lineRule="auto"/>
      <w:jc w:val="left"/>
      <w:outlineLvl w:val="9"/>
    </w:pPr>
    <w:rPr>
      <w:rFonts w:ascii="等线 Light" w:eastAsia="等线 Light"/>
      <w:b w:val="0"/>
      <w:color w:val="2E74B5"/>
      <w:kern w:val="0"/>
      <w:sz w:val="32"/>
      <w:szCs w:val="32"/>
    </w:rPr>
  </w:style>
  <w:style w:type="paragraph" w:customStyle="1" w:styleId="1169">
    <w:name w:val="样式 155 10 磅"/>
    <w:next w:val="478"/>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70">
    <w:name w:val="样式 1 三号"/>
    <w:qFormat/>
    <w:uiPriority w:val="0"/>
    <w:pPr>
      <w:widowControl w:val="0"/>
      <w:jc w:val="center"/>
      <w:outlineLvl w:val="0"/>
    </w:pPr>
    <w:rPr>
      <w:rFonts w:ascii="Times New Roman" w:hAnsi="Times New Roman" w:eastAsia="宋体" w:cs="Times New Roman"/>
      <w:b/>
      <w:kern w:val="2"/>
      <w:sz w:val="32"/>
      <w:szCs w:val="24"/>
      <w:lang w:val="en-US" w:eastAsia="zh-CN" w:bidi="ar-SA"/>
    </w:rPr>
  </w:style>
  <w:style w:type="paragraph" w:customStyle="1" w:styleId="1171">
    <w:name w:val="样式 155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72">
    <w:name w:val="样式 156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73">
    <w:name w:val="样式 15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74">
    <w:name w:val="样式 158 10 磅"/>
    <w:next w:val="48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75">
    <w:name w:val="样式 23 小四"/>
    <w:next w:val="1"/>
    <w:qFormat/>
    <w:uiPriority w:val="0"/>
    <w:pPr>
      <w:widowControl w:val="0"/>
      <w:jc w:val="center"/>
    </w:pPr>
    <w:rPr>
      <w:rFonts w:ascii="Times New Roman" w:hAnsi="Times New Roman" w:eastAsia="宋体" w:cs="Times New Roman"/>
      <w:kern w:val="2"/>
      <w:sz w:val="24"/>
      <w:lang w:val="en-US" w:eastAsia="zh-CN" w:bidi="ar-SA"/>
    </w:rPr>
  </w:style>
  <w:style w:type="paragraph" w:customStyle="1" w:styleId="1176">
    <w:name w:val="样式 158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77">
    <w:name w:val="样式 159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78">
    <w:name w:val="样式 160 10 磅"/>
    <w:next w:val="483"/>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79">
    <w:name w:val="样式 160 10 磅1"/>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180">
    <w:name w:val="样式 23 小四1"/>
    <w:qFormat/>
    <w:uiPriority w:val="0"/>
    <w:pPr>
      <w:widowControl w:val="0"/>
      <w:adjustRightInd w:val="0"/>
      <w:spacing w:after="120" w:line="360" w:lineRule="atLeast"/>
      <w:ind w:left="420"/>
      <w:textAlignment w:val="baseline"/>
    </w:pPr>
    <w:rPr>
      <w:rFonts w:ascii="Times New Roman" w:hAnsi="Times New Roman" w:eastAsia="宋体" w:cs="Times New Roman"/>
      <w:sz w:val="24"/>
      <w:lang w:val="en-US" w:eastAsia="zh-CN" w:bidi="ar-SA"/>
    </w:rPr>
  </w:style>
  <w:style w:type="paragraph" w:customStyle="1" w:styleId="1181">
    <w:name w:val="样式 70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2">
    <w:name w:val="样式 161 10 磅"/>
    <w:next w:val="158"/>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83">
    <w:name w:val="样式 162 10 磅"/>
    <w:next w:val="159"/>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84">
    <w:name w:val="样式 163 10 磅"/>
    <w:next w:val="48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85">
    <w:name w:val="样式 163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6">
    <w:name w:val="样式 164 10 磅"/>
    <w:next w:val="48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87">
    <w:name w:val="样式 165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8">
    <w:name w:val="样式 166 10 磅"/>
    <w:next w:val="118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89">
    <w:name w:val="样式 166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90">
    <w:name w:val="样式 167 10 磅"/>
    <w:next w:val="119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1">
    <w:name w:val="样式 167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2">
    <w:name w:val="样式 24 小四"/>
    <w:next w:val="1193"/>
    <w:qFormat/>
    <w:uiPriority w:val="0"/>
    <w:pPr>
      <w:widowControl w:val="0"/>
      <w:adjustRightInd w:val="0"/>
      <w:ind w:firstLine="244"/>
    </w:pPr>
    <w:rPr>
      <w:rFonts w:ascii="宋体" w:hAnsi="Times New Roman" w:eastAsia="宋体" w:cs="宋体"/>
      <w:sz w:val="24"/>
      <w:szCs w:val="21"/>
      <w:lang w:val="en-US" w:eastAsia="en-US" w:bidi="ar-SA"/>
    </w:rPr>
  </w:style>
  <w:style w:type="paragraph" w:customStyle="1" w:styleId="1193">
    <w:name w:val="样式 24 小四1"/>
    <w:qFormat/>
    <w:uiPriority w:val="0"/>
    <w:pPr>
      <w:widowControl w:val="0"/>
      <w:adjustRightInd w:val="0"/>
      <w:ind w:firstLine="244"/>
    </w:pPr>
    <w:rPr>
      <w:rFonts w:ascii="宋体" w:hAnsi="Times New Roman" w:eastAsia="宋体" w:cs="宋体"/>
      <w:sz w:val="24"/>
      <w:szCs w:val="21"/>
      <w:lang w:val="en-US" w:eastAsia="en-US" w:bidi="ar-SA"/>
    </w:rPr>
  </w:style>
  <w:style w:type="paragraph" w:customStyle="1" w:styleId="1194">
    <w:name w:val="样式 171 10 磅"/>
    <w:next w:val="50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5">
    <w:name w:val="样式 168 10 磅"/>
    <w:next w:val="119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6">
    <w:name w:val="样式 168 10 磅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7">
    <w:name w:val="样式 169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8">
    <w:name w:val="样式 170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9">
    <w:name w:val="样式 172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00">
    <w:name w:val="样式 173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01">
    <w:name w:val="样式 174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02">
    <w:name w:val="样式 175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3">
    <w:name w:val="样式 176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04">
    <w:name w:val="样式 177 10 磅"/>
    <w:next w:val="120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5">
    <w:name w:val="样式 177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6">
    <w:name w:val="样式 17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7">
    <w:name w:val="样式 17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8">
    <w:name w:val="样式 180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9">
    <w:name w:val="样式 181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0">
    <w:name w:val="样式 18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1">
    <w:name w:val="样式 18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2">
    <w:name w:val="样式 184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3">
    <w:name w:val="样式 185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4">
    <w:name w:val="样式 18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5">
    <w:name w:val="样式 18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6">
    <w:name w:val="样式 18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7">
    <w:name w:val="样式 18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8">
    <w:name w:val="样式 190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9">
    <w:name w:val="样式 191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0">
    <w:name w:val="样式 19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1">
    <w:name w:val="样式 19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2">
    <w:name w:val="样式 194 10 磅"/>
    <w:next w:val="12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3">
    <w:name w:val="样式 194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4">
    <w:name w:val="样式 195 10 磅"/>
    <w:next w:val="12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5">
    <w:name w:val="样式 195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6">
    <w:name w:val="样式 19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7">
    <w:name w:val="样式 19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8">
    <w:name w:val="样式 19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9">
    <w:name w:val="样式 19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0">
    <w:name w:val="样式 200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1">
    <w:name w:val="样式 201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2">
    <w:name w:val="样式 20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3">
    <w:name w:val="样式 20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4">
    <w:name w:val="样式 204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5">
    <w:name w:val="样式 205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6">
    <w:name w:val="样式 20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7">
    <w:name w:val="样式 20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8">
    <w:name w:val="样式 20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9">
    <w:name w:val="样式 20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0">
    <w:name w:val="样式 210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41">
    <w:name w:val="样式 211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2">
    <w:name w:val="样式 21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3">
    <w:name w:val="样式 21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4">
    <w:name w:val="样式 214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5">
    <w:name w:val="样式 215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6">
    <w:name w:val="样式 21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7">
    <w:name w:val="样式 21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8">
    <w:name w:val="样式 218 10 磅"/>
    <w:next w:val="12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9">
    <w:name w:val="样式 218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50">
    <w:name w:val="样式 219 10 磅"/>
    <w:next w:val="30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51">
    <w:name w:val="正文_5"/>
    <w:next w:val="16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52">
    <w:name w:val="标题 2_1"/>
    <w:next w:val="16"/>
    <w:qFormat/>
    <w:uiPriority w:val="0"/>
    <w:pPr>
      <w:keepNext/>
      <w:keepLines/>
      <w:widowControl w:val="0"/>
      <w:spacing w:before="260" w:after="260" w:line="408" w:lineRule="auto"/>
      <w:jc w:val="both"/>
      <w:outlineLvl w:val="1"/>
    </w:pPr>
    <w:rPr>
      <w:rFonts w:ascii="Arial" w:hAnsi="Arial" w:eastAsia="黑体" w:cs="Arial"/>
      <w:b/>
      <w:kern w:val="2"/>
      <w:sz w:val="32"/>
      <w:szCs w:val="22"/>
      <w:lang w:val="en-US" w:eastAsia="en-US" w:bidi="ar-SA"/>
    </w:rPr>
  </w:style>
  <w:style w:type="paragraph" w:customStyle="1" w:styleId="1253">
    <w:name w:val="正文_4"/>
    <w:next w:val="45"/>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customStyle="1" w:styleId="1254">
    <w:name w:val="样式 219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55">
    <w:name w:val="样式 220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56">
    <w:name w:val="样式 221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57">
    <w:name w:val="样式 222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58">
    <w:name w:val="样式 223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59">
    <w:name w:val="样式 224 10 磅"/>
    <w:next w:val="1260"/>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60">
    <w:name w:val="样式 224 10 磅1"/>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61">
    <w:name w:val="样式 225 10 磅"/>
    <w:next w:val="1262"/>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62">
    <w:name w:val="样式 225 10 磅1"/>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63">
    <w:name w:val="样式 226 10 磅"/>
    <w:next w:val="1264"/>
    <w:qFormat/>
    <w:uiPriority w:val="0"/>
    <w:pPr>
      <w:widowControl w:val="0"/>
      <w:tabs>
        <w:tab w:val="left" w:pos="567"/>
      </w:tabs>
      <w:ind w:left="567" w:hanging="567"/>
      <w:jc w:val="both"/>
    </w:pPr>
    <w:rPr>
      <w:rFonts w:ascii="宋体" w:hAnsi="Times New Roman" w:eastAsia="宋体" w:cs="Times New Roman"/>
      <w:sz w:val="21"/>
      <w:szCs w:val="21"/>
      <w:lang w:val="en-US" w:eastAsia="zh-CN" w:bidi="ar-SA"/>
    </w:rPr>
  </w:style>
  <w:style w:type="paragraph" w:customStyle="1" w:styleId="1264">
    <w:name w:val="样式 226 10 磅1"/>
    <w:qFormat/>
    <w:uiPriority w:val="0"/>
    <w:pPr>
      <w:widowControl w:val="0"/>
      <w:tabs>
        <w:tab w:val="left" w:pos="567"/>
      </w:tabs>
      <w:ind w:left="567" w:hanging="567"/>
      <w:jc w:val="both"/>
    </w:pPr>
    <w:rPr>
      <w:rFonts w:ascii="宋体" w:hAnsi="Times New Roman" w:eastAsia="宋体" w:cs="Times New Roman"/>
      <w:sz w:val="21"/>
      <w:szCs w:val="21"/>
      <w:lang w:val="en-US" w:eastAsia="zh-CN" w:bidi="ar-SA"/>
    </w:rPr>
  </w:style>
  <w:style w:type="paragraph" w:customStyle="1" w:styleId="1265">
    <w:name w:val="样式 2 三号"/>
    <w:qFormat/>
    <w:uiPriority w:val="0"/>
    <w:pPr>
      <w:keepNext/>
      <w:keepLines/>
      <w:widowControl w:val="0"/>
      <w:spacing w:before="260" w:after="260" w:line="408" w:lineRule="auto"/>
      <w:jc w:val="both"/>
      <w:outlineLvl w:val="1"/>
    </w:pPr>
    <w:rPr>
      <w:rFonts w:ascii="Arial" w:hAnsi="Arial" w:eastAsia="黑体" w:cs="Arial"/>
      <w:b/>
      <w:kern w:val="2"/>
      <w:sz w:val="32"/>
      <w:szCs w:val="22"/>
      <w:lang w:val="en-US" w:eastAsia="en-US" w:bidi="ar-SA"/>
    </w:rPr>
  </w:style>
  <w:style w:type="paragraph" w:customStyle="1" w:styleId="1266">
    <w:name w:val="样式 22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67">
    <w:name w:val="样式 228 10 磅"/>
    <w:next w:val="126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68">
    <w:name w:val="样式 228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69">
    <w:name w:val="正文_3_0_0"/>
    <w:next w:val="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70">
    <w:name w:val="样式 229 10 磅"/>
    <w:qFormat/>
    <w:uiPriority w:val="0"/>
    <w:pPr>
      <w:widowControl w:val="0"/>
      <w:spacing w:after="120" w:line="480" w:lineRule="auto"/>
      <w:ind w:left="420"/>
      <w:jc w:val="both"/>
    </w:pPr>
    <w:rPr>
      <w:rFonts w:ascii="Times New Roman" w:hAnsi="Times New Roman" w:eastAsia="宋体" w:cs="Times New Roman"/>
      <w:kern w:val="2"/>
      <w:sz w:val="21"/>
      <w:szCs w:val="22"/>
      <w:lang w:val="en-US" w:eastAsia="zh-CN" w:bidi="ar-SA"/>
    </w:rPr>
  </w:style>
  <w:style w:type="paragraph" w:customStyle="1" w:styleId="1271">
    <w:name w:val="纯文本_0"/>
    <w:next w:val="149"/>
    <w:qFormat/>
    <w:uiPriority w:val="0"/>
    <w:pPr>
      <w:widowControl w:val="0"/>
      <w:jc w:val="both"/>
    </w:pPr>
    <w:rPr>
      <w:rFonts w:ascii="宋体" w:hAnsi="Times New Roman" w:eastAsia="宋体" w:cs="Times New Roman"/>
      <w:kern w:val="2"/>
      <w:sz w:val="21"/>
      <w:szCs w:val="21"/>
      <w:lang w:val="en-US" w:eastAsia="zh-CN" w:bidi="ar-SA"/>
    </w:rPr>
  </w:style>
  <w:style w:type="paragraph" w:customStyle="1" w:styleId="1272">
    <w:name w:val="样式 230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73">
    <w:name w:val="样式 231 10 磅"/>
    <w:next w:val="127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74">
    <w:name w:val="样式 231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75">
    <w:name w:val="样式 232 10 磅"/>
    <w:qFormat/>
    <w:uiPriority w:val="0"/>
    <w:pPr>
      <w:spacing w:before="100" w:beforeAutospacing="1" w:after="100" w:afterAutospacing="1" w:line="360" w:lineRule="auto"/>
      <w:jc w:val="both"/>
      <w:textAlignment w:val="top"/>
    </w:pPr>
    <w:rPr>
      <w:rFonts w:ascii="Calibri" w:hAnsi="Calibri" w:eastAsia="宋体" w:cs="Times New Roman"/>
      <w:kern w:val="2"/>
      <w:sz w:val="21"/>
      <w:szCs w:val="24"/>
      <w:lang w:val="en-US" w:eastAsia="zh-CN" w:bidi="ar-SA"/>
    </w:rPr>
  </w:style>
  <w:style w:type="paragraph" w:customStyle="1" w:styleId="1276">
    <w:name w:val="样式 233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77">
    <w:name w:val="样式 25 小四"/>
    <w:qFormat/>
    <w:uiPriority w:val="0"/>
    <w:pPr>
      <w:widowControl w:val="0"/>
      <w:jc w:val="center"/>
    </w:pPr>
    <w:rPr>
      <w:rFonts w:ascii="Times New Roman" w:hAnsi="Times New Roman" w:eastAsia="宋体" w:cs="Times New Roman"/>
      <w:kern w:val="2"/>
      <w:sz w:val="24"/>
      <w:lang w:val="en-US" w:eastAsia="zh-CN" w:bidi="ar-SA"/>
    </w:rPr>
  </w:style>
  <w:style w:type="paragraph" w:customStyle="1" w:styleId="1278">
    <w:name w:val="样式 3 三号"/>
    <w:qFormat/>
    <w:uiPriority w:val="0"/>
    <w:pPr>
      <w:keepNext/>
      <w:keepLines/>
      <w:spacing w:before="340" w:line="259" w:lineRule="auto"/>
    </w:pPr>
    <w:rPr>
      <w:rFonts w:ascii="等线 Light" w:hAnsi="Times New Roman" w:eastAsia="等线 Light" w:cs="Times New Roman"/>
      <w:color w:val="2E74B5"/>
      <w:sz w:val="32"/>
      <w:szCs w:val="32"/>
      <w:lang w:val="en-US" w:eastAsia="zh-CN" w:bidi="ar-SA"/>
    </w:rPr>
  </w:style>
  <w:style w:type="paragraph" w:customStyle="1" w:styleId="1279">
    <w:name w:val="样式 27 小四"/>
    <w:next w:val="1280"/>
    <w:qFormat/>
    <w:uiPriority w:val="0"/>
    <w:pPr>
      <w:widowControl w:val="0"/>
      <w:adjustRightInd w:val="0"/>
      <w:spacing w:after="120" w:line="360" w:lineRule="atLeast"/>
      <w:ind w:left="420"/>
    </w:pPr>
    <w:rPr>
      <w:rFonts w:ascii="Times New Roman" w:hAnsi="Times New Roman" w:eastAsia="宋体" w:cs="Times New Roman"/>
      <w:sz w:val="24"/>
      <w:lang w:val="en-US" w:eastAsia="zh-CN" w:bidi="ar-SA"/>
    </w:rPr>
  </w:style>
  <w:style w:type="paragraph" w:customStyle="1" w:styleId="1280">
    <w:name w:val="样式 27 小四1"/>
    <w:qFormat/>
    <w:uiPriority w:val="0"/>
    <w:pPr>
      <w:widowControl w:val="0"/>
      <w:adjustRightInd w:val="0"/>
      <w:spacing w:after="120" w:line="360" w:lineRule="atLeast"/>
      <w:ind w:left="420"/>
    </w:pPr>
    <w:rPr>
      <w:rFonts w:ascii="Times New Roman" w:hAnsi="Times New Roman" w:eastAsia="宋体" w:cs="Times New Roman"/>
      <w:sz w:val="24"/>
      <w:lang w:val="en-US" w:eastAsia="zh-CN" w:bidi="ar-SA"/>
    </w:rPr>
  </w:style>
  <w:style w:type="paragraph" w:customStyle="1" w:styleId="1281">
    <w:name w:val="样式 234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2">
    <w:name w:val="样式 235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3">
    <w:name w:val="样式 236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4">
    <w:name w:val="样式 237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5">
    <w:name w:val="样式 238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6">
    <w:name w:val="样式 239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7">
    <w:name w:val="样式 240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8">
    <w:name w:val="样式 241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89">
    <w:name w:val="样式 242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0">
    <w:name w:val="样式 243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1">
    <w:name w:val="样式 244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2">
    <w:name w:val="样式 245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3">
    <w:name w:val="样式 246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4">
    <w:name w:val="样式 247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5">
    <w:name w:val="样式 248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6">
    <w:name w:val="样式 249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7">
    <w:name w:val="样式 250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8">
    <w:name w:val="样式 251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299">
    <w:name w:val="样式 252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0">
    <w:name w:val="样式 253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1">
    <w:name w:val="样式 254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2">
    <w:name w:val="样式 255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3">
    <w:name w:val="样式 256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4">
    <w:name w:val="样式 257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5">
    <w:name w:val="样式 258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6">
    <w:name w:val="样式 259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7">
    <w:name w:val="样式 260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8">
    <w:name w:val="样式 261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09">
    <w:name w:val="样式 262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0">
    <w:name w:val="样式 263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1">
    <w:name w:val="样式 264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2">
    <w:name w:val="样式 265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3">
    <w:name w:val="样式 266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4">
    <w:name w:val="样式 267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5">
    <w:name w:val="样式 268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6">
    <w:name w:val="样式 269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7">
    <w:name w:val="样式 270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8">
    <w:name w:val="样式 271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19">
    <w:name w:val="样式 272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20">
    <w:name w:val="样式 273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21">
    <w:name w:val="样式 274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22">
    <w:name w:val="样式 275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23">
    <w:name w:val="样式 276 10 磅"/>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24">
    <w:name w:val="列出段落2"/>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325">
    <w:name w:val="样式 27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26">
    <w:name w:val="样式 28 小四"/>
    <w:qFormat/>
    <w:uiPriority w:val="0"/>
    <w:pPr>
      <w:widowControl w:val="0"/>
      <w:spacing w:line="300" w:lineRule="auto"/>
      <w:jc w:val="center"/>
      <w:outlineLvl w:val="0"/>
    </w:pPr>
    <w:rPr>
      <w:rFonts w:ascii="Times New Roman" w:hAnsi="Times New Roman" w:eastAsia="宋体" w:cs="Times New Roman"/>
      <w:b/>
      <w:kern w:val="2"/>
      <w:sz w:val="24"/>
      <w:szCs w:val="24"/>
      <w:lang w:val="en-US" w:eastAsia="zh-CN" w:bidi="ar-SA"/>
    </w:rPr>
  </w:style>
  <w:style w:type="paragraph" w:customStyle="1" w:styleId="1327">
    <w:name w:val="样式 27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28">
    <w:name w:val="样式 27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29">
    <w:name w:val="样式 280 10 磅"/>
    <w:next w:val="13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0">
    <w:name w:val="样式 280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1">
    <w:name w:val="样式 281 10 磅"/>
    <w:next w:val="13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2">
    <w:name w:val="样式 281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3">
    <w:name w:val="样式 28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4">
    <w:name w:val="样式 28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5">
    <w:name w:val="样式 284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6">
    <w:name w:val="样式 285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7">
    <w:name w:val="样式 28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8">
    <w:name w:val="样式 28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9">
    <w:name w:val="样式 28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0">
    <w:name w:val="样式 28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1">
    <w:name w:val="样式 290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2">
    <w:name w:val="样式 291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3">
    <w:name w:val="样式 29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4">
    <w:name w:val="样式 29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5">
    <w:name w:val="样式 294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6">
    <w:name w:val="样式 295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7">
    <w:name w:val="样式 29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8">
    <w:name w:val="样式 29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9">
    <w:name w:val="样式 29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0">
    <w:name w:val="样式 29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1">
    <w:name w:val="样式 300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2">
    <w:name w:val="样式 301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3">
    <w:name w:val="样式 30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4">
    <w:name w:val="样式 30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5">
    <w:name w:val="样式 30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56">
    <w:name w:val="样式 305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7">
    <w:name w:val="样式 30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8">
    <w:name w:val="样式 307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59">
    <w:name w:val="样式 308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0">
    <w:name w:val="样式 30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1">
    <w:name w:val="样式 310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2">
    <w:name w:val="样式 311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3">
    <w:name w:val="样式 312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4">
    <w:name w:val="样式 313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5">
    <w:name w:val="样式 314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6">
    <w:name w:val="样式 315 10 磅"/>
    <w:next w:val="13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7">
    <w:name w:val="样式 315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8">
    <w:name w:val="样式 29 小四"/>
    <w:qFormat/>
    <w:uiPriority w:val="0"/>
    <w:pPr>
      <w:spacing w:before="100" w:beforeAutospacing="1" w:after="100" w:afterAutospacing="1" w:line="360" w:lineRule="auto"/>
      <w:jc w:val="both"/>
      <w:textAlignment w:val="top"/>
    </w:pPr>
    <w:rPr>
      <w:rFonts w:ascii="Times New Roman" w:hAnsi="Times New Roman" w:eastAsia="宋体" w:cs="Times New Roman"/>
      <w:sz w:val="24"/>
      <w:szCs w:val="24"/>
      <w:lang w:val="en-US" w:eastAsia="zh-CN" w:bidi="ar-SA"/>
    </w:rPr>
  </w:style>
  <w:style w:type="paragraph" w:customStyle="1" w:styleId="1369">
    <w:name w:val="页码1"/>
    <w:link w:val="1370"/>
    <w:qFormat/>
    <w:uiPriority w:val="0"/>
    <w:rPr>
      <w:rFonts w:ascii="Times New Roman" w:hAnsi="Times New Roman" w:eastAsia="微软雅黑" w:cs="Times New Roman"/>
      <w:lang w:val="en-US" w:eastAsia="zh-CN" w:bidi="ar-SA"/>
    </w:rPr>
  </w:style>
  <w:style w:type="character" w:customStyle="1" w:styleId="1370">
    <w:name w:val="页码1 Char"/>
    <w:basedOn w:val="63"/>
    <w:link w:val="1369"/>
    <w:qFormat/>
    <w:uiPriority w:val="0"/>
    <w:rPr>
      <w:rFonts w:ascii="Times New Roman" w:hAnsi="Times New Roman" w:eastAsia="微软雅黑" w:cs="Times New Roman"/>
      <w:lang w:val="en-US" w:eastAsia="zh-CN" w:bidi="ar-SA"/>
    </w:rPr>
  </w:style>
  <w:style w:type="paragraph" w:customStyle="1" w:styleId="1371">
    <w:name w:val="样式 316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2">
    <w:name w:val="样式 30 小四"/>
    <w:next w:val="1373"/>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373">
    <w:name w:val="样式 30 小四1"/>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374">
    <w:name w:val="样式 317 10 磅"/>
    <w:qFormat/>
    <w:uiPriority w:val="0"/>
    <w:pPr>
      <w:widowControl w:val="0"/>
      <w:tabs>
        <w:tab w:val="left" w:pos="0"/>
      </w:tabs>
      <w:jc w:val="both"/>
    </w:pPr>
    <w:rPr>
      <w:rFonts w:ascii="宋体" w:hAnsi="Times New Roman" w:eastAsia="宋体" w:cs="Times New Roman"/>
      <w:kern w:val="2"/>
      <w:sz w:val="21"/>
      <w:szCs w:val="21"/>
      <w:lang w:val="en-US" w:eastAsia="zh-CN" w:bidi="ar-SA"/>
    </w:rPr>
  </w:style>
  <w:style w:type="paragraph" w:customStyle="1" w:styleId="1375">
    <w:name w:val="样式 318 10 磅"/>
    <w:next w:val="137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76">
    <w:name w:val="样式 318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77">
    <w:name w:val="正文_4_1"/>
    <w:next w:val="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78">
    <w:name w:val="正文_3_0_1"/>
    <w:next w:val="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79">
    <w:name w:val="正文_6"/>
    <w:next w:val="48"/>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80">
    <w:name w:val="样式1_0"/>
    <w:next w:val="155"/>
    <w:qFormat/>
    <w:uiPriority w:val="0"/>
    <w:pPr>
      <w:widowControl w:val="0"/>
      <w:tabs>
        <w:tab w:val="left" w:pos="360"/>
      </w:tabs>
      <w:jc w:val="both"/>
    </w:pPr>
    <w:rPr>
      <w:rFonts w:ascii="宋体" w:hAnsi="Times New Roman" w:eastAsia="宋体" w:cs="Times New Roman"/>
      <w:kern w:val="2"/>
      <w:sz w:val="21"/>
      <w:szCs w:val="21"/>
      <w:lang w:val="en-US" w:eastAsia="zh-CN" w:bidi="ar-SA"/>
    </w:rPr>
  </w:style>
  <w:style w:type="paragraph" w:customStyle="1" w:styleId="1381">
    <w:name w:val="样式 31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382">
    <w:name w:val="样式 319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83">
    <w:name w:val="样式 320 10 磅"/>
    <w:next w:val="138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84">
    <w:name w:val="样式 320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85">
    <w:name w:val="正文_3_0_0_0"/>
    <w:next w:val="30"/>
    <w:qFormat/>
    <w:uiPriority w:val="0"/>
    <w:pPr>
      <w:widowControl w:val="0"/>
      <w:jc w:val="both"/>
    </w:pPr>
    <w:rPr>
      <w:rFonts w:ascii="Times New Roman" w:hAnsi="Times New Roman" w:eastAsia="宋体" w:cs="Times New Roman"/>
      <w:kern w:val="2"/>
      <w:sz w:val="21"/>
      <w:szCs w:val="21"/>
      <w:lang w:val="en-US" w:eastAsia="en-US" w:bidi="ar-SA"/>
    </w:rPr>
  </w:style>
  <w:style w:type="paragraph" w:customStyle="1" w:styleId="1386">
    <w:name w:val="批注文字_0"/>
    <w:next w:val="170"/>
    <w:qFormat/>
    <w:uiPriority w:val="0"/>
    <w:pPr>
      <w:widowControl w:val="0"/>
    </w:pPr>
    <w:rPr>
      <w:rFonts w:ascii="Times New Roman" w:hAnsi="Times New Roman" w:eastAsia="宋体" w:cs="Times New Roman"/>
      <w:kern w:val="2"/>
      <w:sz w:val="21"/>
      <w:szCs w:val="22"/>
      <w:lang w:val="en-US" w:eastAsia="zh-CN" w:bidi="ar-SA"/>
    </w:rPr>
  </w:style>
  <w:style w:type="paragraph" w:customStyle="1" w:styleId="1387">
    <w:name w:val="样式 32 小四"/>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customStyle="1" w:styleId="1388">
    <w:name w:val="样式 321 10 磅"/>
    <w:next w:val="138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89">
    <w:name w:val="样式 321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90">
    <w:name w:val="样式 322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91">
    <w:name w:val="普通(网站)_0"/>
    <w:next w:val="161"/>
    <w:qFormat/>
    <w:uiPriority w:val="0"/>
    <w:pPr>
      <w:spacing w:before="100" w:beforeAutospacing="1" w:after="100" w:afterAutospacing="1"/>
    </w:pPr>
    <w:rPr>
      <w:rFonts w:ascii="宋体" w:hAnsi="Times New Roman" w:eastAsia="宋体" w:cs="Times New Roman"/>
      <w:sz w:val="24"/>
      <w:szCs w:val="24"/>
      <w:lang w:val="en-US" w:eastAsia="en-US" w:bidi="ar-SA"/>
    </w:rPr>
  </w:style>
  <w:style w:type="paragraph" w:customStyle="1" w:styleId="1392">
    <w:name w:val="正文缩进_0_0"/>
    <w:next w:val="164"/>
    <w:qFormat/>
    <w:uiPriority w:val="0"/>
    <w:pPr>
      <w:widowControl w:val="0"/>
      <w:ind w:firstLine="420"/>
      <w:jc w:val="both"/>
    </w:pPr>
    <w:rPr>
      <w:rFonts w:ascii="Times New Roman" w:hAnsi="Times New Roman" w:eastAsia="宋体" w:cs="Times New Roman"/>
      <w:kern w:val="2"/>
      <w:sz w:val="21"/>
      <w:szCs w:val="22"/>
      <w:lang w:val="en-US" w:eastAsia="zh-CN" w:bidi="ar-SA"/>
    </w:rPr>
  </w:style>
  <w:style w:type="paragraph" w:customStyle="1" w:styleId="1393">
    <w:name w:val="样式 323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94">
    <w:name w:val="样式 33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395">
    <w:name w:val="样式 32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96">
    <w:name w:val="样式 325 10 磅"/>
    <w:qFormat/>
    <w:uiPriority w:val="0"/>
    <w:pPr>
      <w:widowControl w:val="0"/>
      <w:jc w:val="both"/>
    </w:pPr>
    <w:rPr>
      <w:rFonts w:ascii="宋体" w:hAnsi="Times New Roman" w:eastAsia="宋体" w:cs="Times New Roman"/>
      <w:kern w:val="2"/>
      <w:sz w:val="21"/>
      <w:szCs w:val="21"/>
      <w:lang w:val="en-US" w:eastAsia="zh-CN" w:bidi="ar-SA"/>
    </w:rPr>
  </w:style>
  <w:style w:type="paragraph" w:customStyle="1" w:styleId="1397">
    <w:name w:val="样式 326 10 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98">
    <w:name w:val="样式 32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99">
    <w:name w:val="样式 328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00">
    <w:name w:val="样式 329 10 磅"/>
    <w:qFormat/>
    <w:uiPriority w:val="0"/>
    <w:pPr>
      <w:widowControl w:val="0"/>
      <w:jc w:val="both"/>
    </w:pPr>
    <w:rPr>
      <w:rFonts w:ascii="Times New Roman" w:hAnsi="Times New Roman" w:eastAsia="宋体" w:cs="Times New Roman"/>
      <w:kern w:val="2"/>
      <w:sz w:val="21"/>
      <w:szCs w:val="21"/>
      <w:lang w:val="en-US" w:eastAsia="en-US" w:bidi="ar-SA"/>
    </w:rPr>
  </w:style>
  <w:style w:type="paragraph" w:customStyle="1" w:styleId="1401">
    <w:name w:val="样式 330 10 磅"/>
    <w:qFormat/>
    <w:uiPriority w:val="0"/>
    <w:pPr>
      <w:widowControl w:val="0"/>
      <w:spacing w:after="120" w:line="480" w:lineRule="auto"/>
      <w:ind w:left="420"/>
      <w:jc w:val="both"/>
    </w:pPr>
    <w:rPr>
      <w:rFonts w:ascii="Times New Roman" w:hAnsi="Times New Roman" w:eastAsia="宋体" w:cs="Times New Roman"/>
      <w:kern w:val="2"/>
      <w:sz w:val="21"/>
      <w:szCs w:val="22"/>
      <w:lang w:val="en-US" w:eastAsia="zh-CN" w:bidi="ar-SA"/>
    </w:rPr>
  </w:style>
  <w:style w:type="paragraph" w:customStyle="1" w:styleId="1402">
    <w:name w:val="样式 331 10 磅"/>
    <w:qFormat/>
    <w:uiPriority w:val="0"/>
    <w:pPr>
      <w:widowControl w:val="0"/>
      <w:jc w:val="both"/>
    </w:pPr>
    <w:rPr>
      <w:rFonts w:ascii="Times New Roman" w:hAnsi="Times New Roman" w:eastAsia="宋体" w:cs="Times New Roman"/>
      <w:kern w:val="2"/>
      <w:sz w:val="21"/>
      <w:szCs w:val="21"/>
      <w:lang w:val="en-US" w:eastAsia="en-US" w:bidi="ar-SA"/>
    </w:rPr>
  </w:style>
  <w:style w:type="paragraph" w:customStyle="1" w:styleId="1403">
    <w:name w:val="样式 332 10 磅"/>
    <w:qFormat/>
    <w:uiPriority w:val="0"/>
    <w:pPr>
      <w:widowControl w:val="0"/>
      <w:spacing w:after="120" w:line="480" w:lineRule="auto"/>
      <w:ind w:left="420"/>
      <w:jc w:val="both"/>
    </w:pPr>
    <w:rPr>
      <w:rFonts w:ascii="Times New Roman" w:hAnsi="Times New Roman" w:eastAsia="宋体" w:cs="Times New Roman"/>
      <w:kern w:val="2"/>
      <w:sz w:val="21"/>
      <w:szCs w:val="22"/>
      <w:lang w:val="en-US" w:eastAsia="zh-CN" w:bidi="ar-SA"/>
    </w:rPr>
  </w:style>
  <w:style w:type="paragraph" w:customStyle="1" w:styleId="1404">
    <w:name w:val="样式 333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05">
    <w:name w:val="样式 334 10 磅"/>
    <w:next w:val="1406"/>
    <w:qFormat/>
    <w:uiPriority w:val="0"/>
    <w:pPr>
      <w:widowControl w:val="0"/>
      <w:jc w:val="both"/>
    </w:pPr>
    <w:rPr>
      <w:rFonts w:ascii="Times New Roman" w:hAnsi="Times New Roman" w:eastAsia="宋体" w:cs="Times New Roman"/>
      <w:kern w:val="2"/>
      <w:sz w:val="21"/>
      <w:szCs w:val="21"/>
      <w:lang w:val="en-US" w:eastAsia="en-US" w:bidi="ar-SA"/>
    </w:rPr>
  </w:style>
  <w:style w:type="paragraph" w:customStyle="1" w:styleId="1406">
    <w:name w:val="样式 334 10 磅1"/>
    <w:qFormat/>
    <w:uiPriority w:val="0"/>
    <w:pPr>
      <w:widowControl w:val="0"/>
      <w:jc w:val="both"/>
    </w:pPr>
    <w:rPr>
      <w:rFonts w:ascii="Times New Roman" w:hAnsi="Times New Roman" w:eastAsia="宋体" w:cs="Times New Roman"/>
      <w:kern w:val="2"/>
      <w:sz w:val="21"/>
      <w:szCs w:val="21"/>
      <w:lang w:val="en-US" w:eastAsia="en-US" w:bidi="ar-SA"/>
    </w:rPr>
  </w:style>
  <w:style w:type="paragraph" w:customStyle="1" w:styleId="1407">
    <w:name w:val="样式 335 10 磅"/>
    <w:qFormat/>
    <w:uiPriority w:val="0"/>
    <w:pPr>
      <w:widowControl w:val="0"/>
      <w:jc w:val="both"/>
    </w:pPr>
    <w:rPr>
      <w:rFonts w:ascii="Times New Roman" w:hAnsi="Times New Roman" w:eastAsia="宋体" w:cs="Times New Roman"/>
      <w:kern w:val="2"/>
      <w:sz w:val="21"/>
      <w:szCs w:val="21"/>
      <w:lang w:val="en-US" w:eastAsia="en-US" w:bidi="ar-SA"/>
    </w:rPr>
  </w:style>
  <w:style w:type="paragraph" w:customStyle="1" w:styleId="1408">
    <w:name w:val="样式 336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09">
    <w:name w:val="样式 33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0">
    <w:name w:val="样式 34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411">
    <w:name w:val="样式 35 小四"/>
    <w:qFormat/>
    <w:uiPriority w:val="0"/>
    <w:pPr>
      <w:spacing w:before="100" w:beforeAutospacing="1" w:after="100" w:afterAutospacing="1"/>
    </w:pPr>
    <w:rPr>
      <w:rFonts w:ascii="宋体" w:hAnsi="Times New Roman" w:eastAsia="宋体" w:cs="Times New Roman"/>
      <w:sz w:val="24"/>
      <w:szCs w:val="24"/>
      <w:lang w:val="en-US" w:eastAsia="en-US" w:bidi="ar-SA"/>
    </w:rPr>
  </w:style>
  <w:style w:type="paragraph" w:customStyle="1" w:styleId="1412">
    <w:name w:val="样式 338 10 磅"/>
    <w:next w:val="141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3">
    <w:name w:val="样式 338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4">
    <w:name w:val="样式 36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415">
    <w:name w:val="样式 37 小四"/>
    <w:qFormat/>
    <w:uiPriority w:val="0"/>
    <w:pPr>
      <w:spacing w:before="100" w:beforeAutospacing="1" w:after="100" w:afterAutospacing="1"/>
    </w:pPr>
    <w:rPr>
      <w:rFonts w:ascii="宋体" w:hAnsi="Times New Roman" w:eastAsia="宋体" w:cs="Times New Roman"/>
      <w:sz w:val="24"/>
      <w:szCs w:val="24"/>
      <w:lang w:val="en-US" w:eastAsia="en-US" w:bidi="ar-SA"/>
    </w:rPr>
  </w:style>
  <w:style w:type="paragraph" w:customStyle="1" w:styleId="1416">
    <w:name w:val="样式 339 10 磅"/>
    <w:next w:val="14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7">
    <w:name w:val="样式 339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8">
    <w:name w:val="样式 340 10 磅"/>
    <w:next w:val="14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9">
    <w:name w:val="样式 340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20">
    <w:name w:val="样式 341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21">
    <w:name w:val="样式 342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22">
    <w:name w:val="样式 343 10 磅"/>
    <w:next w:val="14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23">
    <w:name w:val="样式 343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24">
    <w:name w:val="样式 38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425">
    <w:name w:val="样式 34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26">
    <w:name w:val="样式 345 10 磅"/>
    <w:next w:val="1427"/>
    <w:qFormat/>
    <w:uiPriority w:val="0"/>
    <w:pPr>
      <w:spacing w:before="100" w:beforeAutospacing="1" w:after="100" w:afterAutospacing="1" w:line="360" w:lineRule="auto"/>
      <w:jc w:val="both"/>
      <w:textAlignment w:val="top"/>
    </w:pPr>
    <w:rPr>
      <w:rFonts w:ascii="Calibri" w:hAnsi="Calibri" w:eastAsia="宋体" w:cs="Times New Roman"/>
      <w:kern w:val="2"/>
      <w:sz w:val="21"/>
      <w:szCs w:val="24"/>
      <w:lang w:val="en-US" w:eastAsia="zh-CN" w:bidi="ar-SA"/>
    </w:rPr>
  </w:style>
  <w:style w:type="paragraph" w:customStyle="1" w:styleId="1427">
    <w:name w:val="样式 345 10 磅1"/>
    <w:qFormat/>
    <w:uiPriority w:val="0"/>
    <w:pPr>
      <w:spacing w:before="100" w:beforeAutospacing="1" w:after="100" w:afterAutospacing="1" w:line="360" w:lineRule="auto"/>
      <w:jc w:val="both"/>
      <w:textAlignment w:val="top"/>
    </w:pPr>
    <w:rPr>
      <w:rFonts w:ascii="Calibri" w:hAnsi="Calibri" w:eastAsia="宋体" w:cs="Times New Roman"/>
      <w:kern w:val="2"/>
      <w:sz w:val="21"/>
      <w:szCs w:val="24"/>
      <w:lang w:val="en-US" w:eastAsia="zh-CN" w:bidi="ar-SA"/>
    </w:rPr>
  </w:style>
  <w:style w:type="paragraph" w:customStyle="1" w:styleId="1428">
    <w:name w:val="样式 346 10 磅"/>
    <w:qFormat/>
    <w:uiPriority w:val="0"/>
    <w:pPr>
      <w:widowControl w:val="0"/>
      <w:tabs>
        <w:tab w:val="left" w:pos="0"/>
      </w:tabs>
      <w:jc w:val="both"/>
    </w:pPr>
    <w:rPr>
      <w:rFonts w:ascii="宋体" w:hAnsi="Times New Roman" w:eastAsia="宋体" w:cs="Times New Roman"/>
      <w:kern w:val="2"/>
      <w:sz w:val="21"/>
      <w:szCs w:val="21"/>
      <w:lang w:val="en-US" w:eastAsia="zh-CN" w:bidi="ar-SA"/>
    </w:rPr>
  </w:style>
  <w:style w:type="paragraph" w:customStyle="1" w:styleId="1429">
    <w:name w:val="样式 39 小四"/>
    <w:qFormat/>
    <w:uiPriority w:val="0"/>
    <w:pPr>
      <w:spacing w:before="100" w:beforeAutospacing="1" w:after="100" w:afterAutospacing="1" w:line="360" w:lineRule="auto"/>
      <w:jc w:val="both"/>
      <w:textAlignment w:val="top"/>
    </w:pPr>
    <w:rPr>
      <w:rFonts w:ascii="Times New Roman" w:hAnsi="Times New Roman" w:eastAsia="宋体" w:cs="Times New Roman"/>
      <w:sz w:val="24"/>
      <w:szCs w:val="24"/>
      <w:lang w:val="en-US" w:eastAsia="zh-CN" w:bidi="ar-SA"/>
    </w:rPr>
  </w:style>
  <w:style w:type="paragraph" w:customStyle="1" w:styleId="1430">
    <w:name w:val="样式 347 10 磅"/>
    <w:qFormat/>
    <w:uiPriority w:val="0"/>
    <w:pPr>
      <w:spacing w:before="100" w:beforeAutospacing="1" w:after="100" w:afterAutospacing="1" w:line="360" w:lineRule="auto"/>
      <w:jc w:val="both"/>
      <w:textAlignment w:val="top"/>
    </w:pPr>
    <w:rPr>
      <w:rFonts w:ascii="Calibri" w:hAnsi="Calibri" w:eastAsia="宋体" w:cs="Times New Roman"/>
      <w:kern w:val="2"/>
      <w:sz w:val="21"/>
      <w:szCs w:val="24"/>
      <w:lang w:val="en-US" w:eastAsia="zh-CN" w:bidi="ar-SA"/>
    </w:rPr>
  </w:style>
  <w:style w:type="paragraph" w:customStyle="1" w:styleId="1431">
    <w:name w:val="样式 348 10 磅"/>
    <w:qFormat/>
    <w:uiPriority w:val="0"/>
    <w:pPr>
      <w:spacing w:before="100" w:beforeAutospacing="1" w:after="100" w:afterAutospacing="1" w:line="360" w:lineRule="auto"/>
      <w:jc w:val="both"/>
      <w:textAlignment w:val="top"/>
    </w:pPr>
    <w:rPr>
      <w:rFonts w:ascii="Calibri" w:hAnsi="Calibri" w:eastAsia="宋体" w:cs="Times New Roman"/>
      <w:kern w:val="2"/>
      <w:sz w:val="21"/>
      <w:szCs w:val="24"/>
      <w:lang w:val="en-US" w:eastAsia="zh-CN" w:bidi="ar-SA"/>
    </w:rPr>
  </w:style>
  <w:style w:type="paragraph" w:customStyle="1" w:styleId="1432">
    <w:name w:val="样式 349 10 磅"/>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33">
    <w:name w:val="样式 350 10 磅"/>
    <w:next w:val="14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34">
    <w:name w:val="样式 350 10 磅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35">
    <w:name w:val="样式 351 10 磅"/>
    <w:next w:val="14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36">
    <w:name w:val="样式 351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37">
    <w:name w:val="样式 三号"/>
    <w:next w:val="1438"/>
    <w:qFormat/>
    <w:uiPriority w:val="0"/>
    <w:pPr>
      <w:keepNext/>
      <w:keepLines/>
      <w:widowControl w:val="0"/>
      <w:spacing w:before="260" w:after="260" w:line="408" w:lineRule="auto"/>
      <w:jc w:val="both"/>
      <w:outlineLvl w:val="1"/>
    </w:pPr>
    <w:rPr>
      <w:rFonts w:ascii="Arial" w:hAnsi="Arial" w:eastAsia="黑体" w:cs="Arial"/>
      <w:b/>
      <w:kern w:val="2"/>
      <w:sz w:val="32"/>
      <w:szCs w:val="22"/>
      <w:lang w:val="en-US" w:eastAsia="en-US" w:bidi="ar-SA"/>
    </w:rPr>
  </w:style>
  <w:style w:type="paragraph" w:customStyle="1" w:styleId="1438">
    <w:name w:val="样式 三号1"/>
    <w:qFormat/>
    <w:uiPriority w:val="0"/>
    <w:pPr>
      <w:keepNext/>
      <w:keepLines/>
      <w:widowControl w:val="0"/>
      <w:spacing w:before="260" w:after="260" w:line="408" w:lineRule="auto"/>
      <w:jc w:val="both"/>
      <w:outlineLvl w:val="1"/>
    </w:pPr>
    <w:rPr>
      <w:rFonts w:ascii="Arial" w:hAnsi="Arial" w:eastAsia="黑体" w:cs="Arial"/>
      <w:b/>
      <w:kern w:val="2"/>
      <w:sz w:val="32"/>
      <w:szCs w:val="22"/>
      <w:lang w:val="en-US" w:eastAsia="en-US" w:bidi="ar-SA"/>
    </w:rPr>
  </w:style>
  <w:style w:type="paragraph" w:customStyle="1" w:styleId="1439">
    <w:name w:val="样式 352 10 磅"/>
    <w:next w:val="14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0">
    <w:name w:val="样式 352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1">
    <w:name w:val="纯文本_0_0"/>
    <w:next w:val="165"/>
    <w:qFormat/>
    <w:uiPriority w:val="0"/>
    <w:pPr>
      <w:widowControl w:val="0"/>
      <w:jc w:val="both"/>
    </w:pPr>
    <w:rPr>
      <w:rFonts w:ascii="宋体" w:hAnsi="Times New Roman" w:eastAsia="宋体" w:cs="Times New Roman"/>
      <w:kern w:val="2"/>
      <w:sz w:val="21"/>
      <w:szCs w:val="21"/>
      <w:lang w:val="en-US" w:eastAsia="zh-CN" w:bidi="ar-SA"/>
    </w:rPr>
  </w:style>
  <w:style w:type="paragraph" w:customStyle="1" w:styleId="1442">
    <w:name w:val="样式 353 10 磅"/>
    <w:next w:val="14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3">
    <w:name w:val="样式 353 10 磅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4">
    <w:name w:val="批注主题_0"/>
    <w:next w:val="170"/>
    <w:qFormat/>
    <w:uiPriority w:val="0"/>
    <w:pPr>
      <w:widowControl w:val="0"/>
    </w:pPr>
    <w:rPr>
      <w:rFonts w:ascii="Times New Roman" w:hAnsi="Times New Roman" w:eastAsia="宋体" w:cs="Times New Roman"/>
      <w:b/>
      <w:bCs/>
      <w:kern w:val="2"/>
      <w:sz w:val="21"/>
      <w:szCs w:val="22"/>
      <w:lang w:val="en-US" w:eastAsia="zh-CN" w:bidi="ar-SA"/>
    </w:rPr>
  </w:style>
  <w:style w:type="paragraph" w:customStyle="1" w:styleId="1445">
    <w:name w:val="样式 4 三号"/>
    <w:qFormat/>
    <w:uiPriority w:val="0"/>
    <w:pPr>
      <w:keepNext/>
      <w:keepLines/>
      <w:widowControl w:val="0"/>
      <w:spacing w:before="260" w:after="260" w:line="408" w:lineRule="auto"/>
      <w:jc w:val="both"/>
      <w:outlineLvl w:val="1"/>
    </w:pPr>
    <w:rPr>
      <w:rFonts w:ascii="Arial" w:hAnsi="Arial" w:eastAsia="黑体" w:cs="Arial"/>
      <w:b/>
      <w:kern w:val="2"/>
      <w:sz w:val="32"/>
      <w:szCs w:val="22"/>
      <w:lang w:val="en-US" w:eastAsia="en-US" w:bidi="ar-SA"/>
    </w:rPr>
  </w:style>
  <w:style w:type="paragraph" w:customStyle="1" w:styleId="1446">
    <w:name w:val="样式 1 小四"/>
    <w:qFormat/>
    <w:uiPriority w:val="0"/>
    <w:pPr>
      <w:widowControl w:val="0"/>
      <w:adjustRightInd w:val="0"/>
      <w:spacing w:line="360" w:lineRule="atLeast"/>
    </w:pPr>
    <w:rPr>
      <w:rFonts w:ascii="Times New Roman" w:hAnsi="Times New Roman" w:eastAsia="宋体" w:cs="Times New Roman"/>
      <w:sz w:val="24"/>
      <w:lang w:val="en-US" w:eastAsia="zh-CN" w:bidi="ar-SA"/>
    </w:rPr>
  </w:style>
  <w:style w:type="paragraph" w:customStyle="1" w:styleId="1447">
    <w:name w:val="样式 354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8">
    <w:name w:val="样式 355 10 磅"/>
    <w:next w:val="144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9">
    <w:name w:val="样式 355 10 磅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450">
    <w:name w:val="im-content1"/>
    <w:qFormat/>
    <w:uiPriority w:val="0"/>
    <w:rPr>
      <w:color w:val="000000"/>
    </w:rPr>
  </w:style>
  <w:style w:type="paragraph" w:customStyle="1" w:styleId="1451">
    <w:name w:val="正文10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52">
    <w:name w:val="Char Char1 Char Char Char Char Char Char Char Char Char Char"/>
    <w:basedOn w:val="1"/>
    <w:qFormat/>
    <w:uiPriority w:val="0"/>
    <w:rPr>
      <w:rFonts w:ascii="Tahoma" w:hAnsi="Tahoma"/>
      <w:sz w:val="24"/>
      <w:szCs w:val="20"/>
    </w:rPr>
  </w:style>
  <w:style w:type="character" w:customStyle="1" w:styleId="1453">
    <w:name w:val="NormalCharacter"/>
    <w:qFormat/>
    <w:uiPriority w:val="0"/>
  </w:style>
  <w:style w:type="character" w:customStyle="1" w:styleId="1454">
    <w:name w:val="标题 2 Char1"/>
    <w:link w:val="3"/>
    <w:qFormat/>
    <w:uiPriority w:val="0"/>
    <w:rPr>
      <w:rFonts w:ascii="Times New Roman" w:hAnsi="Times New Roman" w:eastAsia="宋体" w:cs="Times New Roman"/>
      <w:b/>
      <w:sz w:val="30"/>
      <w:lang w:val="en-US" w:eastAsia="zh-CN" w:bidi="ar-SA"/>
    </w:rPr>
  </w:style>
  <w:style w:type="paragraph" w:customStyle="1" w:styleId="1455">
    <w:name w:val="正文10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6">
    <w:name w:val="纯文本7"/>
    <w:qFormat/>
    <w:uiPriority w:val="0"/>
    <w:pPr>
      <w:widowControl w:val="0"/>
      <w:spacing w:line="360" w:lineRule="auto"/>
      <w:jc w:val="both"/>
    </w:pPr>
    <w:rPr>
      <w:rFonts w:ascii="宋体" w:hAnsi="Times New Roman" w:eastAsia="宋体" w:cs="Courier New"/>
      <w:kern w:val="2"/>
      <w:sz w:val="24"/>
      <w:szCs w:val="21"/>
      <w:lang w:val="en-US" w:eastAsia="zh-CN" w:bidi="ar-SA"/>
    </w:rPr>
  </w:style>
  <w:style w:type="paragraph" w:customStyle="1" w:styleId="1457">
    <w:name w:val="页脚1"/>
    <w:qFormat/>
    <w:uiPriority w:val="0"/>
    <w:pPr>
      <w:widowControl w:val="0"/>
      <w:tabs>
        <w:tab w:val="center" w:pos="4153"/>
        <w:tab w:val="right" w:pos="8306"/>
      </w:tabs>
      <w:adjustRightInd w:val="0"/>
      <w:spacing w:line="240" w:lineRule="atLeast"/>
      <w:textAlignment w:val="baseline"/>
    </w:pPr>
    <w:rPr>
      <w:rFonts w:ascii="Times New Roman" w:hAnsi="Times New Roman" w:eastAsia="宋体" w:cs="Times New Roman"/>
      <w:sz w:val="18"/>
      <w:lang w:val="en-US" w:eastAsia="zh-CN" w:bidi="ar-SA"/>
    </w:rPr>
  </w:style>
  <w:style w:type="paragraph" w:styleId="1458">
    <w:name w:val="List Paragraph"/>
    <w:basedOn w:val="1"/>
    <w:qFormat/>
    <w:uiPriority w:val="34"/>
    <w:pPr>
      <w:ind w:firstLine="420" w:firstLineChars="200"/>
    </w:pPr>
  </w:style>
  <w:style w:type="paragraph" w:customStyle="1" w:styleId="145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31DF26-C464-4C9F-9601-471828590991}">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86</Pages>
  <Words>16479</Words>
  <Characters>17269</Characters>
  <Lines>262</Lines>
  <Paragraphs>73</Paragraphs>
  <TotalTime>12</TotalTime>
  <ScaleCrop>false</ScaleCrop>
  <LinksUpToDate>false</LinksUpToDate>
  <CharactersWithSpaces>17445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2021-09-09T04:23:00Z</dcterms:created>
  <dc:creator>jujub</dc:creator>
  <cp:lastModifiedBy>Administrator</cp:lastModifiedBy>
  <cp:lastPrinted>2024-08-22T10:45:00Z</cp:lastPrinted>
  <dcterms:modified xsi:type="dcterms:W3CDTF">2026-07-30T03:42:28Z</dcterms:modified>
  <dc:title>招标文件</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C8DC351976924B159BA62F74CFDEE0ED_13</vt:lpwstr>
  </property>
  <property fmtid="{D5CDD505-2E9C-101B-9397-08002B2CF9AE}" pid="4" name="KSOTemplateDocerSaveRecord">
    <vt:lpwstr>eyJoZGlkIjoiNjRhODA0MGJlYjkwYzhjNWY3NDVmZDZhNTM4ODVlZmIiLCJ1c2VySWQiOiI0MzkwMDY1NTEifQ==</vt:lpwstr>
  </property>
</Properties>
</file>