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11"/>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11"/>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11"/>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11"/>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bidi w:val="0"/>
        <w:rPr>
          <w:color w:val="000000" w:themeColor="text1"/>
          <w:highlight w:val="none"/>
          <w14:textFill>
            <w14:solidFill>
              <w14:schemeClr w14:val="tx1"/>
            </w14:solidFill>
          </w14:textFill>
        </w:rPr>
      </w:pPr>
    </w:p>
    <w:tbl>
      <w:tblPr>
        <w:tblStyle w:val="18"/>
        <w:tblW w:w="8140" w:type="dxa"/>
        <w:jc w:val="center"/>
        <w:tblLayout w:type="fixed"/>
        <w:tblCellMar>
          <w:top w:w="0" w:type="dxa"/>
          <w:left w:w="108" w:type="dxa"/>
          <w:bottom w:w="0" w:type="dxa"/>
          <w:right w:w="108" w:type="dxa"/>
        </w:tblCellMar>
      </w:tblPr>
      <w:tblGrid>
        <w:gridCol w:w="1951"/>
        <w:gridCol w:w="284"/>
        <w:gridCol w:w="5905"/>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YXCG-20260914</w:t>
            </w:r>
          </w:p>
        </w:tc>
      </w:tr>
      <w:tr w14:paraId="201EA358">
        <w:tblPrEx>
          <w:tblCellMar>
            <w:top w:w="0" w:type="dxa"/>
            <w:left w:w="108" w:type="dxa"/>
            <w:bottom w:w="0" w:type="dxa"/>
            <w:right w:w="108" w:type="dxa"/>
          </w:tblCellMar>
        </w:tblPrEx>
        <w:trPr>
          <w:trHeight w:val="647"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阳江市学校食堂“互联网+明厨亮灶”系统升级（2026年）项目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阳江市市场监督管理局</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9439394">
      <w:pPr>
        <w:pStyle w:val="11"/>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5AD33397">
      <w:pPr>
        <w:pStyle w:val="11"/>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7E452EB3">
      <w:pPr>
        <w:pStyle w:val="22"/>
        <w:rPr>
          <w:color w:val="000000" w:themeColor="text1"/>
          <w:highlight w:val="none"/>
          <w14:textFill>
            <w14:solidFill>
              <w14:schemeClr w14:val="tx1"/>
            </w14:solidFill>
          </w14:textFill>
        </w:rPr>
      </w:pPr>
    </w:p>
    <w:p w14:paraId="1DA1A566">
      <w:pPr>
        <w:rPr>
          <w:rFonts w:hint="default" w:eastAsia="宋体"/>
          <w:color w:val="000000" w:themeColor="text1"/>
          <w:highlight w:val="none"/>
          <w:lang w:val="en-US" w:eastAsia="zh-CN"/>
          <w14:textFill>
            <w14:solidFill>
              <w14:schemeClr w14:val="tx1"/>
            </w14:solidFill>
          </w14:textFill>
        </w:rPr>
      </w:pPr>
    </w:p>
    <w:p w14:paraId="031F3758">
      <w:pPr>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br w:type="page"/>
      </w: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3393B6F2">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_Toc23937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_Toc23937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3F7ADE">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_Toc20974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632A11">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_Toc18682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F67E81">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_Toc5327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F78E37">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_Toc21655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3130DA">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_Toc18646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FBE568">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_Toc14598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_Toc14598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740A7B">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_Toc2717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D45867">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_Toc21651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6DFFB34">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_Toc2803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E749C7D">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_Toc31159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F9B834">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_Toc19376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_Toc19376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6F825A">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_Toc16170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_Toc16170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338BCAE">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_Toc7163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70A042E">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_Toc17790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_Toc17790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E4C5770">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_Toc6143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DD0C45">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_Toc18059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_Toc18059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240D16">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_Toc20268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F0C7C0">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_Toc9519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19C00E9">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_Toc3428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D5126A0">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_Toc10295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265CB1">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_Toc26325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0D444D3">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_Toc8556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D919FA">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_Toc25411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_Toc25411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F1138D">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A73062">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_Toc19735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7C2AFF4">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_Toc10337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926E51">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392F6E">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_Toc11707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_Toc11707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D0E2A0">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_Toc18925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C53408">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_Toc31667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BB3637">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_Toc11844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1312768">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_Toc28186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3406FF">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_Toc23146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D935CC9">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_Toc15026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6C4646">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_Toc28703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_Toc28703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1E54D6">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_Toc15160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00B4DB">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_Toc3394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C16A46">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_Toc23766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005EB3">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_Toc15856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_Toc15856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6925A4">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_Toc2130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EDF34E">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_Toc2188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D5F5054">
      <w:pPr>
        <w:pStyle w:val="10"/>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_Toc12393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6D0DCC">
      <w:pPr>
        <w:pStyle w:val="14"/>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_Toc11044 </w:instrText>
      </w:r>
      <w:r>
        <w:rPr>
          <w:color w:val="000000" w:themeColor="text1"/>
          <w:highlight w:val="none"/>
          <w14:textFill>
            <w14:solidFill>
              <w14:schemeClr w14:val="tx1"/>
            </w14:solidFill>
          </w14:textFill>
        </w:rPr>
        <w:fldChar w:fldCharType="separate"/>
      </w:r>
      <w:r>
        <w:rPr>
          <w:rFonts w:hint="eastAsia" w:ascii="宋体" w:hAnsi="宋体" w:eastAsia="宋体" w:cs="宋体"/>
          <w:bCs/>
          <w:color w:val="000000" w:themeColor="text1"/>
          <w:kern w:val="0"/>
          <w:szCs w:val="28"/>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00F8EE">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_Toc24624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BD4B42">
      <w:pPr>
        <w:pStyle w:val="15"/>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_Toc7366 </w:instrText>
      </w:r>
      <w:r>
        <w:rPr>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7AEF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720A3275">
      <w:pPr>
        <w:rPr>
          <w:color w:val="000000" w:themeColor="text1"/>
          <w:highlight w:val="none"/>
          <w14:textFill>
            <w14:solidFill>
              <w14:schemeClr w14:val="tx1"/>
            </w14:solidFill>
          </w14:textFill>
        </w:rPr>
      </w:pPr>
    </w:p>
    <w:p w14:paraId="1EA01E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692808D">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23937"/>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阳江市市场监督管理局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29DC24EE">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p>
    <w:p w14:paraId="1409E65B">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YXCG-20260914</w:t>
      </w:r>
    </w:p>
    <w:p w14:paraId="704EAF9D">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885963.48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885963.48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633"/>
        <w:gridCol w:w="995"/>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3BFEAC3B">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633" w:type="dxa"/>
            <w:vAlign w:val="center"/>
          </w:tcPr>
          <w:p w14:paraId="762C3C92">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3700406C">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1170525C">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3" w:hRule="atLeast"/>
          <w:jc w:val="center"/>
        </w:trPr>
        <w:tc>
          <w:tcPr>
            <w:tcW w:w="905" w:type="dxa"/>
            <w:vAlign w:val="center"/>
          </w:tcPr>
          <w:p w14:paraId="08C12169">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1946" w:type="dxa"/>
            <w:vAlign w:val="center"/>
          </w:tcPr>
          <w:p w14:paraId="74947C81">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2633" w:type="dxa"/>
            <w:vAlign w:val="center"/>
          </w:tcPr>
          <w:p w14:paraId="342C3F04">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p>
        </w:tc>
        <w:tc>
          <w:tcPr>
            <w:tcW w:w="995" w:type="dxa"/>
            <w:shd w:val="clear" w:color="auto" w:fill="auto"/>
            <w:vAlign w:val="center"/>
          </w:tcPr>
          <w:p w14:paraId="670C41C8">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01DD3543">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6FC4499E">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5109642">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3D31F356">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合同签订日起6个月内完成交付（含试运行3个月），交付验收通过之日起提供3年的运行维护服务。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（超出该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完工</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期作无效投标处理）</w:t>
      </w:r>
    </w:p>
    <w:p w14:paraId="38EB562C">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24E94B23">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4FC3AD3C">
      <w:pPr>
        <w:widowControl/>
        <w:tabs>
          <w:tab w:val="left" w:pos="525"/>
        </w:tabs>
        <w:adjustRightInd w:val="0"/>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4223FD43">
      <w:pPr>
        <w:widowControl/>
        <w:tabs>
          <w:tab w:val="left" w:pos="525"/>
        </w:tabs>
        <w:adjustRightInd w:val="0"/>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5BF0B3E5">
      <w:pPr>
        <w:widowControl/>
        <w:tabs>
          <w:tab w:val="left" w:pos="525"/>
        </w:tabs>
        <w:adjustRightInd w:val="0"/>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具有良好的商业信誉和健全的财务会计制度：投标人必须具有良好的商业信誉和健全的财务会计制度（提供202</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年度财务状况报告或202</w:t>
      </w:r>
      <w:r>
        <w:rPr>
          <w:rFonts w:hint="eastAsia" w:ascii="宋体" w:hAnsi="宋体"/>
          <w:color w:val="000000" w:themeColor="text1"/>
          <w:highlight w:val="none"/>
          <w:lang w:val="en-US" w:eastAsia="zh-CN"/>
          <w14:textFill>
            <w14:solidFill>
              <w14:schemeClr w14:val="tx1"/>
            </w14:solidFill>
          </w14:textFill>
        </w:rPr>
        <w:t>6</w:t>
      </w:r>
      <w:r>
        <w:rPr>
          <w:rFonts w:hint="eastAsia" w:ascii="宋体" w:hAnsi="宋体"/>
          <w:color w:val="000000" w:themeColor="text1"/>
          <w:highlight w:val="none"/>
          <w14:textFill>
            <w14:solidFill>
              <w14:schemeClr w14:val="tx1"/>
            </w14:solidFill>
          </w14:textFill>
        </w:rPr>
        <w:t>年至今任意一个月的财务报表或基本开户行出具的资信证明或出具《承诺函》）。</w:t>
      </w:r>
    </w:p>
    <w:p w14:paraId="5E370CC8">
      <w:pPr>
        <w:widowControl/>
        <w:tabs>
          <w:tab w:val="left" w:pos="525"/>
        </w:tabs>
        <w:adjustRightInd w:val="0"/>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4）履行合同所必需的设备和专业技术能力：</w:t>
      </w:r>
      <w:r>
        <w:rPr>
          <w:rFonts w:hint="eastAsia" w:ascii="宋体" w:hAnsi="宋体"/>
          <w:color w:val="000000" w:themeColor="text1"/>
          <w:highlight w:val="none"/>
          <w:lang w:val="en-US" w:eastAsia="zh-CN"/>
          <w14:textFill>
            <w14:solidFill>
              <w14:schemeClr w14:val="tx1"/>
            </w14:solidFill>
          </w14:textFill>
        </w:rPr>
        <w:t>提供</w:t>
      </w:r>
      <w:r>
        <w:rPr>
          <w:rFonts w:hint="eastAsia" w:ascii="宋体" w:hAnsi="宋体"/>
          <w:color w:val="000000" w:themeColor="text1"/>
          <w:highlight w:val="none"/>
          <w14:textFill>
            <w14:solidFill>
              <w14:schemeClr w14:val="tx1"/>
            </w14:solidFill>
          </w14:textFill>
        </w:rPr>
        <w:t>设备及专业技术能力情况或出具《承诺函》。</w:t>
      </w:r>
    </w:p>
    <w:p w14:paraId="6F438F66">
      <w:pPr>
        <w:widowControl/>
        <w:tabs>
          <w:tab w:val="left" w:pos="525"/>
        </w:tabs>
        <w:adjustRightInd w:val="0"/>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5）参加采购活动前3年内，在经营活动中没有重大违法记录：</w:t>
      </w:r>
      <w:r>
        <w:rPr>
          <w:rFonts w:hint="eastAsia" w:ascii="宋体" w:hAnsi="宋体"/>
          <w:color w:val="000000" w:themeColor="text1"/>
          <w:highlight w:val="none"/>
          <w:lang w:val="en-US" w:eastAsia="zh-CN"/>
          <w14:textFill>
            <w14:solidFill>
              <w14:schemeClr w14:val="tx1"/>
            </w14:solidFill>
          </w14:textFill>
        </w:rPr>
        <w:t>提供</w:t>
      </w:r>
      <w:r>
        <w:rPr>
          <w:rFonts w:hint="eastAsia" w:ascii="宋体" w:hAnsi="宋体"/>
          <w:color w:val="000000" w:themeColor="text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22"/>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t>本项目不属于专门面向中小企业采购的项目</w:t>
      </w:r>
      <w:r>
        <w:rPr>
          <w:rFonts w:hint="eastAsia" w:ascii="宋体" w:hAnsi="宋体" w:cs="宋体"/>
          <w:color w:val="000000" w:themeColor="text1"/>
          <w:highlight w:val="none"/>
          <w:lang w:val="en-US" w:eastAsia="zh-CN"/>
          <w14:textFill>
            <w14:solidFill>
              <w14:schemeClr w14:val="tx1"/>
            </w14:solidFill>
          </w14:textFill>
        </w:rPr>
        <w:t>。</w:t>
      </w:r>
    </w:p>
    <w:p w14:paraId="099BCB7A">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7BA692">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w:t>
      </w:r>
      <w:r>
        <w:rPr>
          <w:rFonts w:hint="eastAsia" w:ascii="宋体" w:hAnsi="宋体" w:eastAsia="宋体" w:cs="宋体"/>
          <w:color w:val="000000" w:themeColor="text1"/>
          <w:sz w:val="21"/>
          <w:szCs w:val="21"/>
          <w:highlight w:val="none"/>
          <w14:textFill>
            <w14:solidFill>
              <w14:schemeClr w14:val="tx1"/>
            </w14:solidFill>
          </w14:textFill>
        </w:rPr>
        <w:t>提供整体设计、规范编制或者项目管理、 监理、 检测等服务的供应商，不得再参与本项目投标（响应）。 投标函相关承诺要求内容。</w:t>
      </w:r>
    </w:p>
    <w:p w14:paraId="61DC1287">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本项目不接受联合体投标。</w:t>
      </w:r>
    </w:p>
    <w:p w14:paraId="2447DDC6">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投标人须在招标代理机构登记并购买招标文件。</w:t>
      </w:r>
    </w:p>
    <w:p w14:paraId="607921E9">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2026年9月23日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2026年10月8日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9-23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2026年9月23日</w:t>
          </w:r>
        </w:sdtContent>
      </w:sdt>
      <w:r>
        <w:rPr>
          <w:rFonts w:hint="eastAsia" w:ascii="宋体" w:hAnsi="宋体" w:eastAsia="宋体" w:cs="宋体"/>
          <w:color w:val="000000" w:themeColor="text1"/>
          <w:szCs w:val="21"/>
          <w:highlight w:val="none"/>
          <w14:textFill>
            <w14:solidFill>
              <w14:schemeClr w14:val="tx1"/>
            </w14:solidFill>
          </w14:textFill>
        </w:rPr>
        <w:t>至</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2026年10月8日</w:t>
      </w:r>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2026年10月15日</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00</w:t>
      </w:r>
      <w:r>
        <w:rPr>
          <w:rFonts w:hint="eastAsia" w:ascii="宋体" w:hAnsi="宋体" w:eastAsia="宋体" w:cs="宋体"/>
          <w:color w:val="000000" w:themeColor="text1"/>
          <w:highlight w:val="none"/>
          <w14:textFill>
            <w14:solidFill>
              <w14:schemeClr w14:val="tx1"/>
            </w14:solidFill>
          </w14:textFill>
        </w:rPr>
        <w:t xml:space="preserve"> (北京时间)。</w:t>
      </w:r>
    </w:p>
    <w:p w14:paraId="36FAE56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2026年10月15日</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00</w:t>
      </w:r>
      <w:r>
        <w:rPr>
          <w:rFonts w:hint="eastAsia" w:ascii="宋体" w:hAnsi="宋体" w:eastAsia="宋体" w:cs="宋体"/>
          <w:color w:val="000000" w:themeColor="text1"/>
          <w:highlight w:val="none"/>
          <w14:textFill>
            <w14:solidFill>
              <w14:schemeClr w14:val="tx1"/>
            </w14:solidFill>
          </w14:textFill>
        </w:rPr>
        <w:t>(北京时间)。</w:t>
      </w:r>
    </w:p>
    <w:p w14:paraId="40DF13E0">
      <w:pPr>
        <w:pStyle w:val="22"/>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4AF82EC1">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762BDF3E">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阳江市市场监督管理局</w:t>
      </w:r>
    </w:p>
    <w:p w14:paraId="3F14AA92">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    址：</w:t>
      </w:r>
      <w:r>
        <w:rPr>
          <w:rFonts w:hint="eastAsia" w:ascii="宋体" w:hAnsi="宋体" w:eastAsia="宋体" w:cs="宋体"/>
          <w:color w:val="000000" w:themeColor="text1"/>
          <w:sz w:val="21"/>
          <w:szCs w:val="21"/>
          <w:highlight w:val="none"/>
          <w:lang w:val="en-US" w:eastAsia="zh-CN"/>
          <w14:textFill>
            <w14:solidFill>
              <w14:schemeClr w14:val="tx1"/>
            </w14:solidFill>
          </w14:textFill>
        </w:rPr>
        <w:t>广东省阳江市江城区农科路21号</w:t>
      </w:r>
    </w:p>
    <w:p w14:paraId="0D9B3E3E">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 系 人：</w:t>
      </w:r>
      <w:r>
        <w:rPr>
          <w:rFonts w:hint="eastAsia" w:ascii="宋体" w:hAnsi="宋体" w:eastAsia="宋体" w:cs="宋体"/>
          <w:color w:val="000000" w:themeColor="text1"/>
          <w:sz w:val="21"/>
          <w:szCs w:val="21"/>
          <w:highlight w:val="none"/>
          <w:lang w:val="en-US" w:eastAsia="zh-CN"/>
          <w14:textFill>
            <w14:solidFill>
              <w14:schemeClr w14:val="tx1"/>
            </w14:solidFill>
          </w14:textFill>
        </w:rPr>
        <w:t>陈钢</w:t>
      </w:r>
    </w:p>
    <w:p w14:paraId="663F5CD1">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lang w:val="en-US" w:eastAsia="zh-CN"/>
          <w14:textFill>
            <w14:solidFill>
              <w14:schemeClr w14:val="tx1"/>
            </w14:solidFill>
          </w14:textFill>
        </w:rPr>
        <w:t>13380869928</w:t>
      </w:r>
    </w:p>
    <w:p w14:paraId="013F29A0">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2"/>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p>
    <w:p w14:paraId="44E9DBEA">
      <w:pPr>
        <w:keepNext w:val="0"/>
        <w:keepLines w:val="0"/>
        <w:pageBreakBefore w:val="0"/>
        <w:kinsoku/>
        <w:wordWrap/>
        <w:overflowPunct/>
        <w:topLinePunct w:val="0"/>
        <w:autoSpaceDE/>
        <w:autoSpaceDN/>
        <w:bidi w:val="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keepNext w:val="0"/>
        <w:keepLines w:val="0"/>
        <w:pageBreakBefore w:val="0"/>
        <w:kinsoku/>
        <w:wordWrap/>
        <w:overflowPunct/>
        <w:topLinePunct w:val="0"/>
        <w:autoSpaceDE/>
        <w:autoSpaceDN/>
        <w:bidi w:val="0"/>
        <w:spacing w:line="360" w:lineRule="auto"/>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w:t>
      </w:r>
      <w:r>
        <w:rPr>
          <w:rFonts w:hint="eastAsia" w:ascii="宋体" w:hAnsi="宋体" w:eastAsia="宋体" w:cs="宋体"/>
          <w:color w:val="000000" w:themeColor="text1"/>
          <w:sz w:val="21"/>
          <w:szCs w:val="21"/>
          <w:highlight w:val="none"/>
          <w:lang w:eastAsia="zh-CN"/>
          <w14:textFill>
            <w14:solidFill>
              <w14:schemeClr w14:val="tx1"/>
            </w14:solidFill>
          </w14:textFill>
        </w:rPr>
        <w:t>业信采购招标有限公司</w:t>
      </w:r>
    </w:p>
    <w:p w14:paraId="37B13D95">
      <w:pPr>
        <w:pStyle w:val="22"/>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sz w:val="21"/>
          <w:szCs w:val="21"/>
        </w:rPr>
        <w:t>2026年9月23日</w:t>
      </w:r>
    </w:p>
    <w:p w14:paraId="746705D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bookmarkStart w:id="207" w:name="_GoBack"/>
      <w:bookmarkEnd w:id="207"/>
    </w:p>
    <w:p w14:paraId="53B046C1">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1" w:name="_Toc2097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58810D6B">
      <w:pPr>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52DC470E">
      <w:pPr>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一、项目概述</w:t>
      </w:r>
    </w:p>
    <w:p w14:paraId="117B656D">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bookmarkStart w:id="2" w:name="_Toc10441"/>
      <w:r>
        <w:rPr>
          <w:rFonts w:hint="eastAsia" w:ascii="宋体" w:hAnsi="宋体" w:eastAsia="宋体" w:cs="宋体"/>
          <w:b/>
          <w:bCs/>
          <w:color w:val="000000" w:themeColor="text1"/>
          <w:highlight w:val="none"/>
          <w:lang w:val="en-US" w:eastAsia="zh-CN"/>
          <w14:textFill>
            <w14:solidFill>
              <w14:schemeClr w14:val="tx1"/>
            </w14:solidFill>
          </w14:textFill>
        </w:rPr>
        <w:t>1.项目背景</w:t>
      </w:r>
    </w:p>
    <w:p w14:paraId="4F8EB1A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为贯彻落实《广东省食品安全条例》《广东省市场监督管理局关于“明厨亮灶”建设规范的指引》，规范市级“互联网+明厨亮灶”监管平台和学校食堂“互联网+明厨亮灶”系统的建设工作，提升“互联网+明厨亮灶”建设工作成效，保障家长代表（家委）的知情权和监督权，广东省市场监督管理局制定了《广东省学校食堂“互联网+明厨亮灶”平台建设指南》（以下简称《建设指南》）。《建设指南》对市（区/县）级监管平台、学校“互联网+明厨亮灶”系统建设要求、网络建设要求和安全系统建设要求等提出了概要性指引。</w:t>
      </w:r>
    </w:p>
    <w:p w14:paraId="74782D2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加强重点餐饮企业监管，保障食品安全，本平台需继续增加学校食堂进驻，并为以后的食品安全大数据分析需求做好准备。</w:t>
      </w:r>
    </w:p>
    <w:p w14:paraId="248D0A2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“互联网+明厨亮灶”平台可以让监管人员、群众、师生和家长通过电脑、手机、视频监控显示器、电脑或者将厨房的“一举一动”尽收眼底。</w:t>
      </w:r>
    </w:p>
    <w:p w14:paraId="29D045B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明厨亮灶”工程通过对关键场所和关键环节的全景展示，让消费者把每盘菜“背后的故事”了解得真真切切，把每道工序流程尽收眼底，既是督促餐饮单位加强自律，也是鼓励他律，使餐饮单位全面接受消费者监督，主动保障饮食安全。</w:t>
      </w:r>
    </w:p>
    <w:p w14:paraId="3CE0A17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明厨亮灶”工程包括“透明厨房”和“视频厨房”两种展现形式。透明厨房，是指餐饮服务单位采取透明玻璃窗或玻璃幕墙、隔断矮墙或设置参观窗口等方式方法，使消费者能直接观看餐饮食品加工制作过程的厨房展现形式。“视频厨房”，是指餐饮服务单位在食品加工制作场所安装高清视频摄像设备，通过视频传输技术和显示屏，使消费者在就餐场所观看餐饮食品加工制作过程的厨房展现形式。</w:t>
      </w:r>
    </w:p>
    <w:p w14:paraId="528FFED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当前餐饮监管工作的主要需求在于餐饮单位的数量巨大、涉及食品安全的加工操作环节众多，仅仅依靠有限的食药监管人员无法实现有效覆盖；同时食品安全事件往往是事后才发现，对于事后追溯、查证环节也有需求。</w:t>
      </w:r>
    </w:p>
    <w:p w14:paraId="725CECA1">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2.项目目标</w:t>
      </w:r>
      <w:bookmarkEnd w:id="2"/>
    </w:p>
    <w:p w14:paraId="734E62E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创新市场监督管理模式，建立智慧监管大数据、通过人工智能视频违规抓拍、信用监管等方式提升监管效率，通过责任单位自查和群众监督，落实单位主体责任。</w:t>
      </w:r>
    </w:p>
    <w:p w14:paraId="1DFB344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建设智慧监管驾驶舱，让主要领导对辖区内整个监管情况、食品运输情况进行可视化、全局性的了解和掌控，对餐饮单位的日常执法和临时检查情况与成果清晰可见，对数据情况有据可查。多维度分析与展示数据指标，结合市场监管局监管工作与单位主体自查内容，帮助市场监管局实现人工智能与智慧化监管，将平台力转化为可落地的生产力。</w:t>
      </w:r>
    </w:p>
    <w:p w14:paraId="526293A9">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bookmarkStart w:id="3" w:name="_Toc12530"/>
      <w:r>
        <w:rPr>
          <w:rFonts w:hint="eastAsia" w:ascii="宋体" w:hAnsi="宋体" w:eastAsia="宋体" w:cs="宋体"/>
          <w:b/>
          <w:bCs/>
          <w:color w:val="000000" w:themeColor="text1"/>
          <w:highlight w:val="none"/>
          <w:lang w:val="en-US" w:eastAsia="zh-CN"/>
          <w14:textFill>
            <w14:solidFill>
              <w14:schemeClr w14:val="tx1"/>
            </w14:solidFill>
          </w14:textFill>
        </w:rPr>
        <w:t>3.政策法规</w:t>
      </w:r>
    </w:p>
    <w:p w14:paraId="003EB0E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《中华人民共和国食品安全法》；</w:t>
      </w:r>
    </w:p>
    <w:p w14:paraId="672C173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《中华人民共和国食品安全法实施条例》；</w:t>
      </w:r>
    </w:p>
    <w:p w14:paraId="2D6E132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《中华人民共和国农产品质量安全法》；</w:t>
      </w:r>
    </w:p>
    <w:p w14:paraId="6459019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国务院办公厅关于运用大数据加强对市场主体服务和监管的若干意见（国办发〔2015〕51号）；</w:t>
      </w:r>
    </w:p>
    <w:p w14:paraId="51B0A3A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《中共中央 国务院关于深化改革加强食品安全工作的意见》（2019年5月9日）；</w:t>
      </w:r>
    </w:p>
    <w:p w14:paraId="5CC155F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《餐饮服务明厨亮灶工作指导意见》（国市监食监二〔2018〕32号）；</w:t>
      </w:r>
    </w:p>
    <w:p w14:paraId="4704D63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《广东省国民经济和社会发展第十四个五年规划和2035年远景目标纲要》（粤府〔2021〕28号）；</w:t>
      </w:r>
    </w:p>
    <w:p w14:paraId="1706217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广东省人民政府关于进一步深化数字政府改革建设的实施意见（粤府〔2023〕47号）；</w:t>
      </w:r>
    </w:p>
    <w:p w14:paraId="2E1EC39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《广东省政务服务数据管理局关于印发〈广东省政务数据资源共享实施细则〉的通知》（粤政数函〔2019〕644号）；</w:t>
      </w:r>
    </w:p>
    <w:p w14:paraId="27395DC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广东省市场监督管理局关于印发《广东省市场监督管理局关于“明厨亮灶”建设规范的指引》的通知（粤市监规字〔2023〕1号）；</w:t>
      </w:r>
    </w:p>
    <w:p w14:paraId="5DA09B4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《阳江市数字政府改革建设“十四五”规划》（阳府〔2022〕2号）；</w:t>
      </w:r>
    </w:p>
    <w:p w14:paraId="4E1FB1C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《阳江市人民政府办公室关于印发〈阳江市政务信息化项目管理办法〉的通知》（阳府办〔2023〕5号）；</w:t>
      </w:r>
    </w:p>
    <w:p w14:paraId="4D5DD4B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关于印发《“数字阳江”建设项目（一期）实施工作方案》的通知（阳数改办通〔2023〕7号）；</w:t>
      </w:r>
    </w:p>
    <w:p w14:paraId="6BFCDB9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《阳江市政务服务数据管理局关于印发〈阳江市政务信息化项目立项审批细则〉的通知》（阳政数通〔2024〕10号）；</w:t>
      </w:r>
    </w:p>
    <w:p w14:paraId="3CB9E4A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国家、广东省、阳江市及江城区现行的其他有关法律法规。</w:t>
      </w:r>
    </w:p>
    <w:bookmarkEnd w:id="3"/>
    <w:p w14:paraId="385F4168">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bookmarkStart w:id="4" w:name="_Toc119917779"/>
      <w:r>
        <w:rPr>
          <w:rFonts w:hint="eastAsia" w:ascii="宋体" w:hAnsi="宋体" w:eastAsia="宋体" w:cs="宋体"/>
          <w:b/>
          <w:bCs/>
          <w:color w:val="000000" w:themeColor="text1"/>
          <w:highlight w:val="none"/>
          <w:lang w:val="en-US" w:eastAsia="zh-CN"/>
          <w14:textFill>
            <w14:solidFill>
              <w14:schemeClr w14:val="tx1"/>
            </w14:solidFill>
          </w14:textFill>
        </w:rPr>
        <w:t>4.总体架构</w:t>
      </w:r>
    </w:p>
    <w:p w14:paraId="42703A5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本项目整体建设架构如下：</w:t>
      </w:r>
    </w:p>
    <w:p w14:paraId="2E3EEDCE">
      <w:pPr>
        <w:widowControl/>
        <w:pBdr>
          <w:top w:val="none" w:color="000000" w:sz="0" w:space="0"/>
          <w:left w:val="none" w:color="000000" w:sz="0" w:space="0"/>
          <w:bottom w:val="none" w:color="000000" w:sz="0" w:space="0"/>
          <w:right w:val="none" w:color="000000" w:sz="0" w:space="0"/>
          <w:between w:val="none" w:color="000000" w:sz="0" w:space="0"/>
        </w:pBdr>
        <w:spacing w:before="156" w:beforeLines="50" w:line="360" w:lineRule="auto"/>
        <w:ind w:left="-4" w:leftChars="-2" w:firstLine="2" w:firstLineChars="1"/>
        <w:jc w:val="center"/>
        <w:rPr>
          <w:rFonts w:ascii="Calibri" w:hAnsi="Calibri" w:eastAsia="宋体" w:cs="Calibri"/>
          <w:color w:val="000000" w:themeColor="text1"/>
          <w:kern w:val="2"/>
          <w:sz w:val="24"/>
          <w:szCs w:val="24"/>
          <w:highlight w:val="none"/>
          <w:lang w:val="en-US" w:eastAsia="zh-CN" w:bidi="ar-SA"/>
          <w14:textFill>
            <w14:solidFill>
              <w14:schemeClr w14:val="tx1"/>
            </w14:solidFill>
          </w14:textFill>
        </w:rPr>
      </w:pPr>
      <w:r>
        <w:rPr>
          <w:rFonts w:ascii="Calibri" w:hAnsi="Calibri" w:eastAsia="宋体" w:cs="Calibri"/>
          <w:color w:val="000000" w:themeColor="text1"/>
          <w:kern w:val="2"/>
          <w:sz w:val="24"/>
          <w:szCs w:val="21"/>
          <w:highlight w:val="none"/>
          <w:lang w:val="zh-CN" w:eastAsia="zh-CN" w:bidi="ar-SA"/>
          <w14:textFill>
            <w14:solidFill>
              <w14:schemeClr w14:val="tx1"/>
            </w14:solidFill>
          </w14:textFill>
        </w:rPr>
        <w:object>
          <v:shape id="_x0000_i1025" o:spt="75" type="#_x0000_t75" style="height:484.2pt;width:414.6pt;" o:ole="t" filled="f" o:preferrelative="t" stroked="f" coordsize="21600,21600">
            <v:path/>
            <v:fill on="f" focussize="0,0"/>
            <v:stroke on="f" joinstyle="miter"/>
            <v:imagedata r:id="rId8" o:title=""/>
            <o:lock v:ext="edit" aspectratio="t"/>
            <w10:wrap type="none"/>
            <w10:anchorlock/>
          </v:shape>
          <o:OLEObject Type="Embed" ProgID="Visio.Drawing.15" ShapeID="_x0000_i1025" DrawAspect="Content" ObjectID="_1468075725" r:id="rId7">
            <o:LockedField>false</o:LockedField>
          </o:OLEObject>
        </w:object>
      </w:r>
    </w:p>
    <w:p w14:paraId="2AD3B31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Calibri" w:hAnsi="Calibri" w:eastAsia="宋体" w:cs="Times New Roman"/>
          <w:color w:val="000000" w:themeColor="text1"/>
          <w:kern w:val="1"/>
          <w:szCs w:val="22"/>
          <w:highlight w:val="none"/>
          <w14:textFill>
            <w14:solidFill>
              <w14:schemeClr w14:val="tx1"/>
            </w14:solidFill>
          </w14:textFill>
        </w:rPr>
      </w:pPr>
      <w:r>
        <w:rPr>
          <w:rFonts w:hint="eastAsia" w:ascii="Calibri" w:hAnsi="Calibri" w:eastAsia="宋体" w:cs="Times New Roman"/>
          <w:color w:val="000000" w:themeColor="text1"/>
          <w:kern w:val="1"/>
          <w:szCs w:val="22"/>
          <w:highlight w:val="none"/>
          <w14:textFill>
            <w14:solidFill>
              <w14:schemeClr w14:val="tx1"/>
            </w14:solidFill>
          </w14:textFill>
        </w:rPr>
        <w:t>本项目中系统全面应用国产化技术，遵循国家和省有关信创技术的要求，新增系统模块需适配国产化的应用软件、中间件、数据库、操作系统、服务器等，全面适配国产平台及国产基础支撑环境。</w:t>
      </w:r>
      <w:bookmarkEnd w:id="4"/>
    </w:p>
    <w:p w14:paraId="5E93E585">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5.项目总体需求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3127"/>
        <w:gridCol w:w="2285"/>
        <w:gridCol w:w="2285"/>
      </w:tblGrid>
      <w:tr w14:paraId="5628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1" w:type="dxa"/>
            <w:vAlign w:val="center"/>
          </w:tcPr>
          <w:p w14:paraId="2E061C6C">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序号</w:t>
            </w:r>
          </w:p>
        </w:tc>
        <w:tc>
          <w:tcPr>
            <w:tcW w:w="3127" w:type="dxa"/>
            <w:vAlign w:val="center"/>
          </w:tcPr>
          <w:p w14:paraId="76831CE0">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需求名称</w:t>
            </w:r>
          </w:p>
        </w:tc>
        <w:tc>
          <w:tcPr>
            <w:tcW w:w="2285" w:type="dxa"/>
            <w:vAlign w:val="center"/>
          </w:tcPr>
          <w:p w14:paraId="52B9E645">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w:t>
            </w:r>
          </w:p>
        </w:tc>
        <w:tc>
          <w:tcPr>
            <w:tcW w:w="2285" w:type="dxa"/>
            <w:vAlign w:val="center"/>
          </w:tcPr>
          <w:p w14:paraId="4EB4DAFC">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数量</w:t>
            </w:r>
          </w:p>
        </w:tc>
      </w:tr>
      <w:tr w14:paraId="16F7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1" w:type="dxa"/>
            <w:vAlign w:val="center"/>
          </w:tcPr>
          <w:p w14:paraId="058F16CA">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p>
        </w:tc>
        <w:tc>
          <w:tcPr>
            <w:tcW w:w="3127" w:type="dxa"/>
            <w:vAlign w:val="center"/>
          </w:tcPr>
          <w:p w14:paraId="16F1C97E">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基础设施服务需求</w:t>
            </w:r>
          </w:p>
        </w:tc>
        <w:tc>
          <w:tcPr>
            <w:tcW w:w="2285" w:type="dxa"/>
            <w:vAlign w:val="center"/>
          </w:tcPr>
          <w:p w14:paraId="76D6577D">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w:t>
            </w:r>
          </w:p>
        </w:tc>
        <w:tc>
          <w:tcPr>
            <w:tcW w:w="2285" w:type="dxa"/>
            <w:vAlign w:val="center"/>
          </w:tcPr>
          <w:p w14:paraId="2F25A941">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p>
        </w:tc>
      </w:tr>
      <w:tr w14:paraId="4767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1" w:type="dxa"/>
            <w:vAlign w:val="center"/>
          </w:tcPr>
          <w:p w14:paraId="712DAB44">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p>
        </w:tc>
        <w:tc>
          <w:tcPr>
            <w:tcW w:w="3127" w:type="dxa"/>
            <w:vAlign w:val="center"/>
          </w:tcPr>
          <w:p w14:paraId="165E12D9">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软件开发服务需求</w:t>
            </w:r>
          </w:p>
        </w:tc>
        <w:tc>
          <w:tcPr>
            <w:tcW w:w="2285" w:type="dxa"/>
            <w:vAlign w:val="center"/>
          </w:tcPr>
          <w:p w14:paraId="171F265D">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w:t>
            </w:r>
          </w:p>
        </w:tc>
        <w:tc>
          <w:tcPr>
            <w:tcW w:w="2285" w:type="dxa"/>
            <w:vAlign w:val="center"/>
          </w:tcPr>
          <w:p w14:paraId="6C45F687">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p>
        </w:tc>
      </w:tr>
      <w:tr w14:paraId="38CF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1" w:type="dxa"/>
            <w:vAlign w:val="center"/>
          </w:tcPr>
          <w:p w14:paraId="1EA673ED">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3127" w:type="dxa"/>
            <w:vAlign w:val="center"/>
          </w:tcPr>
          <w:p w14:paraId="2CDC71A2">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运行维护服务需求</w:t>
            </w:r>
          </w:p>
        </w:tc>
        <w:tc>
          <w:tcPr>
            <w:tcW w:w="2285" w:type="dxa"/>
            <w:vAlign w:val="center"/>
          </w:tcPr>
          <w:p w14:paraId="3F9658A6">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w:t>
            </w:r>
          </w:p>
        </w:tc>
        <w:tc>
          <w:tcPr>
            <w:tcW w:w="2285" w:type="dxa"/>
            <w:vAlign w:val="center"/>
          </w:tcPr>
          <w:p w14:paraId="07F55CD1">
            <w:pPr>
              <w:bidi w:val="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p>
        </w:tc>
      </w:tr>
    </w:tbl>
    <w:p w14:paraId="4B21E2B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5E6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52"/>
        <w:gridCol w:w="7319"/>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2" w:type="dxa"/>
            <w:vAlign w:val="center"/>
          </w:tcPr>
          <w:p w14:paraId="2CF43628">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7319" w:type="dxa"/>
            <w:vAlign w:val="top"/>
          </w:tcPr>
          <w:p w14:paraId="0FD68CEA">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合同签订日起6个月内完成交付（含试运行3个月），交付验收通过之日起提供3年的运行维护服务。</w:t>
            </w:r>
            <w:r>
              <w:rPr>
                <w:rFonts w:hint="eastAsia" w:ascii="宋体" w:hAnsi="宋体" w:eastAsia="宋体" w:cs="宋体"/>
                <w:color w:val="000000" w:themeColor="text1"/>
                <w:sz w:val="21"/>
                <w:szCs w:val="21"/>
                <w:highlight w:val="none"/>
                <w:lang w:eastAsia="zh-CN"/>
                <w14:textFill>
                  <w14:solidFill>
                    <w14:schemeClr w14:val="tx1"/>
                  </w14:solidFill>
                </w14:textFill>
              </w:rPr>
              <w:t>（超出该</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完工</w:t>
            </w:r>
            <w:r>
              <w:rPr>
                <w:rFonts w:hint="eastAsia" w:ascii="宋体" w:hAnsi="宋体" w:eastAsia="宋体" w:cs="宋体"/>
                <w:color w:val="000000" w:themeColor="text1"/>
                <w:sz w:val="21"/>
                <w:szCs w:val="21"/>
                <w:highlight w:val="none"/>
                <w:lang w:eastAsia="zh-CN"/>
                <w14:textFill>
                  <w14:solidFill>
                    <w14:schemeClr w14:val="tx1"/>
                  </w14:solidFill>
                </w14:textFill>
              </w:rPr>
              <w:t>期作无效投标处理）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2" w:type="dxa"/>
            <w:vAlign w:val="center"/>
          </w:tcPr>
          <w:p w14:paraId="41FEE26B">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7319" w:type="dxa"/>
            <w:vAlign w:val="top"/>
          </w:tcPr>
          <w:p w14:paraId="191200CA">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采购人指定地点。</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2" w:type="dxa"/>
            <w:vAlign w:val="center"/>
          </w:tcPr>
          <w:p w14:paraId="124C4BB1">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7319" w:type="dxa"/>
            <w:vAlign w:val="top"/>
          </w:tcPr>
          <w:p w14:paraId="321C6542">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2" w:type="dxa"/>
            <w:vAlign w:val="center"/>
          </w:tcPr>
          <w:p w14:paraId="26E84CA7">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bidi="ar"/>
                <w14:textFill>
                  <w14:solidFill>
                    <w14:schemeClr w14:val="tx1"/>
                  </w14:solidFill>
                </w14:textFill>
              </w:rPr>
              <w:t>投标报价</w:t>
            </w: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要求</w:t>
            </w:r>
          </w:p>
        </w:tc>
        <w:tc>
          <w:tcPr>
            <w:tcW w:w="7319" w:type="dxa"/>
            <w:vAlign w:val="top"/>
          </w:tcPr>
          <w:p w14:paraId="0E97871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1"/>
                <w:szCs w:val="21"/>
                <w:highlight w:val="none"/>
                <w:lang w:val="en-US" w:eastAsia="zh-CN" w:bidi="ar"/>
                <w14:textFill>
                  <w14:solidFill>
                    <w14:schemeClr w14:val="tx1"/>
                  </w14:solidFill>
                </w14:textFill>
              </w:rPr>
              <w:t>投标价必须包括完成项目全部内容所需的所有费用。投标报价包括：基础设施服务费、软件开发费、运维服务费、保险费、税费、安装调试费、验收以及培训等一切费用，采购人不再支付任何费用。</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2" w:type="dxa"/>
            <w:vAlign w:val="center"/>
          </w:tcPr>
          <w:p w14:paraId="706FC031">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7319" w:type="dxa"/>
            <w:vAlign w:val="top"/>
          </w:tcPr>
          <w:p w14:paraId="464463F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采购合同由中标供应商</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凭《</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中标通知书</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与采购人双方签订，签订时间为中标供应商收到《中标通知书》通知后</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30</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个</w:t>
            </w:r>
            <w:r>
              <w:rPr>
                <w:rFonts w:hint="eastAsia" w:asciiTheme="minorEastAsia" w:hAnsiTheme="minorEastAsia" w:eastAsiaTheme="minorEastAsia" w:cstheme="minorEastAsia"/>
                <w:color w:val="000000" w:themeColor="text1"/>
                <w:kern w:val="0"/>
                <w:sz w:val="21"/>
                <w:szCs w:val="21"/>
                <w:highlight w:val="none"/>
                <w:lang w:val="en-US" w:eastAsia="zh-CN" w:bidi="ar"/>
                <w14:textFill>
                  <w14:solidFill>
                    <w14:schemeClr w14:val="tx1"/>
                  </w14:solidFill>
                </w14:textFill>
              </w:rPr>
              <w:t>日历日</w:t>
            </w:r>
            <w:r>
              <w:rPr>
                <w:rFonts w:hint="eastAsia" w:asciiTheme="minorEastAsia" w:hAnsiTheme="minorEastAsia" w:eastAsiaTheme="minorEastAsia" w:cstheme="minorEastAsia"/>
                <w:color w:val="000000" w:themeColor="text1"/>
                <w:kern w:val="0"/>
                <w:sz w:val="21"/>
                <w:szCs w:val="21"/>
                <w:highlight w:val="none"/>
                <w:lang w:bidi="ar"/>
                <w14:textFill>
                  <w14:solidFill>
                    <w14:schemeClr w14:val="tx1"/>
                  </w14:solidFill>
                </w14:textFill>
              </w:rPr>
              <w:t xml:space="preserve">内。 </w:t>
            </w:r>
          </w:p>
        </w:tc>
      </w:tr>
      <w:tr w14:paraId="4F42D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52" w:type="dxa"/>
            <w:vAlign w:val="center"/>
          </w:tcPr>
          <w:p w14:paraId="78620337">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bookmarkStart w:id="5" w:name="_Toc502872178"/>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人员要求</w:t>
            </w:r>
            <w:bookmarkEnd w:id="5"/>
          </w:p>
        </w:tc>
        <w:tc>
          <w:tcPr>
            <w:tcW w:w="7319" w:type="dxa"/>
            <w:vAlign w:val="top"/>
          </w:tcPr>
          <w:p w14:paraId="752EA1F8">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实行项目经理负责制，投标人提供1名中级或以上职称工程师委派为项目经理，专职负责现场问题处理或交流情况的整体协调工作；提供1名技术经理（具有人社部门认可的机构颁发的网络工程师或网络规划设计师证书）负责技术管理，技术团队不少于5人。</w:t>
            </w:r>
          </w:p>
          <w:p w14:paraId="235AAB63">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项目经理根据实际情况可以适当增加工作人员，接受采购人的统一管理。对于不合格的项目组成员，采购人有权要求更换，投标人须在收到采购人书面通知后一周内完成人员更换。投标人派驻本项目的人员必须固定，如有变更，必须经采购人书面确认同后才能进行。</w:t>
            </w:r>
          </w:p>
        </w:tc>
      </w:tr>
      <w:tr w14:paraId="1038B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52" w:type="dxa"/>
            <w:vAlign w:val="center"/>
          </w:tcPr>
          <w:p w14:paraId="7A790681">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质量管理要求</w:t>
            </w:r>
          </w:p>
        </w:tc>
        <w:tc>
          <w:tcPr>
            <w:tcW w:w="7319" w:type="dxa"/>
            <w:vAlign w:val="center"/>
          </w:tcPr>
          <w:p w14:paraId="53BEB9C5">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为保证服务质量，投标人须根据采购需求，制定科学合理的项目管理方案，包括但不限于管理制度、质量规划、质量控制措施、进度管理、计划执行内容、风险管理、机构和人员配备等内容，提交采购人审核，并能根据采购人的要求合理调整实施安排。</w:t>
            </w:r>
          </w:p>
          <w:p w14:paraId="2F8EF914">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（一）安装部署、测试环境</w:t>
            </w:r>
          </w:p>
          <w:p w14:paraId="08F915BF">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必须向采购人提供本项目系统安装等全部内容，进行安装调试，搭建测试环境，并在需要的时候配合采购人完成整个系统的测试联调工作。若本项目开发软件的配置或要求中出现不合理或不完整的问题时，投标人有责任和义务在投标文件中提出补充修改方案并征得采购人同意后付诸实施。</w:t>
            </w:r>
          </w:p>
          <w:p w14:paraId="053301D8">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（二）安装要求</w:t>
            </w:r>
          </w:p>
          <w:p w14:paraId="24181BB5">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应用软件系统安装的主要目标不仅是使应用软件能够在相应平台上正常运行，而且必须具有对业务软件系统运行的监控测试手段，以证明系统优化运行。投标人有责任且必须承诺所承建的应用软件系统达到用户要求的各项性能指标。</w:t>
            </w:r>
          </w:p>
          <w:p w14:paraId="241DF5EA">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（三）系统测试</w:t>
            </w:r>
          </w:p>
          <w:p w14:paraId="51B6DF71">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系统安装完成后，按照用户实际要求的基本功能以及标书中要求的所有指标进行逐一测试。</w:t>
            </w:r>
          </w:p>
          <w:p w14:paraId="31B8DA0E">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（1）单项测试：单项应用安装部署完成后，投标人进行应用自身功能及性能的测试。</w:t>
            </w:r>
          </w:p>
          <w:p w14:paraId="25914708">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（2）验收测试：根据测试方案进行测试，现场提交测试报告，由双方签字确认。</w:t>
            </w:r>
          </w:p>
          <w:p w14:paraId="02523778">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（3）投标人应负责在项目验收时将系统的全部有关系统说明书、技术文件、资料、验收报告等文档交付用户方。</w:t>
            </w:r>
          </w:p>
        </w:tc>
      </w:tr>
      <w:tr w14:paraId="0B7B74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52" w:type="dxa"/>
            <w:vAlign w:val="center"/>
          </w:tcPr>
          <w:p w14:paraId="3B81DD40">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验收要求</w:t>
            </w:r>
          </w:p>
        </w:tc>
        <w:tc>
          <w:tcPr>
            <w:tcW w:w="7319" w:type="dxa"/>
            <w:vAlign w:val="center"/>
          </w:tcPr>
          <w:p w14:paraId="0947C1CB">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验收包括交付验收和项目终验：</w:t>
            </w:r>
          </w:p>
          <w:p w14:paraId="0EB170C3">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交付验收：一是平台部署调试完成并有效试运行3个月；二是通过采购人聘请的第三方功能性能测评，平台通过第三方安全等级保护测评（二级）和密码应用评估（二级）；三是按国家和有关行业标准，提交交付验收所需的所有文档资料（含纸质和光盘）；四是达到交付验收标准及相关要求。上述四项要求全部满足后，中标人向采购人和监理方提交交付验收申请，经采购人和监理方审核确认后组织交付验收。</w:t>
            </w:r>
          </w:p>
          <w:p w14:paraId="7C39F1C3">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项目终验：一是中标人完成项目合同、采购人采购文件、中标人投标响应文件中要求的实施内容（如三个文件有不一致的，按最高标准执行），达到所有要求；二是按国家和有关行业标准，提交项目建设实施过程中所产生的所有文档资料（含纸质和光盘）；三是达到项目终验标准及相关要求。上述三项要求全部满足后，中标人向采购人和监理方提交项目终验申请，经采购人和监理方审核确认后组织项目终验。</w:t>
            </w:r>
          </w:p>
          <w:p w14:paraId="2B01574D">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提供的所有服务，其质量、技术等特征必须符合《阳江市人民政府办公室关于印发阳江市政务信息化项目管理办法的通知》（阳府办〔2023〕5号）等相关标准及用户需求，并按服务要求提交相关服务文档或报告。</w:t>
            </w:r>
          </w:p>
        </w:tc>
      </w:tr>
      <w:tr w14:paraId="39EFF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52" w:type="dxa"/>
            <w:vAlign w:val="center"/>
          </w:tcPr>
          <w:p w14:paraId="6532BED2">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文档管理及保密要求</w:t>
            </w:r>
          </w:p>
        </w:tc>
        <w:tc>
          <w:tcPr>
            <w:tcW w:w="7319" w:type="dxa"/>
            <w:vAlign w:val="center"/>
          </w:tcPr>
          <w:p w14:paraId="32CBAC70">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1.投标人必须设置专人对文档进行检查和管理，项目最终验收后全部移交给采购人。本项目所有文档最终必须向采购人提供纸质和电子文档各一套。</w:t>
            </w:r>
          </w:p>
          <w:p w14:paraId="53649848">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2.投标人须制定保密管理体系方案，承担本项目范围内的所有的文档、数据、图表、视频等资料的保密义务，不向第三方传泄，不论本项目是否变更、解除或终止，本条款均有效。</w:t>
            </w:r>
          </w:p>
          <w:p w14:paraId="04774EC9">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3.投标人应签订保密协议，对其因身份、职务、职业或技术关系而知悉的采购人商业秘密和党政机关保密信息应严格保守，保证不被披露或使用，包括意外或过失。</w:t>
            </w:r>
          </w:p>
          <w:p w14:paraId="4595F0EC">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投标人不得以竞争为目的、或出于私利、或为第三人谋利而擅自保存、披露、使用采购人商业秘密和党政机关保密信息；不得直接或间接地向无关人员泄露采购人的商业秘密和党政机关保密信息；不得向不承担保密义务的任何第三人披露采购人的商业秘密和党政机关保密信息。投标人在从事政府项目时，不得擅自记录、复制、拍摄、摘抄、收藏在工作中涉及的保密信息，严禁将涉及政府项目的任何资料、数据透露或以其他方式提供给项目以外的其他方或投标人内部与该项目无关的任何人员。</w:t>
            </w:r>
          </w:p>
          <w:p w14:paraId="7871329C">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投标人对于工作期间知悉采购人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w:t>
            </w:r>
          </w:p>
          <w:p w14:paraId="285D59E7">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6.严禁泄露在工作中接触到的政府机关科技研究、发明、装备器材及其技术资料和政府工作信息。</w:t>
            </w:r>
          </w:p>
        </w:tc>
      </w:tr>
      <w:tr w14:paraId="65EBD2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52" w:type="dxa"/>
            <w:vAlign w:val="center"/>
          </w:tcPr>
          <w:p w14:paraId="6D5EB0FD">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风险控制</w:t>
            </w:r>
          </w:p>
        </w:tc>
        <w:tc>
          <w:tcPr>
            <w:tcW w:w="7319" w:type="dxa"/>
            <w:vAlign w:val="center"/>
          </w:tcPr>
          <w:p w14:paraId="6ADAC2E3">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1"/>
                <w:szCs w:val="21"/>
                <w:highlight w:val="none"/>
                <w:lang w:val="en-US" w:eastAsia="zh-CN" w:bidi="ar"/>
                <w14:textFill>
                  <w14:solidFill>
                    <w14:schemeClr w14:val="tx1"/>
                  </w14:solidFill>
                </w14:textFill>
              </w:rPr>
              <w:t>投标人须制定风险控制方案，需加强测评过程中的风险控制，按照相关工作规程，应充分讨论并明确可能带来的风险和隐患，制定应急恢复措施，并在专业人员的指导和监护下进行，在项目开展过程中接受采购人指定的监理机构的监理。</w:t>
            </w:r>
          </w:p>
        </w:tc>
      </w:tr>
      <w:tr w14:paraId="6A748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52" w:type="dxa"/>
            <w:vAlign w:val="center"/>
          </w:tcPr>
          <w:p w14:paraId="3FDFFAD6">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知识产权要求</w:t>
            </w:r>
          </w:p>
        </w:tc>
        <w:tc>
          <w:tcPr>
            <w:tcW w:w="7319" w:type="dxa"/>
            <w:vAlign w:val="center"/>
          </w:tcPr>
          <w:p w14:paraId="0C9C8E19">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该项目不会引起任何已申请、登记的知识产权所有权的转移。</w:t>
            </w:r>
          </w:p>
          <w:p w14:paraId="749C16B2">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基于本项目约定委托投标人提供的产品、程序、服务等成果的知识产权归采购人所有，投标人应交付软件的源代码。投标人在如在交付产品上进行二次开发的及对二次开发形成的产品、程序等财产进行处置的，需经采购人事先书面同意，二次开发所形成的产品、程序、服务等的知识产权归采购人、投标人共同所有。经采购人同意，投标人利用项目成果申请的商标、专利或输出的图片、视频等受知识产权保护的成果物，采购人有权无条件永久使用。</w:t>
            </w:r>
          </w:p>
          <w:p w14:paraId="59AC3FC6">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投标人负责提供运营服务，投标人为履行合同义务所形成的所有服务成果的产权归采购人单独所有。</w:t>
            </w:r>
          </w:p>
        </w:tc>
      </w:tr>
      <w:tr w14:paraId="0FC7F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52" w:type="dxa"/>
            <w:vAlign w:val="center"/>
          </w:tcPr>
          <w:p w14:paraId="75DDF371">
            <w:pPr>
              <w:pStyle w:val="22"/>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lang w:val="en-US" w:eastAsia="zh-CN" w:bidi="ar"/>
                <w14:textFill>
                  <w14:solidFill>
                    <w14:schemeClr w14:val="tx1"/>
                  </w14:solidFill>
                </w14:textFill>
              </w:rPr>
              <w:t>付款方式</w:t>
            </w:r>
          </w:p>
        </w:tc>
        <w:tc>
          <w:tcPr>
            <w:tcW w:w="7319" w:type="dxa"/>
            <w:vAlign w:val="center"/>
          </w:tcPr>
          <w:p w14:paraId="4CE6598E">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1期：支付比例30%。签订合同后15个工作日内，中标人书面提出支付申请函及拟支付金额等额的符合采购人财务管理要求的相应发票，经采购人确认后启动第1期款支付流程；</w:t>
            </w:r>
          </w:p>
          <w:p w14:paraId="15D6B872">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2期：支付比例40%。中标人完成平台试运行并交付验收通过后的15个工作日内，中标人书面提出支付申请函及拟支付金额等额的符合采购人财务管理要求的相应发票，经采购人确认后启动第2期款支付流程。</w:t>
            </w:r>
          </w:p>
          <w:p w14:paraId="21A2369E">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3期：支付比例30%。中标人按要求完成运维运营服务并终验通过后，中标人书面提出支付申请函及拟支付金额等额的符合采购人财务管理要求的相应发票，经采购人确认后启动尾款支付流程。</w:t>
            </w:r>
          </w:p>
          <w:p w14:paraId="1BC0213B">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其他支付说明：(1)如采购人的项目资金有支付时间要求时，中标人向采购人申请支付合同款项，经采购人和监理方同意后，中标人出具书面承诺函并提供等额的银行保函，可提前支付项目的合同款项。(2)项目实际支付总金额按采购成交总金额计算，项目支付计划按合同约定执行，以上付款时间不含财政部门审查的时间及预算下达的时间，如因政府财政支付管理流程导致的支付延期，支付期限自动顺延，采购人不承担责任，投标人不得以此为由迟延履行或不履行合同义务。</w:t>
            </w:r>
          </w:p>
          <w:p w14:paraId="2D1B1DFF">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中标人凭以下有效文件与采购人结算：</w:t>
            </w:r>
          </w:p>
          <w:p w14:paraId="6B65D766">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(1)中标通知书；</w:t>
            </w:r>
          </w:p>
          <w:p w14:paraId="4BD5C54F">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(2)合同；</w:t>
            </w:r>
          </w:p>
          <w:p w14:paraId="7D625BE6">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(3)阶段性验收资料；</w:t>
            </w:r>
          </w:p>
          <w:p w14:paraId="01A5D9CC">
            <w:pPr>
              <w:pStyle w:val="22"/>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(4)中标人开具的正式发票。</w:t>
            </w:r>
          </w:p>
        </w:tc>
      </w:tr>
    </w:tbl>
    <w:p w14:paraId="5AF08F1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8"/>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20"/>
        <w:gridCol w:w="645"/>
        <w:gridCol w:w="1245"/>
        <w:gridCol w:w="1339"/>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7D7DC7E">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20" w:type="dxa"/>
            <w:vAlign w:val="center"/>
          </w:tcPr>
          <w:p w14:paraId="026703E6">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339" w:type="dxa"/>
            <w:vAlign w:val="center"/>
          </w:tcPr>
          <w:p w14:paraId="5E02BBC6">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B9D5CBE">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4AA6B177">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vAlign w:val="center"/>
          </w:tcPr>
          <w:p w14:paraId="5C237666">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1281" w:type="dxa"/>
            <w:vAlign w:val="center"/>
          </w:tcPr>
          <w:p w14:paraId="611FC530">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p>
        </w:tc>
        <w:tc>
          <w:tcPr>
            <w:tcW w:w="720" w:type="dxa"/>
            <w:vAlign w:val="center"/>
          </w:tcPr>
          <w:p w14:paraId="1C42777D">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645" w:type="dxa"/>
            <w:vAlign w:val="center"/>
          </w:tcPr>
          <w:p w14:paraId="6C384655">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p>
        </w:tc>
        <w:tc>
          <w:tcPr>
            <w:tcW w:w="1245" w:type="dxa"/>
            <w:vAlign w:val="center"/>
          </w:tcPr>
          <w:p w14:paraId="4B7F3960">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885963.48</w:t>
            </w:r>
          </w:p>
        </w:tc>
        <w:tc>
          <w:tcPr>
            <w:tcW w:w="1339" w:type="dxa"/>
            <w:vAlign w:val="center"/>
          </w:tcPr>
          <w:p w14:paraId="150D1B58">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885963.48</w:t>
            </w:r>
          </w:p>
        </w:tc>
        <w:tc>
          <w:tcPr>
            <w:tcW w:w="705" w:type="dxa"/>
            <w:shd w:val="clear" w:color="auto" w:fill="auto"/>
            <w:vAlign w:val="center"/>
          </w:tcPr>
          <w:p w14:paraId="28B1DD8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color w:val="000000" w:themeColor="text1"/>
                <w:highlight w:val="none"/>
                <w14:textFill>
                  <w14:solidFill>
                    <w14:schemeClr w14:val="tx1"/>
                  </w14:solidFill>
                </w14:textFill>
              </w:rPr>
              <w:t>软件和信息技术服务业</w:t>
            </w:r>
          </w:p>
        </w:tc>
        <w:tc>
          <w:tcPr>
            <w:tcW w:w="794" w:type="dxa"/>
            <w:shd w:val="clear" w:color="auto" w:fill="auto"/>
            <w:vAlign w:val="center"/>
          </w:tcPr>
          <w:p w14:paraId="6B007D03">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6D275E1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16BAF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2B332A">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1DC641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阳江市学校食堂“互联网+明厨亮灶”系统升级（2026年）项目</w:t>
      </w:r>
    </w:p>
    <w:tbl>
      <w:tblPr>
        <w:tblStyle w:val="18"/>
        <w:tblW w:w="954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564"/>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2E9D6568">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50" w:type="dxa"/>
            <w:vAlign w:val="top"/>
          </w:tcPr>
          <w:p w14:paraId="3790369B">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64" w:type="dxa"/>
            <w:vAlign w:val="top"/>
          </w:tcPr>
          <w:p w14:paraId="42FF3933">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7BDFDCF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50" w:type="dxa"/>
            <w:vAlign w:val="top"/>
          </w:tcPr>
          <w:p w14:paraId="2DBC09B8">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64" w:type="dxa"/>
            <w:vAlign w:val="top"/>
          </w:tcPr>
          <w:p w14:paraId="7893C642">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二、基础设施服务需求</w:t>
            </w:r>
          </w:p>
          <w:p w14:paraId="3515421E">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bookmarkStart w:id="6" w:name="_Toc28729"/>
            <w:r>
              <w:rPr>
                <w:rFonts w:hint="eastAsia" w:ascii="宋体" w:hAnsi="宋体" w:eastAsia="宋体" w:cs="宋体"/>
                <w:b/>
                <w:bCs/>
                <w:color w:val="000000" w:themeColor="text1"/>
                <w:highlight w:val="none"/>
                <w:lang w:val="en-US" w:eastAsia="zh-CN"/>
                <w14:textFill>
                  <w14:solidFill>
                    <w14:schemeClr w14:val="tx1"/>
                  </w14:solidFill>
                </w14:textFill>
              </w:rPr>
              <w:t>1.智慧监管大屏服务</w:t>
            </w:r>
            <w:bookmarkEnd w:id="6"/>
          </w:p>
          <w:p w14:paraId="249B20E2">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1.1服务概述</w:t>
            </w:r>
          </w:p>
          <w:p w14:paraId="5D2427E2">
            <w:pPr>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在阳江市市场监督管理局二楼</w:t>
            </w:r>
            <w:r>
              <w:rPr>
                <w:rFonts w:hint="eastAsia" w:ascii="宋体" w:hAnsi="宋体" w:eastAsia="宋体" w:cs="宋体"/>
                <w:color w:val="000000" w:themeColor="text1"/>
                <w:highlight w:val="none"/>
                <w:lang w:eastAsia="zh-CN"/>
                <w14:textFill>
                  <w14:solidFill>
                    <w14:schemeClr w14:val="tx1"/>
                  </w14:solidFill>
                </w14:textFill>
              </w:rPr>
              <w:t>“互联网+明厨亮灶”视频监控中心</w:t>
            </w:r>
            <w:r>
              <w:rPr>
                <w:rFonts w:hint="eastAsia" w:ascii="宋体" w:hAnsi="宋体" w:eastAsia="宋体" w:cs="宋体"/>
                <w:color w:val="000000" w:themeColor="text1"/>
                <w:highlight w:val="none"/>
                <w14:textFill>
                  <w14:solidFill>
                    <w14:schemeClr w14:val="tx1"/>
                  </w14:solidFill>
                </w14:textFill>
              </w:rPr>
              <w:t>建设智慧监管大屏，确保“互联网+明厨亮灶”平台汇聚视频画面完整、清晰、高质量成像，满足24小时实时监控、线上巡查、集中调度及非现场执法等要求。</w:t>
            </w:r>
          </w:p>
          <w:p w14:paraId="0F5F0198">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1.2服务要求</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054"/>
              <w:gridCol w:w="3760"/>
              <w:gridCol w:w="873"/>
              <w:gridCol w:w="839"/>
            </w:tblGrid>
            <w:tr w14:paraId="7E9C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1" w:type="pct"/>
                  <w:shd w:val="clear" w:color="auto" w:fill="auto"/>
                  <w:vAlign w:val="center"/>
                </w:tcPr>
                <w:p w14:paraId="5FBC383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b/>
                      <w:bCs/>
                      <w:color w:val="000000" w:themeColor="text1"/>
                      <w:sz w:val="21"/>
                      <w:szCs w:val="21"/>
                      <w:highlight w:val="none"/>
                      <w:lang w:val="en-US" w:eastAsia="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en-US"/>
                      <w14:textFill>
                        <w14:solidFill>
                          <w14:schemeClr w14:val="tx1"/>
                        </w14:solidFill>
                      </w14:textFill>
                    </w:rPr>
                    <w:t>序号</w:t>
                  </w:r>
                </w:p>
              </w:tc>
              <w:tc>
                <w:tcPr>
                  <w:tcW w:w="718" w:type="pct"/>
                  <w:shd w:val="clear" w:color="auto" w:fill="auto"/>
                  <w:vAlign w:val="center"/>
                </w:tcPr>
                <w:p w14:paraId="4F04C0A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b/>
                      <w:bCs/>
                      <w:color w:val="000000" w:themeColor="text1"/>
                      <w:sz w:val="21"/>
                      <w:szCs w:val="21"/>
                      <w:highlight w:val="none"/>
                      <w:lang w:val="en-US" w:eastAsia="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en-US"/>
                      <w14:textFill>
                        <w14:solidFill>
                          <w14:schemeClr w14:val="tx1"/>
                        </w14:solidFill>
                      </w14:textFill>
                    </w:rPr>
                    <w:t>名称</w:t>
                  </w:r>
                </w:p>
              </w:tc>
              <w:tc>
                <w:tcPr>
                  <w:tcW w:w="2562" w:type="pct"/>
                  <w:shd w:val="clear" w:color="auto" w:fill="auto"/>
                  <w:vAlign w:val="center"/>
                </w:tcPr>
                <w:p w14:paraId="3D0E896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b/>
                      <w:bCs/>
                      <w:color w:val="000000" w:themeColor="text1"/>
                      <w:sz w:val="21"/>
                      <w:szCs w:val="21"/>
                      <w:highlight w:val="none"/>
                      <w:lang w:val="en-US" w:eastAsia="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en-US"/>
                      <w14:textFill>
                        <w14:solidFill>
                          <w14:schemeClr w14:val="tx1"/>
                        </w14:solidFill>
                      </w14:textFill>
                    </w:rPr>
                    <w:t>说明</w:t>
                  </w:r>
                </w:p>
              </w:tc>
              <w:tc>
                <w:tcPr>
                  <w:tcW w:w="595" w:type="pct"/>
                  <w:shd w:val="clear" w:color="auto" w:fill="auto"/>
                  <w:vAlign w:val="center"/>
                </w:tcPr>
                <w:p w14:paraId="7521D3C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b/>
                      <w:bCs/>
                      <w:color w:val="000000" w:themeColor="text1"/>
                      <w:sz w:val="21"/>
                      <w:szCs w:val="21"/>
                      <w:highlight w:val="none"/>
                      <w:lang w:val="en-US" w:eastAsia="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en-US"/>
                      <w14:textFill>
                        <w14:solidFill>
                          <w14:schemeClr w14:val="tx1"/>
                        </w14:solidFill>
                      </w14:textFill>
                    </w:rPr>
                    <w:t>数量</w:t>
                  </w:r>
                </w:p>
              </w:tc>
              <w:tc>
                <w:tcPr>
                  <w:tcW w:w="572" w:type="pct"/>
                  <w:shd w:val="clear" w:color="auto" w:fill="auto"/>
                  <w:vAlign w:val="center"/>
                </w:tcPr>
                <w:p w14:paraId="5859572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b/>
                      <w:bCs/>
                      <w:color w:val="000000" w:themeColor="text1"/>
                      <w:sz w:val="21"/>
                      <w:szCs w:val="21"/>
                      <w:highlight w:val="none"/>
                      <w:lang w:val="en-US" w:eastAsia="en-US"/>
                      <w14:textFill>
                        <w14:solidFill>
                          <w14:schemeClr w14:val="tx1"/>
                        </w14:solidFill>
                      </w14:textFill>
                    </w:rPr>
                  </w:pPr>
                  <w:r>
                    <w:rPr>
                      <w:rFonts w:hint="eastAsia" w:ascii="宋体" w:hAnsi="宋体" w:eastAsia="宋体" w:cs="宋体"/>
                      <w:b/>
                      <w:bCs/>
                      <w:color w:val="000000" w:themeColor="text1"/>
                      <w:sz w:val="21"/>
                      <w:szCs w:val="21"/>
                      <w:highlight w:val="none"/>
                      <w:lang w:val="en-US" w:eastAsia="en-US"/>
                      <w14:textFill>
                        <w14:solidFill>
                          <w14:schemeClr w14:val="tx1"/>
                        </w14:solidFill>
                      </w14:textFill>
                    </w:rPr>
                    <w:t>单位</w:t>
                  </w:r>
                </w:p>
              </w:tc>
            </w:tr>
            <w:tr w14:paraId="0128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6D19D9A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718" w:type="pct"/>
                  <w:shd w:val="clear" w:color="auto" w:fill="auto"/>
                  <w:vAlign w:val="center"/>
                </w:tcPr>
                <w:p w14:paraId="57C3163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电子屏</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（点间距P1.5）</w:t>
                  </w:r>
                </w:p>
              </w:tc>
              <w:tc>
                <w:tcPr>
                  <w:tcW w:w="2562" w:type="pct"/>
                  <w:shd w:val="clear" w:color="auto" w:fill="auto"/>
                  <w:vAlign w:val="center"/>
                </w:tcPr>
                <w:p w14:paraId="4A4D6B4E">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1.▲像素点间距：≤1.538mm，成像原理：LED主动发光，采用像素结构1R1G1B 表贴三合一 LED，像素密度：≥422500点/㎡，平整度：≤0.05mm，灰度等级≥18bit，对比度≥5000：1，白平衡亮度≥500nits支持通过配套软件0-100%无级调节；（提供</w:t>
                  </w:r>
                  <w:r>
                    <w:rPr>
                      <w:rFonts w:hint="eastAsia" w:ascii="宋体" w:hAnsi="宋体" w:cs="宋体"/>
                      <w:color w:val="000000" w:themeColor="text1"/>
                      <w:sz w:val="21"/>
                      <w:szCs w:val="21"/>
                      <w:highlight w:val="none"/>
                      <w:lang w:val="en-US" w:eastAsia="zh-CN"/>
                      <w14:textFill>
                        <w14:solidFill>
                          <w14:schemeClr w14:val="tx1"/>
                        </w14:solidFill>
                      </w14:textFill>
                    </w:rPr>
                    <w:t>有第三方</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检测机构出具的检验报告复印件，并加盖投标人公章）</w:t>
                  </w:r>
                </w:p>
                <w:p w14:paraId="69251A62">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2.▲整屏有效显示尺寸：≥4.8m×2.08m，分辨率：≥3120×1352；（提供</w:t>
                  </w:r>
                  <w:r>
                    <w:rPr>
                      <w:rFonts w:hint="eastAsia" w:ascii="宋体" w:hAnsi="宋体" w:cs="宋体"/>
                      <w:color w:val="000000" w:themeColor="text1"/>
                      <w:sz w:val="21"/>
                      <w:szCs w:val="21"/>
                      <w:highlight w:val="none"/>
                      <w:lang w:val="en-US" w:eastAsia="zh-CN"/>
                      <w14:textFill>
                        <w14:solidFill>
                          <w14:schemeClr w14:val="tx1"/>
                        </w14:solidFill>
                      </w14:textFill>
                    </w:rPr>
                    <w:t>有第三方</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检测机构出具的检验报告复印件，并加盖投标人公章）</w:t>
                  </w:r>
                </w:p>
                <w:p w14:paraId="09AAC1D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3.安全特性：符合GB 4943.1-2022标准基本要求；</w:t>
                  </w:r>
                </w:p>
                <w:p w14:paraId="46E66FEB">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4.屏体发光模组采用4.5VDC的安全电压供电，具有功率因数校正（PFC）功能，电子屏供电电源功率因数≥95%，转换效率≥86%；</w:t>
                  </w:r>
                </w:p>
                <w:p w14:paraId="011156E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5.屏幕温升：电子屏在点亮 5分钟后的温度升幅不超过 5℃，点亮15分钟后的温度升幅不超过10℃，点亮30分钟以上温度不应超过15℃，最大亮度白色连续工作2小时，表面温升＜20℃，符合GB 4943.1-2022要求；</w:t>
                  </w:r>
                </w:p>
                <w:p w14:paraId="1084B06D">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6.防信号远程窃密技术；具有良好的抗还原性能，具有良好的覆盖性，实现无缝干扰，覆盖范围广，抑制传导辐射，对视频信息无二次转发与加强作用，可以单机使用、可以组网使用；</w:t>
                  </w:r>
                </w:p>
                <w:p w14:paraId="32F6FB0B">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7.▲以上产品为非OEM产品，电源具有有效的 3C 认证证书（如属 CCC 目录产品）或 CQC 自愿性认证证书/型式试验报告，且认证证书载明的生产企业与供货产品一致”并加盖投标人公章）</w:t>
                  </w:r>
                </w:p>
                <w:p w14:paraId="1FE97542">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8.▲LED 厂家具有安全生产许可证、CMMI3 级或以上证书、CNAS 实验室认可证书。（提供资质证书复印件，并加盖投标人公章）</w:t>
                  </w:r>
                </w:p>
                <w:p w14:paraId="16FB36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9.▲产品具有除亮、暗线功能，从软、硬两方面彻底改善困扰小间距LED安装精度造成的亮、暗线问题。有较强的色彩还原度和显示均匀度并具有对视频源进行预监功能。（提供</w:t>
                  </w:r>
                  <w:r>
                    <w:rPr>
                      <w:rFonts w:hint="eastAsia" w:ascii="宋体" w:hAnsi="宋体" w:cs="宋体"/>
                      <w:color w:val="000000" w:themeColor="text1"/>
                      <w:sz w:val="21"/>
                      <w:szCs w:val="21"/>
                      <w:highlight w:val="none"/>
                      <w:lang w:val="en-US" w:eastAsia="zh-CN"/>
                      <w14:textFill>
                        <w14:solidFill>
                          <w14:schemeClr w14:val="tx1"/>
                        </w14:solidFill>
                      </w14:textFill>
                    </w:rPr>
                    <w:t>有第三方</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检测机构出具的检验报告复印件，并加盖投标人公章）</w:t>
                  </w:r>
                </w:p>
              </w:tc>
              <w:tc>
                <w:tcPr>
                  <w:tcW w:w="595" w:type="pct"/>
                  <w:shd w:val="clear" w:color="auto" w:fill="auto"/>
                  <w:vAlign w:val="center"/>
                </w:tcPr>
                <w:p w14:paraId="2C9F01E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572" w:type="pct"/>
                  <w:shd w:val="clear" w:color="auto" w:fill="auto"/>
                  <w:vAlign w:val="center"/>
                </w:tcPr>
                <w:p w14:paraId="4A51B31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r>
            <w:tr w14:paraId="3041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0D40B81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718" w:type="pct"/>
                  <w:shd w:val="clear" w:color="auto" w:fill="auto"/>
                  <w:vAlign w:val="center"/>
                </w:tcPr>
                <w:p w14:paraId="691BEF5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视频处理器</w:t>
                  </w:r>
                </w:p>
              </w:tc>
              <w:tc>
                <w:tcPr>
                  <w:tcW w:w="2562" w:type="pct"/>
                  <w:shd w:val="clear" w:color="auto" w:fill="auto"/>
                  <w:vAlign w:val="center"/>
                </w:tcPr>
                <w:p w14:paraId="0ECB52E8">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支持多种数字信号接口</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包括1路DP1.1，1路HDMI1.4a，2路HDMI1.3和2路DVI-D输入源，</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单机具有12个网口，单网口带载65万像素，整机最大带载780万像素，宽度可达到12000点，高度可达到4000点。</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支持3个2K画面显示，画面位置任意布局。</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支持信号源热备份。</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EDID配置管理：支持EDID（Extended Display Identification Data，扩展显示识别数据）的读取、修改、自定义。</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支持一键黑屏/静止功能。</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去黑边/剪裁功能：解决前端信号产生的黑边问题，针对任意信号源做任意裁剪（依旧保持满屏状态）</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支持按键锁定，防止误操作。</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支持快捷调整画面显示亮度、对比度。</w:t>
                  </w:r>
                </w:p>
              </w:tc>
              <w:tc>
                <w:tcPr>
                  <w:tcW w:w="595" w:type="pct"/>
                  <w:shd w:val="clear" w:color="auto" w:fill="auto"/>
                  <w:vAlign w:val="center"/>
                </w:tcPr>
                <w:p w14:paraId="1073A85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572A1D3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台</w:t>
                  </w:r>
                </w:p>
              </w:tc>
            </w:tr>
            <w:tr w14:paraId="5DA8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452AB80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718" w:type="pct"/>
                  <w:shd w:val="clear" w:color="auto" w:fill="auto"/>
                  <w:vAlign w:val="center"/>
                </w:tcPr>
                <w:p w14:paraId="2A34299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配电柜</w:t>
                  </w:r>
                </w:p>
              </w:tc>
              <w:tc>
                <w:tcPr>
                  <w:tcW w:w="2562" w:type="pct"/>
                  <w:shd w:val="clear" w:color="auto" w:fill="auto"/>
                  <w:vAlign w:val="center"/>
                </w:tcPr>
                <w:p w14:paraId="09B043EA">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参考尺寸(WxHxD)</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400x600x180</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防护等级</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IP30</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供电方式</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三相五线制</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输入电源线</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YJV-5x6</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输出电源线</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6根(RVV3X4)</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额定输入电压</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380VAC</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额定输出电压</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6路 220VAC</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主开关</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25A/3P</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PLC型号</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LYD-LYD-50</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工作温度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-20-60°C</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工作湿度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10-90%RH</w:t>
                  </w:r>
                </w:p>
                <w:p w14:paraId="5226369A">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支持PLC在线监测，温湿度、亮度、烟感、电压、电流、功率实时监测；（提供</w:t>
                  </w:r>
                  <w:r>
                    <w:rPr>
                      <w:rFonts w:hint="eastAsia" w:ascii="宋体" w:hAnsi="宋体" w:cs="宋体"/>
                      <w:color w:val="000000" w:themeColor="text1"/>
                      <w:sz w:val="21"/>
                      <w:szCs w:val="21"/>
                      <w:highlight w:val="none"/>
                      <w:lang w:val="en-US" w:eastAsia="zh-CN"/>
                      <w14:textFill>
                        <w14:solidFill>
                          <w14:schemeClr w14:val="tx1"/>
                        </w14:solidFill>
                      </w14:textFill>
                    </w:rPr>
                    <w:t>有第三方</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检测机构出具的检验报告复印件，并加盖投标人公章）</w:t>
                  </w:r>
                </w:p>
              </w:tc>
              <w:tc>
                <w:tcPr>
                  <w:tcW w:w="595" w:type="pct"/>
                  <w:shd w:val="clear" w:color="auto" w:fill="auto"/>
                  <w:vAlign w:val="center"/>
                </w:tcPr>
                <w:p w14:paraId="464BF22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537A220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套</w:t>
                  </w:r>
                </w:p>
              </w:tc>
            </w:tr>
            <w:tr w14:paraId="1F0F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79FD418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718" w:type="pct"/>
                  <w:shd w:val="clear" w:color="auto" w:fill="auto"/>
                  <w:vAlign w:val="center"/>
                </w:tcPr>
                <w:p w14:paraId="7BA5E14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屏体主供电电缆</w:t>
                  </w:r>
                </w:p>
              </w:tc>
              <w:tc>
                <w:tcPr>
                  <w:tcW w:w="2562" w:type="pct"/>
                  <w:shd w:val="clear" w:color="auto" w:fill="auto"/>
                  <w:vAlign w:val="center"/>
                </w:tcPr>
                <w:p w14:paraId="285C63B6">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配电柜到</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电子屏</w:t>
                  </w:r>
                  <w:r>
                    <w:rPr>
                      <w:rFonts w:hint="eastAsia" w:ascii="宋体" w:hAnsi="宋体" w:eastAsia="宋体" w:cs="宋体"/>
                      <w:color w:val="000000" w:themeColor="text1"/>
                      <w:sz w:val="21"/>
                      <w:szCs w:val="21"/>
                      <w:highlight w:val="none"/>
                      <w:lang w:val="en-US" w:eastAsia="en-US"/>
                      <w14:textFill>
                        <w14:solidFill>
                          <w14:schemeClr w14:val="tx1"/>
                        </w14:solidFill>
                      </w14:textFill>
                    </w:rPr>
                    <w:t>之间的电力线缆。电缆2.5cm²，零火地线，2组，长度50米。</w:t>
                  </w:r>
                </w:p>
              </w:tc>
              <w:tc>
                <w:tcPr>
                  <w:tcW w:w="595" w:type="pct"/>
                  <w:shd w:val="clear" w:color="auto" w:fill="auto"/>
                  <w:vAlign w:val="center"/>
                </w:tcPr>
                <w:p w14:paraId="12E7FC8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7C66430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r>
            <w:tr w14:paraId="2A35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5FFE16F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c>
                <w:tcPr>
                  <w:tcW w:w="718" w:type="pct"/>
                  <w:shd w:val="clear" w:color="auto" w:fill="auto"/>
                  <w:vAlign w:val="center"/>
                </w:tcPr>
                <w:p w14:paraId="4529E18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通讯线缆</w:t>
                  </w:r>
                </w:p>
              </w:tc>
              <w:tc>
                <w:tcPr>
                  <w:tcW w:w="2562" w:type="pct"/>
                  <w:shd w:val="clear" w:color="auto" w:fill="auto"/>
                  <w:vAlign w:val="center"/>
                </w:tcPr>
                <w:p w14:paraId="0EAA9DC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六类网线，PVC穿管布线，墙体打孔开槽，布置8条网线，长度50米，通过pvc管从处理器布线至屏体</w:t>
                  </w:r>
                </w:p>
              </w:tc>
              <w:tc>
                <w:tcPr>
                  <w:tcW w:w="595" w:type="pct"/>
                  <w:shd w:val="clear" w:color="auto" w:fill="auto"/>
                  <w:vAlign w:val="center"/>
                </w:tcPr>
                <w:p w14:paraId="1AD2A4E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32ABFC0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r>
            <w:tr w14:paraId="4F1F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444B70A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p>
              </w:tc>
              <w:tc>
                <w:tcPr>
                  <w:tcW w:w="718" w:type="pct"/>
                  <w:shd w:val="clear" w:color="auto" w:fill="auto"/>
                  <w:vAlign w:val="center"/>
                </w:tcPr>
                <w:p w14:paraId="0213CC4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框架结构</w:t>
                  </w:r>
                </w:p>
              </w:tc>
              <w:tc>
                <w:tcPr>
                  <w:tcW w:w="2562" w:type="pct"/>
                  <w:shd w:val="clear" w:color="auto" w:fill="auto"/>
                  <w:vAlign w:val="center"/>
                </w:tcPr>
                <w:p w14:paraId="177ADBF4">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电子屏</w:t>
                  </w:r>
                  <w:r>
                    <w:rPr>
                      <w:rFonts w:hint="eastAsia" w:ascii="宋体" w:hAnsi="宋体" w:eastAsia="宋体" w:cs="宋体"/>
                      <w:color w:val="000000" w:themeColor="text1"/>
                      <w:sz w:val="21"/>
                      <w:szCs w:val="21"/>
                      <w:highlight w:val="none"/>
                      <w:lang w:val="en-US" w:eastAsia="en-US"/>
                      <w14:textFill>
                        <w14:solidFill>
                          <w14:schemeClr w14:val="tx1"/>
                        </w14:solidFill>
                      </w14:textFill>
                    </w:rPr>
                    <w:t>定制结构，拆装方便；具备间距调节装置，可实现精确调节，显示模组之间的缝隙均匀，显示效果清晰钢结构框架采用国家标准材料施工</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c>
                <w:tcPr>
                  <w:tcW w:w="595" w:type="pct"/>
                  <w:shd w:val="clear" w:color="auto" w:fill="auto"/>
                  <w:vAlign w:val="center"/>
                </w:tcPr>
                <w:p w14:paraId="6277780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572" w:type="pct"/>
                  <w:shd w:val="clear" w:color="auto" w:fill="auto"/>
                  <w:vAlign w:val="center"/>
                </w:tcPr>
                <w:p w14:paraId="49E81EB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r>
            <w:tr w14:paraId="5EBF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38561B9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p>
              </w:tc>
              <w:tc>
                <w:tcPr>
                  <w:tcW w:w="718" w:type="pct"/>
                  <w:shd w:val="clear" w:color="auto" w:fill="auto"/>
                  <w:vAlign w:val="center"/>
                </w:tcPr>
                <w:p w14:paraId="2F3B040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装饰包边</w:t>
                  </w:r>
                </w:p>
              </w:tc>
              <w:tc>
                <w:tcPr>
                  <w:tcW w:w="2562" w:type="pct"/>
                  <w:shd w:val="clear" w:color="auto" w:fill="auto"/>
                  <w:vAlign w:val="center"/>
                </w:tcPr>
                <w:p w14:paraId="32EE00A0">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不锈钢/铝塑板装饰包边</w:t>
                  </w:r>
                </w:p>
              </w:tc>
              <w:tc>
                <w:tcPr>
                  <w:tcW w:w="595" w:type="pct"/>
                  <w:shd w:val="clear" w:color="auto" w:fill="auto"/>
                  <w:vAlign w:val="center"/>
                </w:tcPr>
                <w:p w14:paraId="2315CC1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572" w:type="pct"/>
                  <w:shd w:val="clear" w:color="auto" w:fill="auto"/>
                  <w:vAlign w:val="center"/>
                </w:tcPr>
                <w:p w14:paraId="208582E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r>
            <w:tr w14:paraId="361A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1" w:type="pct"/>
                  <w:shd w:val="clear" w:color="auto" w:fill="auto"/>
                  <w:vAlign w:val="center"/>
                </w:tcPr>
                <w:p w14:paraId="5954486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c>
                <w:tcPr>
                  <w:tcW w:w="718" w:type="pct"/>
                  <w:shd w:val="clear" w:color="auto" w:fill="auto"/>
                  <w:vAlign w:val="center"/>
                </w:tcPr>
                <w:p w14:paraId="2A21E79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辅助材料</w:t>
                  </w:r>
                </w:p>
              </w:tc>
              <w:tc>
                <w:tcPr>
                  <w:tcW w:w="2562" w:type="pct"/>
                  <w:shd w:val="clear" w:color="auto" w:fill="auto"/>
                  <w:vAlign w:val="center"/>
                </w:tcPr>
                <w:p w14:paraId="306F8F9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屏体内部电源线、长排线，网线、扎带、HDMI线等</w:t>
                  </w:r>
                </w:p>
              </w:tc>
              <w:tc>
                <w:tcPr>
                  <w:tcW w:w="595" w:type="pct"/>
                  <w:shd w:val="clear" w:color="auto" w:fill="auto"/>
                  <w:vAlign w:val="center"/>
                </w:tcPr>
                <w:p w14:paraId="580A267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10CA9DC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r>
            <w:tr w14:paraId="4873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1" w:type="pct"/>
                  <w:shd w:val="clear" w:color="auto" w:fill="auto"/>
                  <w:vAlign w:val="center"/>
                </w:tcPr>
                <w:p w14:paraId="5EA7023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p>
              </w:tc>
              <w:tc>
                <w:tcPr>
                  <w:tcW w:w="718" w:type="pct"/>
                  <w:shd w:val="clear" w:color="auto" w:fill="auto"/>
                  <w:vAlign w:val="center"/>
                </w:tcPr>
                <w:p w14:paraId="7387CD6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备品备件</w:t>
                  </w:r>
                </w:p>
              </w:tc>
              <w:tc>
                <w:tcPr>
                  <w:tcW w:w="2562" w:type="pct"/>
                  <w:shd w:val="clear" w:color="auto" w:fill="auto"/>
                  <w:vAlign w:val="center"/>
                </w:tcPr>
                <w:p w14:paraId="55C43B66">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同批次单元板4张，接收卡2张，电源2台</w:t>
                  </w:r>
                </w:p>
              </w:tc>
              <w:tc>
                <w:tcPr>
                  <w:tcW w:w="595" w:type="pct"/>
                  <w:shd w:val="clear" w:color="auto" w:fill="auto"/>
                  <w:vAlign w:val="center"/>
                </w:tcPr>
                <w:p w14:paraId="12174F3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6F4A574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r>
            <w:tr w14:paraId="573D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1" w:type="pct"/>
                  <w:shd w:val="clear" w:color="auto" w:fill="auto"/>
                  <w:vAlign w:val="center"/>
                </w:tcPr>
                <w:p w14:paraId="50B1003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c>
                <w:tcPr>
                  <w:tcW w:w="718" w:type="pct"/>
                  <w:shd w:val="clear" w:color="auto" w:fill="auto"/>
                  <w:vAlign w:val="center"/>
                </w:tcPr>
                <w:p w14:paraId="3A6DF34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设备主机</w:t>
                  </w:r>
                </w:p>
              </w:tc>
              <w:tc>
                <w:tcPr>
                  <w:tcW w:w="2562" w:type="pct"/>
                  <w:shd w:val="clear" w:color="auto" w:fill="auto"/>
                  <w:vAlign w:val="center"/>
                </w:tcPr>
                <w:p w14:paraId="5DC85C1B">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处理器：高性能处理器(主频≥3.8GHz，核数≥8C)；</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内存：≥32G，最大支持256G；</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硬盘：标配1T SSD盘 +2T 机械盘；</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显卡：16GB独立显卡，算力≥37 TFLOPS；</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en-US"/>
                      <w14:textFill>
                        <w14:solidFill>
                          <w14:schemeClr w14:val="tx1"/>
                        </w14:solidFill>
                      </w14:textFill>
                    </w:rPr>
                    <w:t>显示：LED分辨率：不低于2560×1440。</w:t>
                  </w:r>
                </w:p>
              </w:tc>
              <w:tc>
                <w:tcPr>
                  <w:tcW w:w="595" w:type="pct"/>
                  <w:shd w:val="clear" w:color="auto" w:fill="auto"/>
                  <w:vAlign w:val="center"/>
                </w:tcPr>
                <w:p w14:paraId="60B074E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72" w:type="pct"/>
                  <w:shd w:val="clear" w:color="auto" w:fill="auto"/>
                  <w:vAlign w:val="center"/>
                </w:tcPr>
                <w:p w14:paraId="6904D23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套</w:t>
                  </w:r>
                </w:p>
              </w:tc>
            </w:tr>
            <w:tr w14:paraId="2240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1" w:type="pct"/>
                  <w:shd w:val="clear" w:color="auto" w:fill="auto"/>
                  <w:vAlign w:val="center"/>
                </w:tcPr>
                <w:p w14:paraId="46C2C0B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p>
              </w:tc>
              <w:tc>
                <w:tcPr>
                  <w:tcW w:w="718" w:type="pct"/>
                  <w:shd w:val="clear" w:color="auto" w:fill="auto"/>
                  <w:vAlign w:val="center"/>
                </w:tcPr>
                <w:p w14:paraId="0B256A9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NVR设备</w:t>
                  </w:r>
                </w:p>
              </w:tc>
              <w:tc>
                <w:tcPr>
                  <w:tcW w:w="2562" w:type="pct"/>
                  <w:shd w:val="clear" w:color="auto" w:fill="auto"/>
                  <w:vAlign w:val="center"/>
                </w:tcPr>
                <w:p w14:paraId="4DBF6E58">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接入像素：最大4MP接入，支持满接4MP；</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解码能力：支持1080P*</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硬盘数量：单盘位最大8T</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同步回放：4/8路</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分屏预览：4/8路</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可选路数：4/8路</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POE接口：8个</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视频输出：1路HDMI，1路VGA（HDMI和VGA可同时接显示器），HDMI最大支持分辨率4K，VGA最大支持分辨率1080P</w:t>
                  </w:r>
                  <w:r>
                    <w:rPr>
                      <w:rFonts w:hint="eastAsia" w:ascii="宋体" w:hAnsi="宋体" w:eastAsia="宋体" w:cs="宋体"/>
                      <w:color w:val="000000" w:themeColor="text1"/>
                      <w:sz w:val="21"/>
                      <w:szCs w:val="21"/>
                      <w:highlight w:val="none"/>
                      <w:lang w:val="en-US" w:eastAsia="en-US"/>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en-US"/>
                      <w14:textFill>
                        <w14:solidFill>
                          <w14:schemeClr w14:val="tx1"/>
                        </w14:solidFill>
                      </w14:textFill>
                    </w:rPr>
                    <w:t>解码格式：H.264，H.265</w:t>
                  </w:r>
                </w:p>
              </w:tc>
              <w:tc>
                <w:tcPr>
                  <w:tcW w:w="595" w:type="pct"/>
                  <w:shd w:val="clear" w:color="auto" w:fill="auto"/>
                  <w:vAlign w:val="center"/>
                </w:tcPr>
                <w:p w14:paraId="3BD72BF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572" w:type="pct"/>
                  <w:shd w:val="clear" w:color="auto" w:fill="auto"/>
                  <w:vAlign w:val="center"/>
                </w:tcPr>
                <w:p w14:paraId="505D8EE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台</w:t>
                  </w:r>
                </w:p>
              </w:tc>
            </w:tr>
            <w:tr w14:paraId="597E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1" w:type="pct"/>
                  <w:shd w:val="clear" w:color="auto" w:fill="auto"/>
                  <w:vAlign w:val="center"/>
                </w:tcPr>
                <w:p w14:paraId="729212C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12</w:t>
                  </w:r>
                </w:p>
              </w:tc>
              <w:tc>
                <w:tcPr>
                  <w:tcW w:w="718" w:type="pct"/>
                  <w:shd w:val="clear" w:color="auto" w:fill="auto"/>
                  <w:vAlign w:val="center"/>
                </w:tcPr>
                <w:p w14:paraId="2F76A0F6">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安装服务</w:t>
                  </w:r>
                </w:p>
              </w:tc>
              <w:tc>
                <w:tcPr>
                  <w:tcW w:w="2562" w:type="pct"/>
                  <w:shd w:val="clear" w:color="auto" w:fill="auto"/>
                  <w:vAlign w:val="center"/>
                </w:tcPr>
                <w:p w14:paraId="29CC513B">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项目安装服务</w:t>
                  </w:r>
                </w:p>
              </w:tc>
              <w:tc>
                <w:tcPr>
                  <w:tcW w:w="595" w:type="pct"/>
                  <w:shd w:val="clear" w:color="auto" w:fill="auto"/>
                  <w:vAlign w:val="center"/>
                </w:tcPr>
                <w:p w14:paraId="3F4FCD4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572" w:type="pct"/>
                  <w:shd w:val="clear" w:color="auto" w:fill="auto"/>
                  <w:vAlign w:val="center"/>
                </w:tcPr>
                <w:p w14:paraId="4CA6CD2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项</w:t>
                  </w:r>
                </w:p>
              </w:tc>
            </w:tr>
            <w:tr w14:paraId="21D6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1" w:type="pct"/>
                  <w:shd w:val="clear" w:color="auto" w:fill="auto"/>
                  <w:vAlign w:val="center"/>
                </w:tcPr>
                <w:p w14:paraId="3C43093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w:t>
                  </w:r>
                </w:p>
              </w:tc>
              <w:tc>
                <w:tcPr>
                  <w:tcW w:w="718" w:type="pct"/>
                  <w:shd w:val="clear" w:color="auto" w:fill="auto"/>
                  <w:vAlign w:val="center"/>
                </w:tcPr>
                <w:p w14:paraId="48AF426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集成服务</w:t>
                  </w:r>
                </w:p>
              </w:tc>
              <w:tc>
                <w:tcPr>
                  <w:tcW w:w="2562" w:type="pct"/>
                  <w:shd w:val="clear" w:color="auto" w:fill="auto"/>
                  <w:vAlign w:val="center"/>
                </w:tcPr>
                <w:p w14:paraId="10F634BA">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调试、集成服务</w:t>
                  </w:r>
                </w:p>
              </w:tc>
              <w:tc>
                <w:tcPr>
                  <w:tcW w:w="595" w:type="pct"/>
                  <w:shd w:val="clear" w:color="auto" w:fill="auto"/>
                  <w:vAlign w:val="center"/>
                </w:tcPr>
                <w:p w14:paraId="74F5F46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572" w:type="pct"/>
                  <w:shd w:val="clear" w:color="auto" w:fill="auto"/>
                  <w:vAlign w:val="center"/>
                </w:tcPr>
                <w:p w14:paraId="21A6A41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项</w:t>
                  </w:r>
                </w:p>
              </w:tc>
            </w:tr>
            <w:tr w14:paraId="38FB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1" w:type="pct"/>
                  <w:shd w:val="clear" w:color="auto" w:fill="auto"/>
                  <w:vAlign w:val="center"/>
                </w:tcPr>
                <w:p w14:paraId="0E705B6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w:t>
                  </w:r>
                </w:p>
              </w:tc>
              <w:tc>
                <w:tcPr>
                  <w:tcW w:w="718" w:type="pct"/>
                  <w:shd w:val="clear" w:color="auto" w:fill="auto"/>
                  <w:vAlign w:val="center"/>
                </w:tcPr>
                <w:p w14:paraId="620607F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维保服务</w:t>
                  </w:r>
                </w:p>
              </w:tc>
              <w:tc>
                <w:tcPr>
                  <w:tcW w:w="2562" w:type="pct"/>
                  <w:shd w:val="clear" w:color="auto" w:fill="auto"/>
                  <w:vAlign w:val="center"/>
                </w:tcPr>
                <w:p w14:paraId="75FD6FB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包含远程技术支持、远程问题处理、在线技术支持、软件更新支持、标准保修等</w:t>
                  </w:r>
                </w:p>
              </w:tc>
              <w:tc>
                <w:tcPr>
                  <w:tcW w:w="595" w:type="pct"/>
                  <w:shd w:val="clear" w:color="auto" w:fill="auto"/>
                  <w:vAlign w:val="center"/>
                </w:tcPr>
                <w:p w14:paraId="65B33295">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572" w:type="pct"/>
                  <w:shd w:val="clear" w:color="auto" w:fill="auto"/>
                  <w:vAlign w:val="center"/>
                </w:tcPr>
                <w:p w14:paraId="1179E4C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项</w:t>
                  </w:r>
                </w:p>
              </w:tc>
            </w:tr>
          </w:tbl>
          <w:p w14:paraId="3D9DF751">
            <w:pPr>
              <w:pBdr>
                <w:top w:val="none" w:color="auto" w:sz="0" w:space="0"/>
                <w:left w:val="none" w:color="auto" w:sz="0" w:space="0"/>
                <w:bottom w:val="none" w:color="auto" w:sz="0" w:space="0"/>
                <w:right w:val="none" w:color="auto" w:sz="0" w:space="0"/>
                <w:between w:val="none" w:color="auto" w:sz="0" w:space="0"/>
              </w:pBdr>
              <w:spacing w:line="360" w:lineRule="auto"/>
              <w:ind w:left="0" w:firstLine="480"/>
              <w:rPr>
                <w:rFonts w:ascii="Times New Roman" w:hAnsi="Times New Roman" w:eastAsia="宋体"/>
                <w:color w:val="000000" w:themeColor="text1"/>
                <w:kern w:val="2"/>
                <w:sz w:val="24"/>
                <w:szCs w:val="24"/>
                <w:highlight w:val="none"/>
                <w14:textFill>
                  <w14:solidFill>
                    <w14:schemeClr w14:val="tx1"/>
                  </w14:solidFill>
                </w14:textFill>
              </w:rPr>
            </w:pPr>
          </w:p>
          <w:p w14:paraId="46134F6C">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1.3部署方式</w:t>
            </w:r>
          </w:p>
          <w:p w14:paraId="1642E356">
            <w:pPr>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大屏设备部署在</w:t>
            </w:r>
            <w:r>
              <w:rPr>
                <w:rFonts w:hint="eastAsia" w:ascii="宋体" w:hAnsi="宋体" w:eastAsia="宋体" w:cs="宋体"/>
                <w:color w:val="000000" w:themeColor="text1"/>
                <w:highlight w:val="none"/>
                <w:lang w:eastAsia="zh-CN"/>
                <w14:textFill>
                  <w14:solidFill>
                    <w14:schemeClr w14:val="tx1"/>
                  </w14:solidFill>
                </w14:textFill>
              </w:rPr>
              <w:t>监控中心</w:t>
            </w:r>
            <w:r>
              <w:rPr>
                <w:rFonts w:hint="eastAsia" w:ascii="宋体" w:hAnsi="宋体" w:eastAsia="宋体" w:cs="宋体"/>
                <w:color w:val="000000" w:themeColor="text1"/>
                <w:highlight w:val="none"/>
                <w14:textFill>
                  <w14:solidFill>
                    <w14:schemeClr w14:val="tx1"/>
                  </w14:solidFill>
                </w14:textFill>
              </w:rPr>
              <w:t>内。</w:t>
            </w:r>
          </w:p>
          <w:p w14:paraId="18976059">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1.3.1部署示意图</w:t>
            </w:r>
          </w:p>
          <w:p w14:paraId="577060AF">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Cs w:val="24"/>
                <w:highlight w:val="none"/>
                <w14:textFill>
                  <w14:solidFill>
                    <w14:schemeClr w14:val="tx1"/>
                  </w14:solidFill>
                </w14:textFill>
              </w:rPr>
              <w:object>
                <v:shape id="_x0000_i1026" o:spt="75" type="#_x0000_t75" style="height:218.15pt;width:334.9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1AC9AD58">
            <w:pPr>
              <w:bidi w:val="0"/>
              <w:spacing w:line="360" w:lineRule="auto"/>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部署示意图</w:t>
            </w:r>
          </w:p>
          <w:p w14:paraId="096F5D55">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1.3.2平面布置图</w:t>
            </w:r>
          </w:p>
          <w:p w14:paraId="4DAF6A4B">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drawing>
                <wp:inline distT="0" distB="0" distL="0" distR="0">
                  <wp:extent cx="4163695" cy="2478405"/>
                  <wp:effectExtent l="0" t="0" r="8255"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163695" cy="2478405"/>
                          </a:xfrm>
                          <a:prstGeom prst="rect">
                            <a:avLst/>
                          </a:prstGeom>
                          <a:noFill/>
                          <a:ln>
                            <a:noFill/>
                          </a:ln>
                        </pic:spPr>
                      </pic:pic>
                    </a:graphicData>
                  </a:graphic>
                </wp:inline>
              </w:drawing>
            </w:r>
          </w:p>
          <w:p w14:paraId="002D00EA">
            <w:pPr>
              <w:bidi w:val="0"/>
              <w:spacing w:line="360" w:lineRule="auto"/>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平面布置图</w:t>
            </w:r>
          </w:p>
          <w:p w14:paraId="06D82314">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1.4服务内容</w:t>
            </w:r>
          </w:p>
          <w:p w14:paraId="4B3CAE67">
            <w:pPr>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在智慧监管中心建设室内LED显示系统，LED拼接屏尺寸为10㎡。</w:t>
            </w:r>
          </w:p>
          <w:p w14:paraId="1AFAF82D">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1.4.1通用显示功能</w:t>
            </w:r>
          </w:p>
          <w:p w14:paraId="26565A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LED大屏幕显示系统可以完成各种显示模式，用以显示用户的各种输入信号。具体模式可根据用户需要进行制定。</w:t>
            </w:r>
          </w:p>
          <w:p w14:paraId="44BD40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（1）全屏显示</w:t>
            </w:r>
          </w:p>
          <w:p w14:paraId="052B89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屏体在大屏幕处理系统的驱动下实现显示宣传短片、标语、欢迎词。</w:t>
            </w:r>
          </w:p>
          <w:p w14:paraId="18E651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（2）重要信息发布显示</w:t>
            </w:r>
          </w:p>
          <w:p w14:paraId="775A3D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LED大屏幕显示系统支持在显示墙屏幕的最上方位置创建飞行或恒定的字幕。</w:t>
            </w:r>
          </w:p>
          <w:p w14:paraId="627DEF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（3）功能分区显示模式</w:t>
            </w:r>
          </w:p>
          <w:p w14:paraId="164111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LED大屏幕显示系统可以根据系统分工，划分相应的显示区域，各分区独立控制。各系统图像只在本系统的显示分区内进行任意缩放和漫游显示，从而保证各系统之间工作的独立性。</w:t>
            </w:r>
          </w:p>
          <w:p w14:paraId="4FBAFC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功能分区根据需要做装饰边布置。任意分区操作，极大便捷界面编排操作。</w:t>
            </w:r>
          </w:p>
          <w:p w14:paraId="5D5578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（4）视频信号显示</w:t>
            </w:r>
          </w:p>
          <w:p w14:paraId="11E6E1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LED大屏幕显示系统支持全制式视频输入信号，视频监控信息、摄像机、录像机等各类视频信号源，信号经处理后以窗口的形式在显示墙上任意位置任意移动、无级缩放等。</w:t>
            </w:r>
          </w:p>
          <w:p w14:paraId="326393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（5）计算机信号显示</w:t>
            </w:r>
          </w:p>
          <w:p w14:paraId="79F042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LED大屏幕显示系统支持独立的计算机信号以窗口的形式在拼接显示墙上快速显示；并且显示窗口可以任意缩放、移动或全屏显示等。</w:t>
            </w:r>
          </w:p>
          <w:p w14:paraId="052C2F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（6）各类信号混合显示</w:t>
            </w:r>
          </w:p>
          <w:p w14:paraId="5B1425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视频信号、计算机信号、网络计算机信号均可同时在拼接墙上以各自方式显示，互不干扰。或者把拼接墙根据应用系统的需要，进行分区域显示，并分区域控制。</w:t>
            </w:r>
          </w:p>
          <w:p w14:paraId="51F095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可以根据需要，把各种信号的显示和位置存储为模式，在用户需要的时候直接切换，即可即时按照模式定义显示窗口，或者进而定义预案，按照需要自动调用或者切换各种显示模式，实现对LED大屏幕显示系统的自动化管理。</w:t>
            </w:r>
          </w:p>
          <w:p w14:paraId="45405325">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1.4.2多画面大屏幕拼接功能</w:t>
            </w:r>
          </w:p>
          <w:p w14:paraId="1449AC8B">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支持将多样化的数字/模拟图像、视频源连接至全彩LED屏幕，单机可自由组合输入输出模块，多台机器无缝级联实现控制和信号传输的连接。</w:t>
            </w:r>
          </w:p>
          <w:p w14:paraId="778D91D6">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窗口管理：可对各种VGA、DVI、RGB、Video、IP视频等输入的信号窗口和处理器应用窗口进行开/关、缩放、整屏漫游、叠加、多屏幕显示、窗口指定大小，属性设置等操作，并能够实现单屏显示、跨屏显示、叠加显示、整屏漫游等多样化的显示模式。</w:t>
            </w:r>
          </w:p>
          <w:p w14:paraId="0290B0E1">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信号自动识别功能：具有信号自动查找功能，各种信号的接入、插拔、更换以及信号的有无可通过软件操作界面识别，并且信号的识别可通过软件操作界面的亮暗进行判定，保证了用户在操作时更准确地对信号接入。</w:t>
            </w:r>
          </w:p>
          <w:p w14:paraId="40F6CC8F">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（3）支持热插拔功能：支持带电热插拔功能，设备入口板、出口板支持带电热插拔，每次插拔结束后，设备可以自动配置，无需进行任何操作，15秒钟后即可恢复正常工作。</w:t>
            </w:r>
          </w:p>
          <w:p w14:paraId="18DF307A">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所有信号的相同采集能力：系统对视频信号、RGB信号、DVI-I信号等各种信号源的图形具有相同的拼接能力，所有信号实时显示，每个输入接口同时兼容VGA/RGB、DVI、HDMI、YPbPr，无需更换原有硬件板卡。支持SDI信号输入，包括SD-SDI、HD-SDI、3G-SDI，支持HDCP1.3协议。</w:t>
            </w:r>
          </w:p>
          <w:p w14:paraId="15183073">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（5）多画面窗口设定模式：可对画面进行窗口的设定，对原有的信号源可进行，点击设定的功能，分别可对窗口进行单画面、4画面、9画面、16画面等进行设定。</w:t>
            </w:r>
          </w:p>
          <w:p w14:paraId="5D7CFA10">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（6）支持多组分辨率输出，可同时控制多块屏同时工作，单台设备可同时输出4组不同分辨率，独立控制，分区管理。</w:t>
            </w:r>
          </w:p>
          <w:p w14:paraId="09DAB186">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信号的颜色设置：支持同步调色功能，当对软件属性面板调出时，可对任意通道输出的信号进行颜色调整，通过对系统操作，可分别对输入的各种信号进行亮度、对比度、色度、饱和度等进行调节，调整输出信号的色彩，满足因屏幕色彩不匹配等客观需求。</w:t>
            </w:r>
          </w:p>
          <w:p w14:paraId="57F1E461">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（8）多用户同时应用：软件网络版支持多用户同步操作，无局限的网络操作和实时的网络共享，用户通过局域网可分别对操作的界面进行实时观测。</w:t>
            </w:r>
          </w:p>
          <w:p w14:paraId="1BB85DFD">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场景自定义模式：支持多场景模式的保存，设备输入信号预先摆放，对各种场景进行存储，保存成各种模式场景，当需求时可以将场景进行调用，场景模式定义的数量没有限制。支持对场景模式的编辑、保存、修改和删除管理。用户可以根据需要选择自己常用的模式，同时通过面板对场景进行切换。</w:t>
            </w:r>
          </w:p>
          <w:p w14:paraId="41168B1D">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信号调用管理：可定义添加RGB、Video、DVI、IP视频等多种信号源，并可方便、快捷地对信号源进行调用、切换、删除、场景保存等各种编辑管理。支持多窗口的情况下各信号任意取名，方便用户对信号的直接调用操作，节省时间，方便快捷。</w:t>
            </w:r>
          </w:p>
          <w:p w14:paraId="3F46879D">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支持IP-Video信号输入：支持IP-Video信号输入，可在大屏幕上实时显示多路IP-Video信号。系统能够灵活的、有效的实现信号传输，并且传输速度不受影响。板卡可根据需求进行插拔。根据不同的需求，单块板卡可设置不同的信号输入类型。</w:t>
            </w:r>
          </w:p>
          <w:p w14:paraId="336D997D">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支持多种控制方式：支持红外、按键、RS232串口、网口控制。通过遥控器或面板按键，可调用控制器预存的场景；通过RS232串口或以太网接口，可方便的把控制器与计算机、中控相连。所有参数都可通过软件设置。</w:t>
            </w:r>
          </w:p>
          <w:p w14:paraId="0AF059B7">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bookmarkStart w:id="7" w:name="_Toc4969"/>
            <w:r>
              <w:rPr>
                <w:rFonts w:hint="eastAsia" w:ascii="宋体" w:hAnsi="宋体" w:eastAsia="宋体" w:cs="宋体"/>
                <w:b/>
                <w:bCs/>
                <w:color w:val="000000" w:themeColor="text1"/>
                <w:highlight w:val="none"/>
                <w:lang w:val="en-US" w:eastAsia="zh-CN"/>
                <w14:textFill>
                  <w14:solidFill>
                    <w14:schemeClr w14:val="tx1"/>
                  </w14:solidFill>
                </w14:textFill>
              </w:rPr>
              <w:t>2.视频汇聚分析服务</w:t>
            </w:r>
            <w:bookmarkEnd w:id="7"/>
          </w:p>
          <w:p w14:paraId="225F884F">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2.1服务概述</w:t>
            </w:r>
          </w:p>
          <w:p w14:paraId="2B8D60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项目计划实现市直25所学校的“明厨亮灶”前端监控视频接入，接入要求视频级联至市级平台、视频云存储不低于30天、每所学校视频专线不低于上行50M下行5M，并提供视频智能分析服务，分析服务主要包括着装规范（未戴帽子、未戴口罩、未穿着厨师服）、行为规范（抽烟、玩手机、垃圾桶未盖）、有害生物（老鼠等）、违法违规信息主动预警推送、PC端推送、手机端推送等。提供6个县区的视频汇聚服务，县区汇聚到市级平台专线不低于上行500M下行50M。</w:t>
            </w:r>
          </w:p>
          <w:p w14:paraId="54B077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2.2传输网络要求</w:t>
            </w:r>
          </w:p>
          <w:p w14:paraId="05774F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本项目中，网络建设至关重要，只有对网络进行有效的合理设计规划，才能保障前端采集系统稳定地将视频图像数据传输至第三方机房。IP视频监控系统具有带宽要求高、转发性能好、转发低延时等特点，网络设计的是否合理也直接决定了监控图像的实时性、稳定性和安全性。因此在网络传输系统建设时应满足以下要求：</w:t>
            </w:r>
          </w:p>
          <w:p w14:paraId="038F47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网络带宽可以满足视频传输的高带宽的要求；</w:t>
            </w:r>
          </w:p>
          <w:p w14:paraId="70807F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网络可靠性可以满足视频监控7*24小时高负荷运行要求；</w:t>
            </w:r>
          </w:p>
          <w:p w14:paraId="6BFAF6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网络系统要具有较高的安全性；</w:t>
            </w:r>
          </w:p>
          <w:p w14:paraId="122383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网络系统必须具备经济性。</w:t>
            </w:r>
          </w:p>
          <w:p w14:paraId="015BC6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2.2.1网络带宽规划</w:t>
            </w:r>
          </w:p>
          <w:p w14:paraId="6FAF20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传输线路平均利用率</w:t>
            </w:r>
          </w:p>
          <w:p w14:paraId="2537B3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极限值：60%。</w:t>
            </w:r>
          </w:p>
          <w:p w14:paraId="4A04A1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计算方法：传输线路平均利用率=电路24小时的平均传输速率/电路带宽*100%。</w:t>
            </w:r>
          </w:p>
          <w:p w14:paraId="16B412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平均利用率性能指标只适用于网络正常运行的条件下。当传输线路的24小时平均利用率超过60%时，将会影响网络的整体性能，需要进行线路提速。</w:t>
            </w:r>
          </w:p>
          <w:p w14:paraId="74D7B6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传输线路忙时利用率</w:t>
            </w:r>
          </w:p>
          <w:p w14:paraId="107EB5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极限值：85%。</w:t>
            </w:r>
          </w:p>
          <w:p w14:paraId="03C3AA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计算方法：传输线路忙时利用率=电路忙时传输速率/电路带宽*100%。</w:t>
            </w:r>
          </w:p>
          <w:p w14:paraId="2A39D8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当传输线路的忙时利用率超过85%时，将会影响网络的整体性能，需要进行线路提速。</w:t>
            </w:r>
          </w:p>
          <w:p w14:paraId="1581A7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2.2.2传输线路带宽计算原则</w:t>
            </w:r>
          </w:p>
          <w:p w14:paraId="4865AC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传输线路互联时，考虑到网络传输过程及其他应用的开销，链路的可靠使用带宽为理论带宽的50%左右（可靠使用带宽50%计算说明：二层数据帧在传输的过程中会占用近20%网络带宽开销，为应对突发数据量和缓解网络带宽满负荷运行预留30%带宽）。</w:t>
            </w:r>
          </w:p>
          <w:p w14:paraId="63D16BAD">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drawing>
                <wp:inline distT="0" distB="0" distL="0" distR="0">
                  <wp:extent cx="4453890" cy="148780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453890" cy="1487805"/>
                          </a:xfrm>
                          <a:prstGeom prst="rect">
                            <a:avLst/>
                          </a:prstGeom>
                          <a:noFill/>
                          <a:ln>
                            <a:noFill/>
                          </a:ln>
                        </pic:spPr>
                      </pic:pic>
                    </a:graphicData>
                  </a:graphic>
                </wp:inline>
              </w:drawing>
            </w:r>
          </w:p>
          <w:p w14:paraId="272811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可靠带宽</w:t>
            </w:r>
          </w:p>
          <w:p w14:paraId="71CD48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视频图像总码率≤A：图像传输稳定、流畅，延时最小；</w:t>
            </w:r>
          </w:p>
          <w:p w14:paraId="7D61A7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视频图像总码率≤B：通过扩大接收端的缓冲区容量，可确保图像传输基本稳定、流畅，偶尔出现短暂的卡顿，延时相应增大；</w:t>
            </w:r>
          </w:p>
          <w:p w14:paraId="5C47EF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视频图像总码率≤C：即便增加客户端缓冲区容量，图像传输也会出现经常性的卡顿、丢帧现象，甚至长时间不响应，延时较大；</w:t>
            </w:r>
          </w:p>
          <w:p w14:paraId="4A9686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图像码率＞C：网络链路基本不可用。</w:t>
            </w:r>
          </w:p>
          <w:p w14:paraId="4219FF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2.2.3网络传输性能要求</w:t>
            </w:r>
          </w:p>
          <w:p w14:paraId="2209F7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采用IP网络传输时，IP承载网络的QoS（服务质量）等级应达到通信行业标准YD/T 1171-2015《IP网络技术要求 网络性能参数与指标》中所规定的交互式1级或1级以上服务质量等级。具体指标如下：</w:t>
            </w:r>
          </w:p>
          <w:p w14:paraId="7EDAA7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网络时延上限应小于400ms；</w:t>
            </w:r>
          </w:p>
          <w:p w14:paraId="4800EF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时延抖动上限应小于50ms；</w:t>
            </w:r>
          </w:p>
          <w:p w14:paraId="135F4C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丢包率上限应小于1×10-3；</w:t>
            </w:r>
          </w:p>
          <w:p w14:paraId="74DB73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包误差率上限值为1×10-4。</w:t>
            </w:r>
          </w:p>
          <w:p w14:paraId="6CEC8A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2.2.4上联带宽计算</w:t>
            </w:r>
          </w:p>
          <w:p w14:paraId="39FD63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项目将把在阳江市直学校汇聚的新建的250路200万监控摄像机的传输视频按照H.265标准进行压缩共享至阳江市学校食堂“互联网+明厨亮灶”系统，共享时传输视频实际所需带宽的码流根据每个学校10路200万监控摄像机计算，为10*2=20M，在考虑到传输链路带宽取其40%左右可靠传输带宽和延时问题、动静态画面的显示以及后续补充监控设备的可能，因此本次项目需租赁25条上行50M带宽。</w:t>
            </w:r>
          </w:p>
          <w:p w14:paraId="04547F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2.3服务内容</w:t>
            </w:r>
          </w:p>
          <w:p w14:paraId="211CC2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项目租赁相应的网络链路及服务，实现视频资源的实时传输与分析，并采购NVR设备为部分学校提供存储服务。其中，阳江市辖区内阳西、阳东、江城的非市直学校均已实现互联网全覆盖，通过互联网上传数据到市（区/县）级监管部门，上行带宽：20Mbps，下行带宽：5Mbps，本次项目需要为这些学校配置视频级联服务，考虑后续补充监控设备的可能，视频级联数预估为3000路，且这部分学校的视频存储和智能分析不在本次项目中进行提供；25所市直学校则为新建视频监控，前端监控设备不在本次项目建设，本次项目仅需提供市直学校视频传输到市级平台的网络专线（上行带宽：50Mbps，下行带宽：5Mbps）、视频云存储服务和智能分析服务。</w:t>
            </w:r>
            <w:r>
              <w:rPr>
                <w:rFonts w:hint="eastAsia" w:ascii="宋体" w:hAnsi="宋体" w:eastAsia="宋体" w:cs="宋体"/>
                <w:color w:val="000000" w:themeColor="text1"/>
                <w:highlight w:val="none"/>
                <w:lang w:val="en-US" w:eastAsia="zh-CN"/>
                <w14:textFill>
                  <w14:solidFill>
                    <w14:schemeClr w14:val="tx1"/>
                  </w14:solidFill>
                </w14:textFill>
              </w:rPr>
              <w:t>视频编码格式使用H.264/H.265主流编码格式。</w:t>
            </w:r>
          </w:p>
          <w:tbl>
            <w:tblPr>
              <w:tblStyle w:val="18"/>
              <w:tblW w:w="4998" w:type="pct"/>
              <w:tblInd w:w="0" w:type="dxa"/>
              <w:tblLayout w:type="fixed"/>
              <w:tblCellMar>
                <w:top w:w="0" w:type="dxa"/>
                <w:left w:w="108" w:type="dxa"/>
                <w:bottom w:w="0" w:type="dxa"/>
                <w:right w:w="108" w:type="dxa"/>
              </w:tblCellMar>
            </w:tblPr>
            <w:tblGrid>
              <w:gridCol w:w="875"/>
              <w:gridCol w:w="1507"/>
              <w:gridCol w:w="2865"/>
              <w:gridCol w:w="1049"/>
              <w:gridCol w:w="1049"/>
            </w:tblGrid>
            <w:tr w14:paraId="76259E29">
              <w:tblPrEx>
                <w:tblCellMar>
                  <w:top w:w="0" w:type="dxa"/>
                  <w:left w:w="108" w:type="dxa"/>
                  <w:bottom w:w="0" w:type="dxa"/>
                  <w:right w:w="108" w:type="dxa"/>
                </w:tblCellMar>
              </w:tblPrEx>
              <w:trPr>
                <w:trHeight w:val="395" w:hRule="atLeast"/>
                <w:tblHeader/>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D9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序号</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C07F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名称</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677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说明</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4E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数量</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F2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单位</w:t>
                  </w:r>
                </w:p>
              </w:tc>
            </w:tr>
            <w:tr w14:paraId="4C2D5946">
              <w:tblPrEx>
                <w:tblCellMar>
                  <w:top w:w="0" w:type="dxa"/>
                  <w:left w:w="108" w:type="dxa"/>
                  <w:bottom w:w="0" w:type="dxa"/>
                  <w:right w:w="108" w:type="dxa"/>
                </w:tblCellMar>
              </w:tblPrEx>
              <w:trPr>
                <w:trHeight w:val="2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76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1</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82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视频级联服务</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52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阳西、阳东、江城第三方平台每路视频级联到市级平台服务费用。</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F1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740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路</w:t>
                  </w:r>
                </w:p>
              </w:tc>
            </w:tr>
            <w:tr w14:paraId="07A92FDB">
              <w:tblPrEx>
                <w:tblCellMar>
                  <w:top w:w="0" w:type="dxa"/>
                  <w:left w:w="108" w:type="dxa"/>
                  <w:bottom w:w="0" w:type="dxa"/>
                  <w:right w:w="108" w:type="dxa"/>
                </w:tblCellMar>
              </w:tblPrEx>
              <w:trPr>
                <w:trHeight w:val="2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4E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CE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前端视频专线</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AC2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市直学校到市级平台的光纤专线，上行50M，下行5M</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030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25</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1E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条</w:t>
                  </w:r>
                </w:p>
              </w:tc>
            </w:tr>
            <w:tr w14:paraId="600BB5D4">
              <w:tblPrEx>
                <w:tblCellMar>
                  <w:top w:w="0" w:type="dxa"/>
                  <w:left w:w="108" w:type="dxa"/>
                  <w:bottom w:w="0" w:type="dxa"/>
                  <w:right w:w="108" w:type="dxa"/>
                </w:tblCellMar>
              </w:tblPrEx>
              <w:trPr>
                <w:trHeight w:val="2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8C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207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视频云存储服务</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7EC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为学校前端视频提供云存储服务，支持30天明厨亮灶视频存储及回放功能。</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D8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250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3B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路</w:t>
                  </w:r>
                </w:p>
              </w:tc>
            </w:tr>
            <w:tr w14:paraId="4A0ADE73">
              <w:tblPrEx>
                <w:tblCellMar>
                  <w:top w:w="0" w:type="dxa"/>
                  <w:left w:w="108" w:type="dxa"/>
                  <w:bottom w:w="0" w:type="dxa"/>
                  <w:right w:w="108" w:type="dxa"/>
                </w:tblCellMar>
              </w:tblPrEx>
              <w:trPr>
                <w:trHeight w:val="2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10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4</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21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智能分析服务</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83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提供智能分析服务，主要包括，着装规范：未戴帽子、未戴口罩、未穿着厨师服；行为规范：抽烟、玩手机、垃圾桶未盖；有害生物：老鼠等；违法违规信息主动预警推送、PC端推送、手机端推送。</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3D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250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98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路</w:t>
                  </w:r>
                </w:p>
              </w:tc>
            </w:tr>
          </w:tbl>
          <w:p w14:paraId="7ECE469E">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C090A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298666FC">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50" w:type="dxa"/>
            <w:vAlign w:val="top"/>
          </w:tcPr>
          <w:p w14:paraId="754D4BA8">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7564" w:type="dxa"/>
            <w:vAlign w:val="top"/>
          </w:tcPr>
          <w:p w14:paraId="49C1C10C">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三、软件开发服务需求</w:t>
            </w:r>
          </w:p>
          <w:p w14:paraId="20A45AEC">
            <w:pPr>
              <w:bidi w:val="0"/>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bookmarkStart w:id="8" w:name="_Toc7095"/>
            <w:r>
              <w:rPr>
                <w:rFonts w:hint="eastAsia" w:ascii="宋体" w:hAnsi="宋体" w:eastAsia="宋体" w:cs="宋体"/>
                <w:b/>
                <w:bCs/>
                <w:color w:val="000000" w:themeColor="text1"/>
                <w:highlight w:val="none"/>
                <w:lang w:val="en-US" w:eastAsia="zh-CN"/>
                <w14:textFill>
                  <w14:solidFill>
                    <w14:schemeClr w14:val="tx1"/>
                  </w14:solidFill>
                </w14:textFill>
              </w:rPr>
              <w:t>1.阳江市学校食堂“互联网+明厨亮灶”系统升级服务</w:t>
            </w:r>
            <w:bookmarkEnd w:id="8"/>
          </w:p>
          <w:p w14:paraId="2461B69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1.1服务概述</w:t>
            </w:r>
          </w:p>
          <w:p w14:paraId="13418C6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该系统升级主要基于实现“六个百分百”原则，满足监管部门提高食品安全监管能力的要求，构建食品安全现代化治理体系。百分百建立分级负责的食品安全责任体系，建立学校主要负责人负总责，食品安全总监、食品安全员分级负责的食品安全责任体系；百分百建立“日管控、周排查月调度”工作机制；百分百落实索证索票、进货查验制度要求；百分百建立“互联网+明厨亮灶”系统；百分百实现学校春、秋季检查全覆盖；百分百实行</w:t>
            </w:r>
            <w:r>
              <w:rPr>
                <w:rFonts w:hint="eastAsia" w:ascii="宋体" w:hAnsi="宋体" w:eastAsia="宋体" w:cs="宋体"/>
                <w:color w:val="000000" w:themeColor="text1"/>
                <w:kern w:val="1"/>
                <w:szCs w:val="22"/>
                <w:highlight w:val="none"/>
                <w:lang w:eastAsia="zh-CN"/>
                <w14:textFill>
                  <w14:solidFill>
                    <w14:schemeClr w14:val="tx1"/>
                  </w14:solidFill>
                </w14:textFill>
              </w:rPr>
              <w:t>准入</w:t>
            </w:r>
            <w:r>
              <w:rPr>
                <w:rFonts w:hint="eastAsia" w:ascii="宋体" w:hAnsi="宋体" w:eastAsia="宋体" w:cs="宋体"/>
                <w:color w:val="000000" w:themeColor="text1"/>
                <w:kern w:val="1"/>
                <w:szCs w:val="22"/>
                <w:highlight w:val="none"/>
                <w14:textFill>
                  <w14:solidFill>
                    <w14:schemeClr w14:val="tx1"/>
                  </w14:solidFill>
                </w14:textFill>
              </w:rPr>
              <w:t>、许可管理。</w:t>
            </w:r>
          </w:p>
          <w:p w14:paraId="2AFD509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1.2服务内容</w:t>
            </w:r>
          </w:p>
          <w:p w14:paraId="434D6F9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1.2.1监管端</w:t>
            </w:r>
          </w:p>
          <w:p w14:paraId="4A79BB7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监管移动端采用PC端网页实现，主要提供给市场监督管理人员对负责辖区的餐饮单位进行管理，主要包括功能：驾驶舱、主体信息、明厨亮灶、智能巡查、监督管理、食安管理、通知公告、抽样快检、消息查看、管理中心等。</w:t>
            </w:r>
          </w:p>
          <w:p w14:paraId="541FC75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1.2.1.1驾驶舱</w:t>
            </w:r>
          </w:p>
          <w:p w14:paraId="49DB98D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提供监管人员一个综合驾驶舱界面，能够实时查看各企业的食品安全状况、异常情况及重要数据指标，同时提供实时预警提示功能，便于监管人员快速了解全局情况。</w:t>
            </w:r>
          </w:p>
          <w:p w14:paraId="35C7F74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1.2.1.1.1全局数据概览</w:t>
            </w:r>
          </w:p>
          <w:p w14:paraId="5454D62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监管人员可以根据企业名称、地区、时间段等条件筛选和查询特定的食品安全数据和信息，以便进行更深入的分析和监控。</w:t>
            </w:r>
          </w:p>
          <w:p w14:paraId="75713B1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1.2.1.1.2实时预警</w:t>
            </w:r>
          </w:p>
          <w:p w14:paraId="6558CA0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系统对餐饮单位日常经营、资质证照、后厨安全等食品安全情况进行实时预警，异常预警信息实时同步至驾驶舱提醒监管人员，方便监管人员高效监督。</w:t>
            </w:r>
          </w:p>
          <w:p w14:paraId="44B7848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1.2.1.2主体信息</w:t>
            </w:r>
          </w:p>
          <w:p w14:paraId="64A07BD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1.2.1.2.1企业管理</w:t>
            </w:r>
          </w:p>
          <w:p w14:paraId="18902BB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查询：监管人员按企业名称、注册号、经营范围等条件查询企业信息，包括企业基本信息、营业执照、许可证件等。</w:t>
            </w:r>
          </w:p>
          <w:p w14:paraId="0B417CF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提供将查询结果导出为Excel、PDF等格式的功能，便于监管人员离线分析和存档。</w:t>
            </w:r>
          </w:p>
          <w:p w14:paraId="16DC28D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企业列表中的某企业，展示该企业的详细信息页面，包括企业介绍、经营范围、食品安全等级、历史违规记录等。</w:t>
            </w:r>
          </w:p>
          <w:p w14:paraId="4DC092A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监管人员可将某企业标记为异常状态，并记录异常原因和处理建议，以便后续跟进处理。</w:t>
            </w:r>
          </w:p>
          <w:p w14:paraId="42D9757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支持同时选择多个企业并批量标记为异常状态，提高处理效率。</w:t>
            </w:r>
          </w:p>
          <w:p w14:paraId="14804D7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对于已标记为异常的企业，监管人员可批量解除其异常状态，并记录解除原因。</w:t>
            </w:r>
          </w:p>
          <w:p w14:paraId="293CA09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1.2.1.2.2注册查纠</w:t>
            </w:r>
          </w:p>
          <w:p w14:paraId="434E241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支持按企业名称、注册号等条件查询企业的注册状态。</w:t>
            </w:r>
          </w:p>
          <w:p w14:paraId="75EEC1E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提供新增企业注册信息的功能，监管人员可录入企业基本信息并提交审核。</w:t>
            </w:r>
          </w:p>
          <w:p w14:paraId="2400244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将查询结果或全部企业注册信息导出为Excel、PDF等格式。</w:t>
            </w:r>
          </w:p>
          <w:p w14:paraId="61AAC3E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1.2.1.2.3企业活跃度</w:t>
            </w:r>
          </w:p>
          <w:p w14:paraId="158FA4A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展示各企业的活跃度指标，如在线时长、操作频率等，帮助监管人员了解企业的运营状态。</w:t>
            </w:r>
          </w:p>
          <w:p w14:paraId="5AD1B0C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支持按企业名称、时间段等条件查询企业的活跃度信息。</w:t>
            </w:r>
          </w:p>
          <w:p w14:paraId="06E712F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将查询结果导出为Excel、PDF等格式。</w:t>
            </w:r>
          </w:p>
          <w:p w14:paraId="1F6301A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1.2.1.2.4健康证预警</w:t>
            </w:r>
          </w:p>
          <w:p w14:paraId="36D7854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支持按从业人员姓名、身份证号等条件查询健康证信息。</w:t>
            </w:r>
          </w:p>
          <w:p w14:paraId="23F84E0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支持健康证到期前自动生成提醒信息，便于相关人员及时跟进处理。</w:t>
            </w:r>
          </w:p>
          <w:p w14:paraId="5ABCA20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1.2.1.2.5公众投诉记录</w:t>
            </w:r>
          </w:p>
          <w:p w14:paraId="7AA79FB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支持按企业名称、投诉时间等条件查询投诉记录。</w:t>
            </w:r>
          </w:p>
          <w:p w14:paraId="73823BF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1.2.1.2.6食安指数检索</w:t>
            </w:r>
          </w:p>
          <w:p w14:paraId="4DCA3AF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监管人员可按企业名称、地区等条件检索企业的食安指数及排名情况。</w:t>
            </w:r>
          </w:p>
          <w:p w14:paraId="3DB2ABC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将查询结果导出为Excel、PDF等格式。</w:t>
            </w:r>
          </w:p>
          <w:p w14:paraId="3D0BA79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1.2.1.3明厨亮灶</w:t>
            </w:r>
          </w:p>
          <w:p w14:paraId="04E509F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1.2.1.3.1视频预览</w:t>
            </w:r>
          </w:p>
          <w:p w14:paraId="05823AF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通过主/子码流获取食堂明厨亮灶视频信号，支持监管人员、公众使用专用码流查看企业的明厨亮灶视频信息，支持实况视频及回放，确保各方使用流畅、安全。保障“六个百分百”全面落实，后厨操作全程可溯。</w:t>
            </w:r>
          </w:p>
          <w:p w14:paraId="447D4F3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主码流：监管人员使用。</w:t>
            </w:r>
          </w:p>
          <w:p w14:paraId="40DD160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子码流：公众使用。</w:t>
            </w:r>
          </w:p>
          <w:p w14:paraId="0A99B5D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1.2.1.3.2录像查看</w:t>
            </w:r>
          </w:p>
          <w:p w14:paraId="2DFA5D0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获取食堂明厨亮灶视频回放信号，提供历史视频记录查询功能，监管人员可按时间段、企业名称等条件查询并回放历史视频。</w:t>
            </w:r>
          </w:p>
          <w:p w14:paraId="5A10F6E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提供录像查询功能，监管人员可按时间段、企业名称等条件快速定位到所需录像。</w:t>
            </w:r>
          </w:p>
          <w:p w14:paraId="00887D0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1.2.1.4智能巡查</w:t>
            </w:r>
          </w:p>
          <w:p w14:paraId="2F15477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1.2.1.4.1巡查记录</w:t>
            </w:r>
          </w:p>
          <w:p w14:paraId="3BC27E0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展示AI巡查系统生成的巡查记录，包括巡查时间、巡查结果、异常发现等，支持查询、详情查看、导出和删除功能。</w:t>
            </w:r>
          </w:p>
          <w:p w14:paraId="761F82B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AI巡查针对异常发现，支持自动生成整改任务并提醒对应责任人，责任人根据异常类型完成整改，在线提交整改照片等证据，完成巡查-整改工作闭环。</w:t>
            </w:r>
          </w:p>
          <w:p w14:paraId="1E96F09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支持监管人员在线查看整改情况，告警超时未完成整改，支持在线分配巡查任务，实现“告警-整改-超时-督办-整改”的食安管理闭环。</w:t>
            </w:r>
          </w:p>
          <w:p w14:paraId="33022E2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1.2.1.4.2整改动态</w:t>
            </w:r>
          </w:p>
          <w:p w14:paraId="208DF26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展示AI巡查发现的异常问题的整改情况，包括整改进度、整改结果等，支持查询和导出功能。</w:t>
            </w:r>
          </w:p>
          <w:p w14:paraId="4E4D924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1.2.1.4.3巡查任务设置</w:t>
            </w:r>
          </w:p>
          <w:p w14:paraId="6308E6D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提供巡查任务查询功能，监管人员可查看已设置的巡查任务列表。</w:t>
            </w:r>
          </w:p>
          <w:p w14:paraId="4424113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1.2.1.5监督管理</w:t>
            </w:r>
          </w:p>
          <w:p w14:paraId="42E8F4B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1.2.1.5.1风险等级</w:t>
            </w:r>
          </w:p>
          <w:p w14:paraId="7C1061E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展示各企业的食品安全风险等级评定结果，支持查询、详情查看和导出功能。</w:t>
            </w:r>
          </w:p>
          <w:p w14:paraId="46D3BC6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1.2.1.5.2量化等级</w:t>
            </w:r>
          </w:p>
          <w:p w14:paraId="30330A6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展示各企业的食品安全量化等级评定结果，同样支持查询、详情查看和导出功能。</w:t>
            </w:r>
          </w:p>
          <w:p w14:paraId="5EEE6FC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1.2.1.5.3日常监督检查</w:t>
            </w:r>
          </w:p>
          <w:p w14:paraId="7186956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记录监管人员对企业的日常监督检查结果，包括检查时间、检查内容、发现的问题等，支持查询、详情查看、导出和整改单详情查看功能。</w:t>
            </w:r>
          </w:p>
          <w:p w14:paraId="60EBDDE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1.2.1.5.4视频巡查</w:t>
            </w:r>
          </w:p>
          <w:p w14:paraId="150A779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视频巡查：支持监管人员通过视频巡查方式对企业进行线上检查，记录巡查结果并生成整改单，支持查询、详情查看、新增和导出功能。</w:t>
            </w:r>
          </w:p>
          <w:p w14:paraId="620F2CE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1.2.1.5.5巡查项目管理</w:t>
            </w:r>
          </w:p>
          <w:p w14:paraId="607307C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巡查项目管理：提供巡查项目的管理功能，包括项目的查询、新增、编辑、详情查看和删除。</w:t>
            </w:r>
          </w:p>
          <w:p w14:paraId="76CDD00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1.2.1.5.6整改督办</w:t>
            </w:r>
          </w:p>
          <w:p w14:paraId="77607F1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针对日常监督检查中发现的问题进行督办管理，记录督办进度和结果，支持查询功能。</w:t>
            </w:r>
          </w:p>
          <w:p w14:paraId="24965FC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针对视频巡查中发现的问题进行督办管理，同样支持查询功能。</w:t>
            </w:r>
          </w:p>
          <w:p w14:paraId="7D605D8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1.2.1.5.7专项检查</w:t>
            </w:r>
          </w:p>
          <w:p w14:paraId="755E445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展示专项整治活动的检查结果，支持查询功能。</w:t>
            </w:r>
          </w:p>
          <w:p w14:paraId="15B7E4A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1.2.1.5.8任务分配</w:t>
            </w:r>
          </w:p>
          <w:p w14:paraId="078AE77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支持监管人员为专项整治活动分配检查任务，包括任务对象、任务内容、完成时间等，支持查询功能。</w:t>
            </w:r>
          </w:p>
          <w:p w14:paraId="2286DC6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1.2.1.5.9靶向监管</w:t>
            </w:r>
          </w:p>
          <w:p w14:paraId="0E799FB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展示靶向监管的动态信息，如监管计划、监管重点等，支持查看和导出功能。</w:t>
            </w:r>
          </w:p>
          <w:p w14:paraId="13A15A3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收集和分析与食品安全相关的舆情信息，为监管人员提供决策支持，支持查看和导出功能。</w:t>
            </w:r>
          </w:p>
          <w:p w14:paraId="7A49E55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展示企业的食品安全主体责任指标完成情况，支持查询和导出功能。</w:t>
            </w:r>
          </w:p>
          <w:p w14:paraId="622EC2F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记录系统或设备的故障信息及其处置情况，支持查询和导出功能。</w:t>
            </w:r>
          </w:p>
          <w:p w14:paraId="486F2FB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1.2.1.6食安管理</w:t>
            </w:r>
          </w:p>
          <w:p w14:paraId="3F0BE47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1.2.1.6.1企业自查报告</w:t>
            </w:r>
          </w:p>
          <w:p w14:paraId="777F094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展示企业的自查报告和自查结果，支持查询、详情查看和导出功能。</w:t>
            </w:r>
          </w:p>
          <w:p w14:paraId="4DEE3AC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提供自查报告的录入和修改功能，支持查看详情和导出功能。同时，支持查询未完成自查报告的企业列表并导出。</w:t>
            </w:r>
          </w:p>
          <w:p w14:paraId="1577FDE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1.2.1.6.2食品安全台账</w:t>
            </w:r>
          </w:p>
          <w:p w14:paraId="4EA4ECF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展示企业的食品安全台账信息，如食品采购台账、食材检测台账、晨检台账、留样台账、清洗消毒台账、配餐台账等，支持查询、详情查看和导出功能。</w:t>
            </w:r>
          </w:p>
          <w:p w14:paraId="0F5033F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百分百建立分级负责的食品安全责任体系；百分百建立“日管控、周排查、月调度”工作机制；百分百实现严格执行食材溯源工作制度，索证索票，保障来源可靠；百分百实现学校春秋季检查全覆盖；百分百落实家长陪餐制度，构建家校共管的良好格局。</w:t>
            </w:r>
          </w:p>
          <w:p w14:paraId="368919C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提供台账信息的录入和修改功能，同样支持查看详情和导出功能。</w:t>
            </w:r>
          </w:p>
          <w:p w14:paraId="29B6D46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提供台账数据与食安指数的自动关联评分功能，支持监管人员设置台账录入评分规则，相关主体未按要求录入台账，食安指数将按照对应分值扣分，补录台账后将按照对应分值加分。</w:t>
            </w:r>
          </w:p>
          <w:p w14:paraId="28A9704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1.2.1.7通知公告</w:t>
            </w:r>
          </w:p>
          <w:p w14:paraId="17F24CD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1.2.1.7.1消息管理</w:t>
            </w:r>
          </w:p>
          <w:p w14:paraId="11C011C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展示系统发送的各类消息通知，如巡查结果通知、整改通知等，支持查询和查看功能。</w:t>
            </w:r>
          </w:p>
          <w:p w14:paraId="34FA1D0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1.2.1.7.2公告管理</w:t>
            </w:r>
          </w:p>
          <w:p w14:paraId="7E69A2D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公告查询：展示系统发布的各类公告信息，支持查询功能。</w:t>
            </w:r>
          </w:p>
          <w:p w14:paraId="02070AE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公告发布：支持监管人员发布新的公告信息，包括公告标题、内容、发布时间等，支持查询和新增功能。</w:t>
            </w:r>
          </w:p>
          <w:p w14:paraId="2EC2ACA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公告类型设置：允许监管人员设置公告的类型和分类，方便后续管理和查询。</w:t>
            </w:r>
          </w:p>
          <w:p w14:paraId="69228F3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1.2.1.8抽样快检</w:t>
            </w:r>
          </w:p>
          <w:p w14:paraId="123FED6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展示抽样快检的结果信息，支持查询、导入、导出和批量删除功能。</w:t>
            </w:r>
          </w:p>
          <w:p w14:paraId="54DE582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1.2.1.9企业公示二维码</w:t>
            </w:r>
          </w:p>
          <w:p w14:paraId="3E20B0C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生成企业公示二维码，支持企业扫码实现食品经营许可证等企业信息绑定和公示、支持公众扫码实现明厨亮灶视频、企业证照信息、从业人员信息、食安评分信息等查看。</w:t>
            </w:r>
          </w:p>
          <w:p w14:paraId="1E0223A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支持公众扫码报名陪餐及食堂公开日活动和提交活动评价。</w:t>
            </w:r>
          </w:p>
          <w:p w14:paraId="5AC5178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支持公众扫码后对企业公示信息、从业人员信息不合规情况投诉反馈。</w:t>
            </w:r>
          </w:p>
          <w:p w14:paraId="1483460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1.2.1.10管理中心</w:t>
            </w:r>
          </w:p>
          <w:p w14:paraId="4460824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lang w:val="en-US" w:eastAsia="zh-CN"/>
                <w14:textFill>
                  <w14:solidFill>
                    <w14:schemeClr w14:val="tx1"/>
                  </w14:solidFill>
                </w14:textFill>
              </w:rPr>
            </w:pPr>
            <w:r>
              <w:rPr>
                <w:rFonts w:hint="eastAsia" w:ascii="宋体" w:hAnsi="宋体" w:eastAsia="宋体" w:cs="宋体"/>
                <w:color w:val="000000" w:themeColor="text1"/>
                <w:kern w:val="1"/>
                <w:szCs w:val="22"/>
                <w:highlight w:val="none"/>
                <w:lang w:val="en-US" w:eastAsia="zh-CN"/>
                <w14:textFill>
                  <w14:solidFill>
                    <w14:schemeClr w14:val="tx1"/>
                  </w14:solidFill>
                </w14:textFill>
              </w:rPr>
              <w:t>1、系统自定义设置</w:t>
            </w:r>
          </w:p>
          <w:p w14:paraId="058B21C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（1）自定义数据看板</w:t>
            </w:r>
          </w:p>
          <w:p w14:paraId="35D0B9A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支持监管人员自定义数据看板的内容和布局，包括选择大屏、选择布局、选择展示内容等，支持预览和保存功能。同时，提供恢复默认设置的功能。</w:t>
            </w:r>
          </w:p>
          <w:p w14:paraId="55DFA9C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（2）自定义表单</w:t>
            </w:r>
          </w:p>
          <w:p w14:paraId="7FCB1F9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支持监管人员自定义各类表单的内容和格式，包括新增、查询、详情查看、编辑和删除功能。</w:t>
            </w:r>
          </w:p>
          <w:p w14:paraId="22D22F7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（3）食安指数评分规则设置</w:t>
            </w:r>
          </w:p>
          <w:p w14:paraId="0D4B4F0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允许监管人员设置食安指数的评分规则和评分项，包括查询、新增、编辑、删除和批量删除功能。</w:t>
            </w:r>
          </w:p>
          <w:p w14:paraId="13FFF52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支持监管人员通过评分维度标注评分规则版本，实现评分规则版本控制。</w:t>
            </w:r>
          </w:p>
          <w:p w14:paraId="3376D77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（4）自定义检查项</w:t>
            </w:r>
          </w:p>
          <w:p w14:paraId="6722D51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管理员可查询系统中已定义的自定义检查项，包括检查项名称、描述、关联场景等。</w:t>
            </w:r>
          </w:p>
          <w:p w14:paraId="167C155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支持管理员新增自定义检查项，定义检查项的名称、内容、检查标准等。</w:t>
            </w:r>
          </w:p>
          <w:p w14:paraId="672E689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对已定义的自定义检查项进行修改，如更新检查标准、调整描述等。</w:t>
            </w:r>
          </w:p>
          <w:p w14:paraId="3283D14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允许管理员删除不再需要的自定义检查项。</w:t>
            </w:r>
          </w:p>
          <w:p w14:paraId="68B39A5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在新增自定义检查项时，支持对已有检查项进行编辑或删除操作。</w:t>
            </w:r>
          </w:p>
          <w:p w14:paraId="661DCCC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支持管理员新增评分项，设置评分项名称、权重、评分标准及说明。</w:t>
            </w:r>
          </w:p>
          <w:p w14:paraId="6E7A34F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对已设置的评分项进行修改，如调整权重、更新评分标准等。</w:t>
            </w:r>
          </w:p>
          <w:p w14:paraId="34060D7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允许管理员删除不再需要的评分项。</w:t>
            </w:r>
          </w:p>
          <w:p w14:paraId="50BA63B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对已预置的角色权限进行修改，如增减权限项等。</w:t>
            </w:r>
          </w:p>
          <w:p w14:paraId="2195EC5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（5）AI巡查场景设置</w:t>
            </w:r>
          </w:p>
          <w:p w14:paraId="1547397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支持监管人员配置AI巡查的场景和参数，包括启用、停用和编辑功能。</w:t>
            </w:r>
          </w:p>
          <w:p w14:paraId="2CAA060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支持管理员查询已配置的AI巡查场景，包括场景名称、配置时间、启用状态等信息。</w:t>
            </w:r>
          </w:p>
          <w:p w14:paraId="3D2824E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允许管理员新增AI巡查场景，设置场景名称、巡查区域、巡查频率、触发条件等参数。</w:t>
            </w:r>
          </w:p>
          <w:p w14:paraId="070CB62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对已配置的AI巡查场景进行修改，如调整巡查区域、更改巡查频率等。</w:t>
            </w:r>
          </w:p>
          <w:p w14:paraId="739E69D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支持管理员删除不再需要的AI巡查场景。</w:t>
            </w:r>
          </w:p>
          <w:p w14:paraId="2671BFA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在查询项中新增、编辑或删除特定条件，以便更精确地查询AI巡查场景。</w:t>
            </w:r>
          </w:p>
          <w:p w14:paraId="6F1E25F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lang w:val="en-US" w:eastAsia="zh-CN"/>
                <w14:textFill>
                  <w14:solidFill>
                    <w14:schemeClr w14:val="tx1"/>
                  </w14:solidFill>
                </w14:textFill>
              </w:rPr>
            </w:pPr>
            <w:r>
              <w:rPr>
                <w:rFonts w:hint="eastAsia" w:ascii="宋体" w:hAnsi="宋体" w:eastAsia="宋体" w:cs="宋体"/>
                <w:color w:val="000000" w:themeColor="text1"/>
                <w:kern w:val="1"/>
                <w:szCs w:val="22"/>
                <w:highlight w:val="none"/>
                <w:lang w:val="en-US" w:eastAsia="zh-CN"/>
                <w14:textFill>
                  <w14:solidFill>
                    <w14:schemeClr w14:val="tx1"/>
                  </w14:solidFill>
                </w14:textFill>
              </w:rPr>
              <w:t>2、用户角色管理</w:t>
            </w:r>
          </w:p>
          <w:p w14:paraId="2094485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1</w:t>
            </w:r>
            <w:r>
              <w:rPr>
                <w:rFonts w:hint="eastAsia" w:ascii="宋体" w:hAnsi="宋体" w:eastAsia="宋体" w:cs="宋体"/>
                <w:color w:val="000000" w:themeColor="text1"/>
                <w:kern w:val="1"/>
                <w:szCs w:val="22"/>
                <w:highlight w:val="none"/>
                <w14:textFill>
                  <w14:solidFill>
                    <w14:schemeClr w14:val="tx1"/>
                  </w14:solidFill>
                </w14:textFill>
              </w:rPr>
              <w:t>）用户管理</w:t>
            </w:r>
          </w:p>
          <w:p w14:paraId="1C5CC85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提供用户信息管理功能，包括查询、新增、重置密码、编辑、详情查看和删除功能。</w:t>
            </w:r>
          </w:p>
          <w:p w14:paraId="4E6EF34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2</w:t>
            </w:r>
            <w:r>
              <w:rPr>
                <w:rFonts w:hint="eastAsia" w:ascii="宋体" w:hAnsi="宋体" w:eastAsia="宋体" w:cs="宋体"/>
                <w:color w:val="000000" w:themeColor="text1"/>
                <w:kern w:val="1"/>
                <w:szCs w:val="22"/>
                <w:highlight w:val="none"/>
                <w14:textFill>
                  <w14:solidFill>
                    <w14:schemeClr w14:val="tx1"/>
                  </w14:solidFill>
                </w14:textFill>
              </w:rPr>
              <w:t>）角色管理</w:t>
            </w:r>
          </w:p>
          <w:p w14:paraId="1F25593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支持监管人员设置和管理角色信息，包括查询、新增、编辑、详情查看和删除功能。</w:t>
            </w:r>
          </w:p>
          <w:p w14:paraId="20A0FFC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1.2.2学校端</w:t>
            </w:r>
          </w:p>
          <w:p w14:paraId="7FD5F48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学校端采用PC端网页实现，主要提供给学校食品安全管理人员对本单位食堂进行管理，主要包括功能：工作导航、事务中心、单位管理、视频汇聚、智能分析、食安管理、</w:t>
            </w:r>
            <w:r>
              <w:rPr>
                <w:rFonts w:hint="eastAsia" w:ascii="宋体" w:hAnsi="宋体" w:eastAsia="宋体" w:cs="宋体"/>
                <w:color w:val="000000" w:themeColor="text1"/>
                <w:kern w:val="1"/>
                <w:szCs w:val="22"/>
                <w:highlight w:val="none"/>
                <w:lang w:eastAsia="zh-CN"/>
                <w14:textFill>
                  <w14:solidFill>
                    <w14:schemeClr w14:val="tx1"/>
                  </w14:solidFill>
                </w14:textFill>
              </w:rPr>
              <w:t>监督管理</w:t>
            </w:r>
            <w:r>
              <w:rPr>
                <w:rFonts w:hint="eastAsia" w:ascii="宋体" w:hAnsi="宋体" w:eastAsia="宋体" w:cs="宋体"/>
                <w:color w:val="000000" w:themeColor="text1"/>
                <w:kern w:val="1"/>
                <w:szCs w:val="22"/>
                <w:highlight w:val="none"/>
                <w14:textFill>
                  <w14:solidFill>
                    <w14:schemeClr w14:val="tx1"/>
                  </w14:solidFill>
                </w14:textFill>
              </w:rPr>
              <w:t>、万物互联、设备监控、消息中心、管理中心等。</w:t>
            </w:r>
          </w:p>
          <w:p w14:paraId="1D2288D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1.2.2.1工作导航</w:t>
            </w:r>
          </w:p>
          <w:p w14:paraId="518B625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提供企业端常用功能的快速访问入口，如事务办理、企业管理、AI预警等，方便用户快速进入所需功能模块。</w:t>
            </w:r>
          </w:p>
          <w:p w14:paraId="472F609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展示用户当前待处理的事务列表，包括事务名称、截止时间等，帮助用户高效管理待办事项。</w:t>
            </w:r>
          </w:p>
          <w:p w14:paraId="4D4EDE4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实时更新并展示企业内部通知和公告，支持按时间进行排序，确保用户及时获取重要信息。</w:t>
            </w:r>
          </w:p>
          <w:p w14:paraId="198E5F7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1.2.2.2事务中心</w:t>
            </w:r>
          </w:p>
          <w:p w14:paraId="6552E9B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支持按事务类型、状态等条件查询事务信息，提供事务详细列表和统计信息，方便用户了解事务整体情况。</w:t>
            </w:r>
          </w:p>
          <w:p w14:paraId="2FD6ECF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展示选定事务的详细信息，包括事务描述、处理进度、相关人员等，帮助用户全面了解事务详情。</w:t>
            </w:r>
          </w:p>
          <w:p w14:paraId="3C40384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1.2.2.3单位管理</w:t>
            </w:r>
          </w:p>
          <w:p w14:paraId="1D8D966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1.2.2.3.1单位信息管理</w:t>
            </w:r>
          </w:p>
          <w:p w14:paraId="02F50C7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单位信息</w:t>
            </w:r>
          </w:p>
          <w:p w14:paraId="50385AF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提供单位基本信息的编辑功能，包括单位名称、地址、联系方式等，确保单位信息的准确性和时效性。</w:t>
            </w:r>
          </w:p>
          <w:p w14:paraId="479AAC4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支持查询单位的各类证照信息，如营业执照、卫生许可证等，方便用户随时查看和核对。</w:t>
            </w:r>
          </w:p>
          <w:p w14:paraId="43344F2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人员管理</w:t>
            </w:r>
          </w:p>
          <w:p w14:paraId="58B5EFE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支持按姓名、职位等条件查询员工信息，提供员工档案的快速检索功能。</w:t>
            </w:r>
          </w:p>
          <w:p w14:paraId="28E1323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提供新员工信息的录入功能，包括基本信息、联系方式、入职时间等，确保员工档案的完整性和准确性</w:t>
            </w:r>
          </w:p>
          <w:p w14:paraId="181C514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支持员工档案的批量导入和导出功能，方便用户进行数据的备份和迁移。</w:t>
            </w:r>
          </w:p>
          <w:p w14:paraId="4DB2B2A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允许对已有员工信息进行修改和更新，确保员工档案的实时性和准确性。</w:t>
            </w:r>
          </w:p>
          <w:p w14:paraId="58A0A1F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展示选定员工的详细信息，帮助用户全面了解员工情况。</w:t>
            </w:r>
          </w:p>
          <w:p w14:paraId="0D0AF2B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支持按姓名、登记时间等条件查询员工登记信息，提供审核记录的快速检索功能。</w:t>
            </w:r>
          </w:p>
          <w:p w14:paraId="3BB0117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展示选定员工登记信息的详细内容，包括登记资料、审核状态等，方便用户查看审核进度。</w:t>
            </w:r>
          </w:p>
          <w:p w14:paraId="717A5A1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提供员工登记信息的审核功能，支持通过或拒绝申请，并填写审核意见。</w:t>
            </w:r>
          </w:p>
          <w:p w14:paraId="69D30C4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允许删除无效或错误的员工登记信息，确保数据的准确性和一致性。</w:t>
            </w:r>
          </w:p>
          <w:p w14:paraId="5CC657A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1.2.2.3.2基础数据库</w:t>
            </w:r>
          </w:p>
          <w:p w14:paraId="6AD0437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lang w:val="en-US" w:eastAsia="zh-CN"/>
                <w14:textFill>
                  <w14:solidFill>
                    <w14:schemeClr w14:val="tx1"/>
                  </w14:solidFill>
                </w14:textFill>
              </w:rPr>
            </w:pPr>
            <w:r>
              <w:rPr>
                <w:rFonts w:hint="eastAsia" w:ascii="宋体" w:hAnsi="宋体" w:eastAsia="宋体" w:cs="宋体"/>
                <w:color w:val="000000" w:themeColor="text1"/>
                <w:kern w:val="1"/>
                <w:szCs w:val="22"/>
                <w:highlight w:val="none"/>
                <w:lang w:eastAsia="zh-CN"/>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1）生产商库管理</w:t>
            </w:r>
          </w:p>
          <w:p w14:paraId="5CD9A9B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支持按名称、类型等条件查询生产商信息，提供生产商的详细列表和统计信息。</w:t>
            </w:r>
          </w:p>
          <w:p w14:paraId="3D19A1B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提供新生产商信息的录入功能，包括生产商名称、地址、联系方式等。</w:t>
            </w:r>
          </w:p>
          <w:p w14:paraId="702A154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支持生产商信息的批量导入和导出功能。</w:t>
            </w:r>
          </w:p>
          <w:p w14:paraId="44DEEC8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允许对已有生产商信息进行修改和更新。</w:t>
            </w:r>
          </w:p>
          <w:p w14:paraId="459371B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展示选定生产商的详细信息。</w:t>
            </w:r>
          </w:p>
          <w:p w14:paraId="7A1A621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允许删除无效或不再合作的生产商信息。</w:t>
            </w:r>
          </w:p>
          <w:p w14:paraId="28F72CB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lang w:val="en-US" w:eastAsia="zh-CN"/>
                <w14:textFill>
                  <w14:solidFill>
                    <w14:schemeClr w14:val="tx1"/>
                  </w14:solidFill>
                </w14:textFill>
              </w:rPr>
            </w:pPr>
            <w:r>
              <w:rPr>
                <w:rFonts w:hint="eastAsia" w:ascii="宋体" w:hAnsi="宋体" w:eastAsia="宋体" w:cs="宋体"/>
                <w:color w:val="000000" w:themeColor="text1"/>
                <w:kern w:val="1"/>
                <w:szCs w:val="22"/>
                <w:highlight w:val="none"/>
                <w:lang w:eastAsia="zh-CN"/>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2）供应商库管理</w:t>
            </w:r>
          </w:p>
          <w:p w14:paraId="7202F71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支持按名称、类型等条件查询</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信息，提供</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的详细列表和统计信息。</w:t>
            </w:r>
          </w:p>
          <w:p w14:paraId="76F7E06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提供新</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信息的录入功能，包括</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名称、地址、联系方式等。</w:t>
            </w:r>
          </w:p>
          <w:p w14:paraId="264A36A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信息的批量导入和导出功能。</w:t>
            </w:r>
          </w:p>
          <w:p w14:paraId="7A79425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允许对已有</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信息进行修改和更新。</w:t>
            </w:r>
          </w:p>
          <w:p w14:paraId="4918E4C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的详细信息。</w:t>
            </w:r>
          </w:p>
          <w:p w14:paraId="27FB6F3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允许删除无效或不再合作的</w:t>
            </w:r>
            <w:r>
              <w:rPr>
                <w:rFonts w:hint="eastAsia" w:ascii="宋体" w:hAnsi="宋体" w:eastAsia="宋体" w:cs="宋体"/>
                <w:color w:val="000000" w:themeColor="text1"/>
                <w:kern w:val="1"/>
                <w:szCs w:val="22"/>
                <w:highlight w:val="none"/>
                <w:lang w:eastAsia="zh-CN"/>
                <w14:textFill>
                  <w14:solidFill>
                    <w14:schemeClr w14:val="tx1"/>
                  </w14:solidFill>
                </w14:textFill>
              </w:rPr>
              <w:t>供应商</w:t>
            </w:r>
            <w:r>
              <w:rPr>
                <w:rFonts w:hint="eastAsia" w:ascii="宋体" w:hAnsi="宋体" w:eastAsia="宋体" w:cs="宋体"/>
                <w:color w:val="000000" w:themeColor="text1"/>
                <w:kern w:val="1"/>
                <w:szCs w:val="22"/>
                <w:highlight w:val="none"/>
                <w14:textFill>
                  <w14:solidFill>
                    <w14:schemeClr w14:val="tx1"/>
                  </w14:solidFill>
                </w14:textFill>
              </w:rPr>
              <w:t>信息。</w:t>
            </w:r>
          </w:p>
          <w:p w14:paraId="493DDF1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lang w:val="en-US" w:eastAsia="zh-CN"/>
                <w14:textFill>
                  <w14:solidFill>
                    <w14:schemeClr w14:val="tx1"/>
                  </w14:solidFill>
                </w14:textFill>
              </w:rPr>
            </w:pPr>
            <w:r>
              <w:rPr>
                <w:rFonts w:hint="eastAsia" w:ascii="宋体" w:hAnsi="宋体" w:eastAsia="宋体" w:cs="宋体"/>
                <w:color w:val="000000" w:themeColor="text1"/>
                <w:kern w:val="1"/>
                <w:szCs w:val="22"/>
                <w:highlight w:val="none"/>
                <w:lang w:eastAsia="zh-CN"/>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3）菜品库管理</w:t>
            </w:r>
          </w:p>
          <w:p w14:paraId="629D56F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支持按菜品名称、类型等条件查询菜品信息，提供菜品的详细列表和统计信息。</w:t>
            </w:r>
          </w:p>
          <w:p w14:paraId="6725029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提供新菜品信息的录入功能，包括菜品名称、配料、营养元素等。</w:t>
            </w:r>
          </w:p>
          <w:p w14:paraId="3049EEB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支持菜品信息的批量导入和导出功能。</w:t>
            </w:r>
          </w:p>
          <w:p w14:paraId="4B8F3A2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允许对已有菜品信息进行修改和更新。</w:t>
            </w:r>
          </w:p>
          <w:p w14:paraId="12EBD97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展示选定菜品的详细信息，包括菜品图片、描述、营养成分等。</w:t>
            </w:r>
          </w:p>
          <w:p w14:paraId="31BDADF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允许删除无效或不再提供的菜品信息。</w:t>
            </w:r>
          </w:p>
          <w:p w14:paraId="2C9C25D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支持批量设置菜品对应的档口信息，提高管理效率。</w:t>
            </w:r>
          </w:p>
          <w:p w14:paraId="085C902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支持每日配餐计划的批量导入和导出功能。</w:t>
            </w:r>
          </w:p>
          <w:p w14:paraId="54FA48E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允许用户配置不同餐次的配餐计划，如早餐、午餐、晚餐等。</w:t>
            </w:r>
          </w:p>
          <w:p w14:paraId="1D3016B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提供每日配餐计划的编辑功能，支持用户根据实际需求进行调整。</w:t>
            </w:r>
          </w:p>
          <w:p w14:paraId="3F96AD4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1.2.2.4视频汇聚</w:t>
            </w:r>
          </w:p>
          <w:p w14:paraId="36F365A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提供实时监控视频的预览功能，支持多画面切换、缩放、全屏等操作，方便用户随时查看厨房情况。</w:t>
            </w:r>
          </w:p>
          <w:p w14:paraId="791A30C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支持监控视频的回放功能，用户可按时间范围、摄像头等条件进行筛选和观看，便于事后调查和分析。</w:t>
            </w:r>
          </w:p>
          <w:p w14:paraId="1F65843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1.2.2.5智能分析</w:t>
            </w:r>
          </w:p>
          <w:p w14:paraId="6D89702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支持按时间范围、预警类型等条件查询AI预警记录，提供预警信息的详细列表和统计信息。</w:t>
            </w:r>
          </w:p>
          <w:p w14:paraId="552E282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预警记录的详细信息，包括预警时间、预警类型、预警描述等，帮助用户了解预警情况，提供处理告警入口，用户可上报告警处理结果及相关证据；提供误报反馈入口，用户可反馈预警误报具体情况，监管人员核实后解除相关预警。</w:t>
            </w:r>
          </w:p>
          <w:p w14:paraId="3AEB125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记录并分析AI技术识别出的异常情况（如未戴口罩、违规行为等），生成告警记录，供用户参考和处理。</w:t>
            </w:r>
          </w:p>
          <w:p w14:paraId="129D358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其中智能分析算法由采购的第三方云服务提供，服务内容包含算法分析、算法更新、维护等，算法包括但不限于着装规范、行为规范、有害生物分析等准确率不低于90%，分析延时低于10秒。</w:t>
            </w:r>
          </w:p>
          <w:p w14:paraId="510859C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1.2.2.6食安管理</w:t>
            </w:r>
          </w:p>
          <w:p w14:paraId="162D218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1.2.2.6.1企业自查记录</w:t>
            </w:r>
          </w:p>
          <w:p w14:paraId="557FA35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支持按日期查询日管控记录，提供日管控的详细列表和统计信息。</w:t>
            </w:r>
          </w:p>
          <w:p w14:paraId="3C14A8E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展示选定日管控记录的详细信息，包括检查时间、检查内容、检查结果等，帮助用户了解每日食品安全情况。</w:t>
            </w:r>
          </w:p>
          <w:p w14:paraId="25104A1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支持按周次查询周排查记录，提供周排查的详细列表和统计信息。</w:t>
            </w:r>
          </w:p>
          <w:p w14:paraId="638F461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展示选定周排查记录的详细信息，包括排查时间、排查内容、排查结果等，帮助用户了解每周食品安全排查情况。</w:t>
            </w:r>
          </w:p>
          <w:p w14:paraId="382DF0B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支持按月份查询月调度记录，提供月调度的详细列表和统计信息。</w:t>
            </w:r>
          </w:p>
          <w:p w14:paraId="246380F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提供月调度记录的新增功能，用户可录入每月食品安全管理工作的总结和调度情况。</w:t>
            </w:r>
          </w:p>
          <w:p w14:paraId="3FE4797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展示选定月调度记录的详细信息，包括调度时间、调度内容、存在的问题和改进措施等，帮助用户了解每月食品安全管理工作情况。</w:t>
            </w:r>
          </w:p>
          <w:p w14:paraId="41BEE39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1.2.2.6.2食品安全台账</w:t>
            </w:r>
          </w:p>
          <w:p w14:paraId="76BAFD4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1</w:t>
            </w:r>
            <w:r>
              <w:rPr>
                <w:rFonts w:hint="eastAsia" w:ascii="宋体" w:hAnsi="宋体" w:eastAsia="宋体" w:cs="宋体"/>
                <w:color w:val="000000" w:themeColor="text1"/>
                <w:kern w:val="1"/>
                <w:szCs w:val="22"/>
                <w:highlight w:val="none"/>
                <w14:textFill>
                  <w14:solidFill>
                    <w14:schemeClr w14:val="tx1"/>
                  </w14:solidFill>
                </w14:textFill>
              </w:rPr>
              <w:t>）食安台账</w:t>
            </w:r>
          </w:p>
          <w:p w14:paraId="0A2D924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支持按时间范围、台账类型等条件查询基础台账记录，提供基础台账的详细列表和统计信息，提供台账录入功能，保障“六个百分百”工作全面落实。</w:t>
            </w:r>
          </w:p>
          <w:p w14:paraId="65180EB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支持基础台账记录的导出功能，方便用户进行数据备份和分享。</w:t>
            </w:r>
          </w:p>
          <w:p w14:paraId="27EA39E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展示选定基础台账记录的详细信息，包括台账时间、台账内容、记录人等，帮助用户了解食品安全管理的各个环节。</w:t>
            </w:r>
          </w:p>
          <w:p w14:paraId="2809076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支持按时间范围查询自动化台账记录，提供自动化台账的详细列表和统计信息。</w:t>
            </w:r>
          </w:p>
          <w:p w14:paraId="2995A20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支持自动化台账记录的导出功能。</w:t>
            </w:r>
          </w:p>
          <w:p w14:paraId="40A90D1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展示选定自动化台账记录的详细信息，包括自动生成的时间、台账内容等，帮助用户了解系统自动生成的台账情况。</w:t>
            </w:r>
          </w:p>
          <w:p w14:paraId="22ECB01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支持按时间范围、缺项类型等条件查询合理缺项设置记录，提供合理缺项设置的详细列表和统计信息。</w:t>
            </w:r>
          </w:p>
          <w:p w14:paraId="620D9C8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提供合理缺项设置的新增功能，用户可根据企业实际情况设置台账的合理缺项。</w:t>
            </w:r>
          </w:p>
          <w:p w14:paraId="5F4B0BB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展示选定合理缺项设置记录的详细信息，包括设置时间、缺项内容、设置原因等，帮助用户了解合理缺项设置情况。</w:t>
            </w:r>
          </w:p>
          <w:p w14:paraId="3B4ABAD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w:t>
            </w:r>
            <w:r>
              <w:rPr>
                <w:rFonts w:hint="eastAsia" w:ascii="宋体" w:hAnsi="宋体" w:eastAsia="宋体" w:cs="宋体"/>
                <w:color w:val="000000" w:themeColor="text1"/>
                <w:kern w:val="1"/>
                <w:szCs w:val="22"/>
                <w:highlight w:val="none"/>
                <w:lang w:val="en-US" w:eastAsia="zh-CN"/>
                <w14:textFill>
                  <w14:solidFill>
                    <w14:schemeClr w14:val="tx1"/>
                  </w14:solidFill>
                </w14:textFill>
              </w:rPr>
              <w:t>2</w:t>
            </w:r>
            <w:r>
              <w:rPr>
                <w:rFonts w:hint="eastAsia" w:ascii="宋体" w:hAnsi="宋体" w:eastAsia="宋体" w:cs="宋体"/>
                <w:color w:val="000000" w:themeColor="text1"/>
                <w:kern w:val="1"/>
                <w:szCs w:val="22"/>
                <w:highlight w:val="none"/>
                <w14:textFill>
                  <w14:solidFill>
                    <w14:schemeClr w14:val="tx1"/>
                  </w14:solidFill>
                </w14:textFill>
              </w:rPr>
              <w:t>）录入统计</w:t>
            </w:r>
          </w:p>
          <w:p w14:paraId="7D83ED6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支持按时间范围、统计类型等条件查询自查统计记录，提供自查统计的详细列表和统计信息。</w:t>
            </w:r>
          </w:p>
          <w:p w14:paraId="4921500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支持按时间范围、统计类型等条件查询台账统计记录，提供台账统计的详细列表和统计信息。</w:t>
            </w:r>
          </w:p>
          <w:p w14:paraId="5173FA5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1.2.2.7监督管理</w:t>
            </w:r>
          </w:p>
          <w:p w14:paraId="2C4DBC6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记录监管部门对厨房的日常监督检查情况，包括检查时间、检查内容、发现的问题等，提供整改回复功能，确保监管工作的规范性和有效性。</w:t>
            </w:r>
          </w:p>
          <w:p w14:paraId="08F44B8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1.2.2.8家长陪餐</w:t>
            </w:r>
          </w:p>
          <w:p w14:paraId="22D1368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提供家长陪餐功能，支持学校发布家长陪餐预约、食堂开放日报名等信息；支持生成活动报名二维码。</w:t>
            </w:r>
          </w:p>
          <w:p w14:paraId="13993DA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支持按家长名称、手机号码等维度展示家长报名信息、陪餐评价，相关评价数据自动纳入学校食安指数，食安指数根据设置规则和评价数据实现食安评分自动调整。</w:t>
            </w:r>
          </w:p>
          <w:p w14:paraId="23FFC00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1.2.2.9万物互联</w:t>
            </w:r>
          </w:p>
          <w:p w14:paraId="6DCD34E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该功能实现物联设备状态的全面统计，包括烟感、气感、温湿度等主流物联感知设备，提供设备数量、在线/离线状态、异常报警等信息的汇总展示，并支持按时间范围、设备类型等条件进行筛选查询。</w:t>
            </w:r>
          </w:p>
          <w:p w14:paraId="75D08DF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用户应能便捷地查询物联设备的详细信息，包括设备ID、连接状态等，以便快速定位和管理设备。</w:t>
            </w:r>
          </w:p>
          <w:p w14:paraId="61A7AAF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在查询结果中，点击具体设备可进入详情页面，展示设备的详细参数、历史报警记录等，便于管理人员进行深度分析和处理。</w:t>
            </w:r>
          </w:p>
          <w:p w14:paraId="0289F5D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1.2.2.10设备监控</w:t>
            </w:r>
          </w:p>
          <w:p w14:paraId="66D9B84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设备监控模块支持对监控范围内所有食安基础设备的实时状态查询，包括监控相机、NVR、晨检机、消毒安全卫士等，展示设备的运行状态、性能指标、能耗情况等，帮助管理人员及时了解设备健康状况。</w:t>
            </w:r>
          </w:p>
          <w:p w14:paraId="057ACD4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1.2.2.11消息中心</w:t>
            </w:r>
          </w:p>
          <w:p w14:paraId="6A0D682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用户应能查看系统发送的各类通知、提醒消息，支持按消息类型、发送时间等条件进行筛选和排序，便于快速定位重要消息。</w:t>
            </w:r>
          </w:p>
          <w:p w14:paraId="1EB36EC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点击具体消息可进入详情页面，展示消息的详细内容、发送人、发送时间等信息，便于用户了解消息背景和上下文。</w:t>
            </w:r>
          </w:p>
          <w:p w14:paraId="5684E3B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消费者反馈模块需支持对消费者提交的反馈信息进行查询和管理，包括反馈内容、提交人、提交时间等，便于管理人员及时响应和处理消费者问题。</w:t>
            </w:r>
          </w:p>
          <w:p w14:paraId="2B4EA19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公众投诉模块同样</w:t>
            </w:r>
            <w:r>
              <w:rPr>
                <w:rFonts w:hint="eastAsia" w:ascii="宋体" w:hAnsi="宋体" w:eastAsia="宋体" w:cs="宋体"/>
                <w:color w:val="000000" w:themeColor="text1"/>
                <w:kern w:val="1"/>
                <w:szCs w:val="22"/>
                <w:highlight w:val="none"/>
                <w:lang w:eastAsia="zh-CN"/>
                <w14:textFill>
                  <w14:solidFill>
                    <w14:schemeClr w14:val="tx1"/>
                  </w14:solidFill>
                </w14:textFill>
              </w:rPr>
              <w:t>需要</w:t>
            </w:r>
            <w:r>
              <w:rPr>
                <w:rFonts w:hint="eastAsia" w:ascii="宋体" w:hAnsi="宋体" w:eastAsia="宋体" w:cs="宋体"/>
                <w:color w:val="000000" w:themeColor="text1"/>
                <w:kern w:val="1"/>
                <w:szCs w:val="22"/>
                <w:highlight w:val="none"/>
                <w14:textFill>
                  <w14:solidFill>
                    <w14:schemeClr w14:val="tx1"/>
                  </w14:solidFill>
                </w14:textFill>
              </w:rPr>
              <w:t>支持投诉信息的查询和管理，确保管理人员能够迅速了解公众关切，采取有效措施进行解决。</w:t>
            </w:r>
          </w:p>
          <w:p w14:paraId="1C3FEBD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1.2.2.12管理中心</w:t>
            </w:r>
          </w:p>
          <w:p w14:paraId="0E63F90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（1）公示屏设置</w:t>
            </w:r>
          </w:p>
          <w:p w14:paraId="616A1A5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该功能允许管理人员根据实际需要选择公示屏的布局模板，支持多种布局风格的切换和自定义设置，以满足不同场景下的展示需求。</w:t>
            </w:r>
          </w:p>
          <w:p w14:paraId="7990147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在选定布局后，管理人员应能自由添加、删除或调整公示屏上的展示组件，实现个性化展示效果。</w:t>
            </w:r>
          </w:p>
          <w:p w14:paraId="654A05A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对于已添加的展示组件，管理人员能进行详细的配置设置，包括组件大小、位置、内容更新频率等，以确保公示屏信息的准确性和时效性。</w:t>
            </w:r>
          </w:p>
          <w:p w14:paraId="31B62F0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（2）权限管理</w:t>
            </w:r>
          </w:p>
          <w:p w14:paraId="524B3E1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用户管理模块需支持对用户信息的全面管理，包括用户的基本信息、权限分配、登录状态等。</w:t>
            </w:r>
            <w:r>
              <w:rPr>
                <w:rFonts w:hint="eastAsia" w:ascii="宋体" w:hAnsi="宋体" w:eastAsia="宋体" w:cs="宋体"/>
                <w:color w:val="000000" w:themeColor="text1"/>
                <w:kern w:val="1"/>
                <w:szCs w:val="22"/>
                <w:highlight w:val="none"/>
                <w:lang w:eastAsia="zh-CN"/>
                <w14:textFill>
                  <w14:solidFill>
                    <w14:schemeClr w14:val="tx1"/>
                  </w14:solidFill>
                </w14:textFill>
              </w:rPr>
              <w:t>管理人员</w:t>
            </w:r>
            <w:r>
              <w:rPr>
                <w:rFonts w:hint="eastAsia" w:ascii="宋体" w:hAnsi="宋体" w:eastAsia="宋体" w:cs="宋体"/>
                <w:color w:val="000000" w:themeColor="text1"/>
                <w:kern w:val="1"/>
                <w:szCs w:val="22"/>
                <w:highlight w:val="none"/>
                <w14:textFill>
                  <w14:solidFill>
                    <w14:schemeClr w14:val="tx1"/>
                  </w14:solidFill>
                </w14:textFill>
              </w:rPr>
              <w:t>能便捷地查询用户信息，根据实际需求新增或删除用户，对用户信息进行编辑和更新，以及查看用户的详细权限和登录日志。</w:t>
            </w:r>
          </w:p>
          <w:p w14:paraId="6FA0B7F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角色管理模块需支持对系统角色的定义和管理。管理人员应能创建新的角色，为角色分配相应的权限和资源，对现有角色进行编辑和更新，以及删除不再需要的角色。同时，管理人员还需能查看角色的详细信息和权限分配情况。</w:t>
            </w:r>
          </w:p>
          <w:p w14:paraId="03F996B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（3）公告管理</w:t>
            </w:r>
          </w:p>
          <w:p w14:paraId="2E63F6A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告管理模块需支持对系统公告的全面管理。管理人员应能发布新的公告信息，包括公告标题、内容、发布时间等，对现有公告进行编辑和更新，以及删除过期或无效的公告。同时，管理人员还需能便捷地查询系统内的所有公告信息，以便及时了解公告动态。</w:t>
            </w:r>
          </w:p>
          <w:p w14:paraId="156A5B9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（4）档口管理</w:t>
            </w:r>
          </w:p>
          <w:p w14:paraId="7536DD4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档口管理模块需支持对档口信息的全面管理。管理人员应能查询档口的基本信息、经营状态、设备连接情况等，根据实际需求新增或删除档口信息，对档口信息进行编辑和更新。同时，管理人员还需能为档口授权相关设备，确保档口能够正常接入和使用系统资源。在详情页面中，应展示档口的完整信息和历史操作记录，便于管理人员进行深度分析和处理。</w:t>
            </w:r>
          </w:p>
          <w:p w14:paraId="483C7A3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（5）宣传管理</w:t>
            </w:r>
          </w:p>
          <w:p w14:paraId="4AFE1C2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宣传管理模块中的美食推荐功能需支持对推荐美食信息的添加和编辑。管理人员应能上传美食图片、编写美食描述和推荐理由等，以便向用户展示吸引人的美食信息。同时，管理人员还需能对已发布的美食信息进行更新和维护，确保信息的准确性和时效性。</w:t>
            </w:r>
          </w:p>
          <w:p w14:paraId="55B7445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1.2.3公众端</w:t>
            </w:r>
          </w:p>
          <w:p w14:paraId="4138488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端采用网页嵌入粤省事实现，主要提供给学校家长代表（家委）对学校食堂进行远程监督和查看相关食品安全信息，主要功能包括：企业绑定关联、明厨亮灶查看、证照查看、从业人员信息查看、食安指数查看、我要投诉等，家长代表移动端用户管理、权限分配由学校进行管理。</w:t>
            </w:r>
          </w:p>
          <w:p w14:paraId="0C008E4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1.2.3.1企业绑定关联</w:t>
            </w:r>
          </w:p>
          <w:p w14:paraId="1361142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企业可通过扫描监管端下发的企业信息公示二维码，进入企业绑定界面。输入食品经营许可证，确认无误后，可进行企业信息公示二维码绑定和关联。</w:t>
            </w:r>
          </w:p>
          <w:p w14:paraId="1C74D46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1.2.3.2明厨亮灶查看</w:t>
            </w:r>
          </w:p>
          <w:p w14:paraId="7B4218D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通过扫描企业信息公示二维码，可查看后厨视频预览画面。视频预览可实时流畅查看企业单位的实时视频，支持单画面或多画面展示。可查看该企业视频信息，可根据该视频观察工作人员的违规情况，及时记录并进行投诉要求其整改。</w:t>
            </w:r>
          </w:p>
          <w:p w14:paraId="64A373B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1.2.3.3企业证照</w:t>
            </w:r>
          </w:p>
          <w:p w14:paraId="6CC4387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公众通过扫描企业信息公示二维码，可根据食品经营许可证查看该企业资</w:t>
            </w:r>
            <w:r>
              <w:rPr>
                <w:rFonts w:hint="eastAsia" w:ascii="宋体" w:hAnsi="宋体" w:eastAsia="宋体" w:cs="宋体"/>
                <w:color w:val="000000" w:themeColor="text1"/>
                <w:kern w:val="1"/>
                <w:szCs w:val="22"/>
                <w:highlight w:val="none"/>
                <w:lang w:eastAsia="zh-CN"/>
                <w14:textFill>
                  <w14:solidFill>
                    <w14:schemeClr w14:val="tx1"/>
                  </w14:solidFill>
                </w14:textFill>
              </w:rPr>
              <w:t>质详</w:t>
            </w:r>
            <w:r>
              <w:rPr>
                <w:rFonts w:hint="eastAsia" w:ascii="宋体" w:hAnsi="宋体" w:eastAsia="宋体" w:cs="宋体"/>
                <w:color w:val="000000" w:themeColor="text1"/>
                <w:kern w:val="1"/>
                <w:szCs w:val="22"/>
                <w:highlight w:val="none"/>
                <w14:textFill>
                  <w14:solidFill>
                    <w14:schemeClr w14:val="tx1"/>
                  </w14:solidFill>
                </w14:textFill>
              </w:rPr>
              <w:t>细信息，证件号码/有效期是否错误与过期，便于后续监管。</w:t>
            </w:r>
          </w:p>
          <w:p w14:paraId="1A6FB24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1.2.3.4从业人员信息</w:t>
            </w:r>
          </w:p>
          <w:p w14:paraId="560D1AF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公众通过扫描企业信息公示二维码，可查看企业的从业人员信息，主要用于餐饮企业或监管机构对员工健康证及岗位信息进行登记、查询和监控。包含姓名、岗位、健康状态等信息。</w:t>
            </w:r>
          </w:p>
          <w:p w14:paraId="5267F2A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1.2.3.5食安指数</w:t>
            </w:r>
          </w:p>
          <w:p w14:paraId="08C6576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公众扫描企业信息公示二维码后可查看企业的核心评分看板，用于展示餐饮企业的实时和历史食品指数评分情况。</w:t>
            </w:r>
          </w:p>
          <w:p w14:paraId="229189D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1.2.3.6投诉反馈</w:t>
            </w:r>
          </w:p>
          <w:p w14:paraId="3C1FF35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公众</w:t>
            </w:r>
            <w:r>
              <w:rPr>
                <w:rFonts w:hint="eastAsia" w:ascii="宋体" w:hAnsi="宋体" w:eastAsia="宋体" w:cs="宋体"/>
                <w:color w:val="000000" w:themeColor="text1"/>
                <w:kern w:val="1"/>
                <w:szCs w:val="22"/>
                <w:highlight w:val="none"/>
                <w:lang w:eastAsia="zh-CN"/>
                <w14:textFill>
                  <w14:solidFill>
                    <w14:schemeClr w14:val="tx1"/>
                  </w14:solidFill>
                </w14:textFill>
              </w:rPr>
              <w:t>扫描</w:t>
            </w:r>
            <w:r>
              <w:rPr>
                <w:rFonts w:hint="eastAsia" w:ascii="宋体" w:hAnsi="宋体" w:eastAsia="宋体" w:cs="宋体"/>
                <w:color w:val="000000" w:themeColor="text1"/>
                <w:kern w:val="1"/>
                <w:szCs w:val="22"/>
                <w:highlight w:val="none"/>
                <w14:textFill>
                  <w14:solidFill>
                    <w14:schemeClr w14:val="tx1"/>
                  </w14:solidFill>
                </w14:textFill>
              </w:rPr>
              <w:t>企业信息公示二维码后，进入投诉页面。可上传图片、</w:t>
            </w:r>
            <w:r>
              <w:rPr>
                <w:rFonts w:hint="eastAsia" w:ascii="宋体" w:hAnsi="宋体" w:eastAsia="宋体" w:cs="宋体"/>
                <w:color w:val="000000" w:themeColor="text1"/>
                <w:kern w:val="1"/>
                <w:szCs w:val="22"/>
                <w:highlight w:val="none"/>
                <w:lang w:eastAsia="zh-CN"/>
                <w14:textFill>
                  <w14:solidFill>
                    <w14:schemeClr w14:val="tx1"/>
                  </w14:solidFill>
                </w14:textFill>
              </w:rPr>
              <w:t>视频</w:t>
            </w:r>
            <w:r>
              <w:rPr>
                <w:rFonts w:hint="eastAsia" w:ascii="宋体" w:hAnsi="宋体" w:eastAsia="宋体" w:cs="宋体"/>
                <w:color w:val="000000" w:themeColor="text1"/>
                <w:kern w:val="1"/>
                <w:szCs w:val="22"/>
                <w:highlight w:val="none"/>
                <w14:textFill>
                  <w14:solidFill>
                    <w14:schemeClr w14:val="tx1"/>
                  </w14:solidFill>
                </w14:textFill>
              </w:rPr>
              <w:t>、投诉内容，完成投诉信息提交。</w:t>
            </w:r>
          </w:p>
          <w:p w14:paraId="716DFA9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投诉进度实时查询：公众可随时通过唯一投诉编号或在本人的投诉历史记录中，查看投诉处理的实时进度。</w:t>
            </w:r>
          </w:p>
          <w:p w14:paraId="5E359F2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处理结果公示与反馈：投诉处理完毕后，系统自动向投诉人推送处理结果，并在一定范围内（如该学校食堂的公众端页面）进行公示，让公众感知处理成效。</w:t>
            </w:r>
          </w:p>
          <w:p w14:paraId="404EB01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我的投诉历史：为已绑定身份的家长用户（如家委）提供个人投诉历史记录查询页面，方便统一管理和追踪。</w:t>
            </w:r>
          </w:p>
          <w:p w14:paraId="6B0B5B8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1.2.4其他平台数据对接</w:t>
            </w:r>
          </w:p>
          <w:p w14:paraId="2A88AB8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1.2.4.1省市场监管局平台数据对接</w:t>
            </w:r>
          </w:p>
          <w:p w14:paraId="3093842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系统服务过程中，需根据省局平台数据对接标准要求（通知粤市监办发〔2021〕609号），实现与省局平台数据进行对接，对接数据包括但不限于：学校食堂基本数据、监管执法机构数据、食品安全管理员数据、从业人员信息、集体配餐单位信息、日常业务管理数据（包括：摄像机、后厨视频AI分析数据、后厨四害防治数据、碗筷消毒达标数据、从业人员晨检数据）、学校食堂日常业务管理数据和监管部门日常业务管理数据。</w:t>
            </w:r>
          </w:p>
          <w:p w14:paraId="53F360C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1.2.4.2县区第三方平台数据对接</w:t>
            </w:r>
          </w:p>
          <w:p w14:paraId="343D396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目前各区县仍存在学校使用各自监控设备自带视频监控平台，无法统一管理，需要与县区第三方平台对接，对接数据包括但不限于：视频数据信息、监控设备信息等。</w:t>
            </w:r>
          </w:p>
        </w:tc>
      </w:tr>
      <w:tr w14:paraId="0BEF9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65850545">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50" w:type="dxa"/>
            <w:vAlign w:val="top"/>
          </w:tcPr>
          <w:p w14:paraId="7053D6F4">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p>
        </w:tc>
        <w:tc>
          <w:tcPr>
            <w:tcW w:w="7564" w:type="dxa"/>
            <w:vAlign w:val="top"/>
          </w:tcPr>
          <w:p w14:paraId="14430A49">
            <w:pPr>
              <w:bidi w:val="0"/>
              <w:spacing w:line="360" w:lineRule="auto"/>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四、运行维护服务需求</w:t>
            </w:r>
          </w:p>
          <w:p w14:paraId="460D9FF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9" w:name="_Toc181021272"/>
            <w:bookmarkStart w:id="10" w:name="_Toc167909181"/>
            <w:bookmarkStart w:id="11" w:name="_Toc8058"/>
            <w:bookmarkStart w:id="12" w:name="_Toc11525"/>
            <w:bookmarkStart w:id="13" w:name="_Toc21360"/>
            <w:bookmarkStart w:id="14" w:name="_Toc974"/>
            <w:bookmarkStart w:id="15" w:name="_Toc27099"/>
            <w:bookmarkStart w:id="16" w:name="_Toc479258149"/>
            <w:bookmarkStart w:id="17" w:name="_Toc525822664"/>
            <w:bookmarkStart w:id="18" w:name="_Toc96077983"/>
            <w:bookmarkStart w:id="19" w:name="_Toc134632701"/>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1.运行维护时间</w:t>
            </w:r>
            <w:bookmarkEnd w:id="9"/>
            <w:bookmarkEnd w:id="10"/>
            <w:bookmarkEnd w:id="11"/>
            <w:bookmarkEnd w:id="12"/>
            <w:bookmarkEnd w:id="13"/>
            <w:bookmarkEnd w:id="14"/>
            <w:bookmarkEnd w:id="15"/>
          </w:p>
          <w:p w14:paraId="1510C4E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本项目包含3年的运维服务，</w:t>
            </w:r>
            <w:r>
              <w:rPr>
                <w:rFonts w:hint="eastAsia" w:ascii="宋体" w:hAnsi="宋体" w:eastAsia="宋体" w:cs="宋体"/>
                <w:color w:val="000000" w:themeColor="text1"/>
                <w:kern w:val="1"/>
                <w:szCs w:val="22"/>
                <w:highlight w:val="none"/>
                <w:lang w:val="en-US" w:eastAsia="zh-CN"/>
                <w14:textFill>
                  <w14:solidFill>
                    <w14:schemeClr w14:val="tx1"/>
                  </w14:solidFill>
                </w14:textFill>
              </w:rPr>
              <w:t>包括</w:t>
            </w:r>
            <w:r>
              <w:rPr>
                <w:rFonts w:hint="eastAsia" w:ascii="宋体" w:hAnsi="宋体" w:eastAsia="宋体" w:cs="宋体"/>
                <w:color w:val="000000" w:themeColor="text1"/>
                <w:kern w:val="1"/>
                <w:szCs w:val="22"/>
                <w:highlight w:val="none"/>
                <w14:textFill>
                  <w14:solidFill>
                    <w14:schemeClr w14:val="tx1"/>
                  </w14:solidFill>
                </w14:textFill>
              </w:rPr>
              <w:t>硬件</w:t>
            </w:r>
            <w:r>
              <w:rPr>
                <w:rFonts w:hint="eastAsia" w:ascii="宋体" w:hAnsi="宋体" w:eastAsia="宋体" w:cs="宋体"/>
                <w:color w:val="000000" w:themeColor="text1"/>
                <w:kern w:val="1"/>
                <w:szCs w:val="22"/>
                <w:highlight w:val="none"/>
                <w:lang w:val="en-US" w:eastAsia="zh-CN"/>
                <w14:textFill>
                  <w14:solidFill>
                    <w14:schemeClr w14:val="tx1"/>
                  </w14:solidFill>
                </w14:textFill>
              </w:rPr>
              <w:t>和</w:t>
            </w:r>
            <w:r>
              <w:rPr>
                <w:rFonts w:hint="eastAsia" w:ascii="宋体" w:hAnsi="宋体" w:eastAsia="宋体" w:cs="宋体"/>
                <w:color w:val="000000" w:themeColor="text1"/>
                <w:kern w:val="1"/>
                <w:szCs w:val="22"/>
                <w:highlight w:val="none"/>
                <w14:textFill>
                  <w14:solidFill>
                    <w14:schemeClr w14:val="tx1"/>
                  </w14:solidFill>
                </w14:textFill>
              </w:rPr>
              <w:t>软件部分。</w:t>
            </w:r>
          </w:p>
          <w:p w14:paraId="78F2302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20" w:name="_Toc9294"/>
            <w:bookmarkStart w:id="21" w:name="_Toc1533"/>
            <w:bookmarkStart w:id="22" w:name="_Toc26563"/>
            <w:bookmarkStart w:id="23" w:name="_Toc15312"/>
            <w:bookmarkStart w:id="24" w:name="_Toc181021273"/>
            <w:bookmarkStart w:id="25" w:name="_Toc16795"/>
            <w:bookmarkStart w:id="26" w:name="_Toc167909182"/>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2.运行维护</w:t>
            </w:r>
            <w:bookmarkEnd w:id="16"/>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目标</w:t>
            </w:r>
            <w:bookmarkEnd w:id="17"/>
            <w:bookmarkEnd w:id="18"/>
            <w:bookmarkEnd w:id="19"/>
            <w:bookmarkEnd w:id="20"/>
            <w:bookmarkEnd w:id="21"/>
            <w:bookmarkEnd w:id="22"/>
            <w:bookmarkEnd w:id="23"/>
            <w:bookmarkEnd w:id="24"/>
            <w:bookmarkEnd w:id="25"/>
            <w:bookmarkEnd w:id="26"/>
          </w:p>
          <w:p w14:paraId="0B41E5B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（1）通过采取主动的系统运行维护，确保系统的安全、稳定运行，尽量减少运行故障。</w:t>
            </w:r>
          </w:p>
          <w:p w14:paraId="7384F69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2）对系统存在的问题及突发故障提供及时高效的技术支持服务、完善的解决方案和事后防范机制，最大程度上降低故障对业务系统的影响，使设备及系统保持或迅速恢复其良好的工作状态，消除产生故障的薄弱环节，使系统更趋于稳定、安全、合理和高效。</w:t>
            </w:r>
          </w:p>
          <w:p w14:paraId="0D2ADD0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（3）适时地对系统软件数据库、业务系统进行更新，以保证数据的准确性和业务系统的可用性。</w:t>
            </w:r>
          </w:p>
          <w:p w14:paraId="0340633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（4）在约定时间内持续保障设备、系统或业务可靠运行，并达到约定的服务质量要求。</w:t>
            </w:r>
          </w:p>
          <w:p w14:paraId="7A52BD8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27" w:name="_Toc5932"/>
            <w:bookmarkStart w:id="28" w:name="_Toc7182"/>
            <w:bookmarkStart w:id="29" w:name="_Toc134632702"/>
            <w:bookmarkStart w:id="30" w:name="_Toc181021274"/>
            <w:bookmarkStart w:id="31" w:name="_Toc479258150"/>
            <w:bookmarkStart w:id="32" w:name="_Toc525822666"/>
            <w:bookmarkStart w:id="33" w:name="_Toc8090"/>
            <w:bookmarkStart w:id="34" w:name="_Toc30438"/>
            <w:bookmarkStart w:id="35" w:name="_Toc167909183"/>
            <w:bookmarkStart w:id="36" w:name="_Toc96077984"/>
            <w:bookmarkStart w:id="37" w:name="_Toc11464"/>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3.运行维护原则</w:t>
            </w:r>
            <w:bookmarkEnd w:id="27"/>
            <w:bookmarkEnd w:id="28"/>
            <w:bookmarkEnd w:id="29"/>
            <w:bookmarkEnd w:id="30"/>
            <w:bookmarkEnd w:id="31"/>
            <w:bookmarkEnd w:id="32"/>
            <w:bookmarkEnd w:id="33"/>
            <w:bookmarkEnd w:id="34"/>
            <w:bookmarkEnd w:id="35"/>
            <w:bookmarkEnd w:id="36"/>
            <w:bookmarkEnd w:id="37"/>
          </w:p>
          <w:p w14:paraId="0587C4A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按照“谁建设、谁维护”的指导思想，根据实际情况，选择运行维护模式，制定相应的运行维护制度，形成实用高效的运行维护机制。</w:t>
            </w:r>
          </w:p>
          <w:p w14:paraId="3255145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38" w:name="_Toc181021275"/>
            <w:bookmarkStart w:id="39" w:name="_Toc16757"/>
            <w:bookmarkStart w:id="40" w:name="_Toc21579"/>
            <w:bookmarkStart w:id="41" w:name="_Toc167909184"/>
            <w:bookmarkStart w:id="42" w:name="_Toc16269"/>
            <w:bookmarkStart w:id="43" w:name="_Toc134632703"/>
            <w:bookmarkStart w:id="44" w:name="_Toc31190"/>
            <w:bookmarkStart w:id="45" w:name="_Toc13556"/>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4.运行维护要求</w:t>
            </w:r>
            <w:bookmarkEnd w:id="38"/>
            <w:bookmarkEnd w:id="39"/>
            <w:bookmarkEnd w:id="40"/>
            <w:bookmarkEnd w:id="41"/>
            <w:bookmarkEnd w:id="42"/>
            <w:bookmarkEnd w:id="43"/>
            <w:bookmarkEnd w:id="44"/>
            <w:bookmarkEnd w:id="45"/>
          </w:p>
          <w:p w14:paraId="2C39AAF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46" w:name="_Toc83225397"/>
            <w:bookmarkStart w:id="47" w:name="_Toc134632704"/>
            <w:bookmarkStart w:id="48" w:name="_Toc23827"/>
            <w:bookmarkStart w:id="49" w:name="_Toc71706667"/>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4.1运维方式</w:t>
            </w:r>
            <w:bookmarkEnd w:id="46"/>
            <w:bookmarkEnd w:id="47"/>
            <w:bookmarkEnd w:id="48"/>
            <w:bookmarkEnd w:id="49"/>
          </w:p>
          <w:p w14:paraId="40C97C2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在质保期内，指定专业的维保工程师为项目提供专业的远程服务，保证7×24小时故障应急响应。</w:t>
            </w:r>
          </w:p>
          <w:p w14:paraId="5DE37EA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50" w:name="_Toc13235"/>
            <w:bookmarkStart w:id="51" w:name="_Toc71706668"/>
            <w:bookmarkStart w:id="52" w:name="_Toc134632705"/>
            <w:bookmarkStart w:id="53" w:name="_Toc83225398"/>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4.2主要职责</w:t>
            </w:r>
            <w:bookmarkEnd w:id="50"/>
            <w:bookmarkEnd w:id="51"/>
            <w:bookmarkEnd w:id="52"/>
            <w:bookmarkEnd w:id="53"/>
          </w:p>
          <w:p w14:paraId="30751AF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本项目运维团队负责保障本平台</w:t>
            </w:r>
            <w:bookmarkStart w:id="54" w:name="_Hlk71299419"/>
            <w:r>
              <w:rPr>
                <w:rFonts w:hint="eastAsia" w:ascii="宋体" w:hAnsi="宋体" w:eastAsia="宋体" w:cs="宋体"/>
                <w:color w:val="000000" w:themeColor="text1"/>
                <w:kern w:val="1"/>
                <w:szCs w:val="22"/>
                <w:highlight w:val="none"/>
                <w14:textFill>
                  <w14:solidFill>
                    <w14:schemeClr w14:val="tx1"/>
                  </w14:solidFill>
                </w14:textFill>
              </w:rPr>
              <w:t>7×24</w:t>
            </w:r>
            <w:bookmarkEnd w:id="54"/>
            <w:r>
              <w:rPr>
                <w:rFonts w:hint="eastAsia" w:ascii="宋体" w:hAnsi="宋体" w:eastAsia="宋体" w:cs="宋体"/>
                <w:color w:val="000000" w:themeColor="text1"/>
                <w:kern w:val="1"/>
                <w:szCs w:val="22"/>
                <w:highlight w:val="none"/>
                <w14:textFill>
                  <w14:solidFill>
                    <w14:schemeClr w14:val="tx1"/>
                  </w14:solidFill>
                </w14:textFill>
              </w:rPr>
              <w:t>小时运行，负责本项目系统的运行管理，定制化应用软件的维护最终由软件原厂开发商负责维护。用户方主要负责业务管理、平台的资源申请审批管理、平台运行管理，机房环境保障等，用户需求管理、投诉处理等。</w:t>
            </w:r>
          </w:p>
          <w:p w14:paraId="1D702B3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维护方式采用5×8小时，加夜间、节假日远程值守（故障时通过手机短信、邮件通知值守人员处理，同时人工定时上线检查系统运行情况），达到7×24小时值班的要求。故障申告在1小时内响应，重大故障修复时间不大于2小时，一般故障修复时间不大于4小时。有疑难故障时由承建方负责调动相关技术支持限时到达现场解决故障。</w:t>
            </w:r>
          </w:p>
          <w:p w14:paraId="31769BD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55" w:name="_Toc20523"/>
            <w:bookmarkStart w:id="56" w:name="_Toc83225399"/>
            <w:bookmarkStart w:id="57" w:name="_Toc134632706"/>
            <w:bookmarkStart w:id="58" w:name="_Toc71706669"/>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4.3运维内容</w:t>
            </w:r>
            <w:bookmarkEnd w:id="55"/>
            <w:bookmarkEnd w:id="56"/>
            <w:bookmarkEnd w:id="57"/>
            <w:bookmarkEnd w:id="58"/>
          </w:p>
          <w:p w14:paraId="6A26429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通常运行维护管理内容包括以下几个方面：</w:t>
            </w:r>
          </w:p>
          <w:p w14:paraId="221CA7F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系统运行管理</w:t>
            </w:r>
          </w:p>
          <w:p w14:paraId="2766A81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主要指对整个信息网络系统支撑环境的管理和维护。重点在于采取有效措施维护系统的稳定运行，包括运行环境、网络系统、主机系统、数据库系统等的配置、运行维护、故障检测、升级、恢复等。</w:t>
            </w:r>
          </w:p>
          <w:p w14:paraId="66D7FF5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信息管理</w:t>
            </w:r>
          </w:p>
          <w:p w14:paraId="3CB7038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主要是面向各类应用产生、处理和使用的数据信息、语音信息、图像信息、视频系统的管理及维护，重点在于对各类信息的存储、转换、发布、访问、应用、备份与恢复等操作。</w:t>
            </w:r>
          </w:p>
          <w:p w14:paraId="435CEE5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信息存储管理，主要包括数据版本维护、数据占用空间维护、数据存储位置维护、数据分级存储维护、数据存储系统维护等。</w:t>
            </w:r>
          </w:p>
          <w:p w14:paraId="05EA731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信息交换管理，主要指不同业务系统之间，系统内部上下部门之间，以及不同机构之间的信息交换管理。</w:t>
            </w:r>
          </w:p>
          <w:p w14:paraId="45715E3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信息发布管理，包括各类政务信息在内部网站、外部网站、大屏幕、触摸屏系统上的发布，以及信息发布系统的管理与维护。</w:t>
            </w:r>
          </w:p>
          <w:p w14:paraId="363E666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数据备份管理，内容有数据中心数据库系统数据备份、图像中心音视频数据备份、交换中心应用系统数据备份、设备及系统主要配置文件备份、备份数据的有效性检查等。</w:t>
            </w:r>
          </w:p>
          <w:p w14:paraId="13C6875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数据恢复管理，按可行数据恢复计划对关键数据进行恢复。</w:t>
            </w:r>
          </w:p>
          <w:p w14:paraId="10338BB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应用系统运行管理及维护</w:t>
            </w:r>
          </w:p>
          <w:p w14:paraId="5F02312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应用系统的运行管理及维护是运行维护管理的关键内容，要求管理和维护人员既要熟悉各类业务，又要熟悉相应应用系统的使用及维护，应用系统的运行管理及维护包括以下内容：</w:t>
            </w:r>
          </w:p>
          <w:p w14:paraId="152CEF1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应用系统软件的升级性开发，包括功能增加、需求变化、流程更改、改版/升级等。</w:t>
            </w:r>
          </w:p>
          <w:p w14:paraId="49A1964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应用系统软件的维护性开发，包括bug修复、需求变化等。</w:t>
            </w:r>
          </w:p>
          <w:p w14:paraId="19C8C07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应用系统技术支持，包括人员权限、数据校正与修改等方面的使用维护，以及软件使用技术培训，多媒体信息与应用相结合的综合应用以及使用技术支持等。</w:t>
            </w:r>
          </w:p>
          <w:p w14:paraId="1A31998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系统建设及规划，包括安全管理、建设规划、应用规划等。</w:t>
            </w:r>
          </w:p>
          <w:p w14:paraId="11F2258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应用系统使用过程中的其他问题及其实时处理，如需求调研等。</w:t>
            </w:r>
          </w:p>
          <w:p w14:paraId="53B53D8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59" w:name="_Toc18738"/>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5.运维服务分类</w:t>
            </w:r>
            <w:bookmarkEnd w:id="59"/>
          </w:p>
          <w:p w14:paraId="17F1729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5.1事件驱动响应</w:t>
            </w:r>
          </w:p>
          <w:p w14:paraId="5A5692F2">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指由于不可预测原因导致服务对象整体或部分性能下降、功能丧失，而触发的将服务对象在最短时间内恢复到正常状态或可用状态的服务活动。事件驱动响应的处理过程首先应争取在最短的时间内恢复服务或启用备份资源，维持服务的持续提供，并应对事件做出分析、明确诱发事件的原因和影响的范围，采取有效的防控措施，减少类似事件的再次发生。事件驱动响应的触发条件包括外部事件、系统事件和安全事件三种。</w:t>
            </w:r>
          </w:p>
          <w:p w14:paraId="1ADADF9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5.2服务请求响应</w:t>
            </w:r>
          </w:p>
          <w:p w14:paraId="7F382F7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指由需方提出的非故障类服务请求，而引发的需要针对服务对象或服务级别做出调整或修改响应的服务活动。服务请求响应需要根据总体服务策略并参考已有的SLA/SOW做出判断，对服务的实施进行影响评估，制定详细的实施方案和回退措施，并在条件允许的情况下执行实施方案和回退方案的测试。变更型响应服务实施完成后，应进行总结，确认已达到预期的目标。此类响应可能涉及服务等级变更、服务范围变更、技术资源变更、服务提供方变更等。</w:t>
            </w:r>
          </w:p>
          <w:p w14:paraId="7DD5672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5.3应急响应</w:t>
            </w:r>
          </w:p>
          <w:p w14:paraId="3646BEF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指在服务对象出现大规模故障、触发应急响应阈值的重大事件、发生重大自然灾害、政府部门发出行政指令或需方提出要求时，所启动的应急处理服务活动。</w:t>
            </w:r>
          </w:p>
          <w:p w14:paraId="70ADFF5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5.4响应时限</w:t>
            </w:r>
          </w:p>
          <w:p w14:paraId="607EAD26">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1.紧急事件（Ⅰ级）：系统崩溃导致业务停止、数据丢失等紧急问题，运维管理人员应在30分钟内对其进行响应，30分钟内提交故障处理方案，3个小时内解决故障，特殊情况除外。</w:t>
            </w:r>
          </w:p>
          <w:p w14:paraId="136FECF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2.严重事件（Ⅱ级）：部分部件失效、系统性能下降但仍能运行，运维管理人员应在30分钟内对其进行响应，30分钟内提交故障处理方案，8小时内解决故障，特殊情况除外。</w:t>
            </w:r>
          </w:p>
          <w:p w14:paraId="0B31005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3.较严重事件（Ⅲ级）：出现系统报错或警告，但信息系统仍能运行，不影响正常业务操作等较严重问题，运维管理人员应在30分钟内对其进行响应，30分钟内提交故障处理方案，12小时内解决故障，特殊情况除外。</w:t>
            </w:r>
          </w:p>
          <w:p w14:paraId="113ED11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4.一般事件（Ⅳ级）：系统技术功能、安装或配置咨询或其他不影响正常业务的预约操作，运维管理人员应在30分钟内对其进行响应，2小时内提交故障处理方案，24小时内解决故障，特殊情况除外。</w:t>
            </w:r>
          </w:p>
          <w:p w14:paraId="2B3CCF8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60" w:name="_Toc150180763"/>
            <w:bookmarkStart w:id="61" w:name="_Toc150495635"/>
            <w:bookmarkStart w:id="62" w:name="_Toc133078336"/>
            <w:bookmarkStart w:id="63" w:name="_Toc150267443"/>
            <w:bookmarkStart w:id="64" w:name="_Toc3106"/>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6.故障级别定义</w:t>
            </w:r>
            <w:bookmarkEnd w:id="60"/>
            <w:bookmarkEnd w:id="61"/>
            <w:bookmarkEnd w:id="62"/>
            <w:bookmarkEnd w:id="63"/>
            <w:bookmarkEnd w:id="64"/>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5741"/>
            </w:tblGrid>
            <w:tr w14:paraId="3F34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1088" w:type="pct"/>
                  <w:vAlign w:val="center"/>
                </w:tcPr>
                <w:p w14:paraId="2F4B1A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ascii="Times New Roman" w:hAnsi="Times New Roman" w:eastAsia="宋体" w:cs="Times New Roman"/>
                      <w:b/>
                      <w:bCs/>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b/>
                      <w:bCs/>
                      <w:color w:val="000000" w:themeColor="text1"/>
                      <w:kern w:val="2"/>
                      <w:sz w:val="21"/>
                      <w:szCs w:val="24"/>
                      <w:highlight w:val="none"/>
                      <w14:textFill>
                        <w14:solidFill>
                          <w14:schemeClr w14:val="tx1"/>
                        </w14:solidFill>
                      </w14:textFill>
                    </w:rPr>
                    <w:t>事件级别</w:t>
                  </w:r>
                </w:p>
              </w:tc>
              <w:tc>
                <w:tcPr>
                  <w:tcW w:w="3911" w:type="pct"/>
                  <w:vAlign w:val="center"/>
                </w:tcPr>
                <w:p w14:paraId="02B78B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ascii="Times New Roman" w:hAnsi="Times New Roman" w:eastAsia="宋体" w:cs="Times New Roman"/>
                      <w:b/>
                      <w:bCs/>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b/>
                      <w:bCs/>
                      <w:color w:val="000000" w:themeColor="text1"/>
                      <w:kern w:val="2"/>
                      <w:sz w:val="21"/>
                      <w:szCs w:val="24"/>
                      <w:highlight w:val="none"/>
                      <w14:textFill>
                        <w14:solidFill>
                          <w14:schemeClr w14:val="tx1"/>
                        </w14:solidFill>
                      </w14:textFill>
                    </w:rPr>
                    <w:t>事件定义</w:t>
                  </w:r>
                </w:p>
              </w:tc>
            </w:tr>
            <w:tr w14:paraId="6D6F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88" w:type="pct"/>
                  <w:vAlign w:val="center"/>
                </w:tcPr>
                <w:p w14:paraId="0BCC65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紧急事件（Ⅰ级）</w:t>
                  </w:r>
                </w:p>
              </w:tc>
              <w:tc>
                <w:tcPr>
                  <w:tcW w:w="3911" w:type="pct"/>
                  <w:vAlign w:val="center"/>
                </w:tcPr>
                <w:p w14:paraId="330F0C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故障造成系统失效或崩溃，应用系统无法正常启动运行、网络故障、丢失数据等，且没有临时替代解决方案；</w:t>
                  </w:r>
                </w:p>
                <w:p w14:paraId="5B6764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系统硬件故障、系统崩溃（死机和）自动重启）且不能再启动、磁盘信息丢失、系统或应用服务无法启动、网络链接失效、文件损毁等。</w:t>
                  </w:r>
                </w:p>
              </w:tc>
            </w:tr>
            <w:tr w14:paraId="5F78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88" w:type="pct"/>
                  <w:vAlign w:val="center"/>
                </w:tcPr>
                <w:p w14:paraId="1C8146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严重事件（Ⅱ级）</w:t>
                  </w:r>
                </w:p>
              </w:tc>
              <w:tc>
                <w:tcPr>
                  <w:tcW w:w="3911" w:type="pct"/>
                  <w:vAlign w:val="center"/>
                </w:tcPr>
                <w:p w14:paraId="05F8AA7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故障造成系统发生中断或系统死机但重启后正常；</w:t>
                  </w:r>
                </w:p>
                <w:p w14:paraId="0BEF67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应用部分不稳定；系统运行正常，但不能进行操作。</w:t>
                  </w:r>
                </w:p>
              </w:tc>
            </w:tr>
            <w:tr w14:paraId="0D4F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88" w:type="pct"/>
                  <w:vAlign w:val="center"/>
                </w:tcPr>
                <w:p w14:paraId="37F4A1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较严重事件（Ⅲ级）</w:t>
                  </w:r>
                </w:p>
              </w:tc>
              <w:tc>
                <w:tcPr>
                  <w:tcW w:w="3911" w:type="pct"/>
                  <w:vAlign w:val="center"/>
                </w:tcPr>
                <w:p w14:paraId="199E91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出现系统报错或警告，但信息系统仍能运行，不影响正常业务操作等较严重问题。</w:t>
                  </w:r>
                </w:p>
              </w:tc>
            </w:tr>
            <w:tr w14:paraId="21DE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88" w:type="pct"/>
                  <w:vAlign w:val="center"/>
                </w:tcPr>
                <w:p w14:paraId="29F9DA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jc w:val="center"/>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一般事件（Ⅳ级）</w:t>
                  </w:r>
                </w:p>
              </w:tc>
              <w:tc>
                <w:tcPr>
                  <w:tcW w:w="3911" w:type="pct"/>
                  <w:vAlign w:val="center"/>
                </w:tcPr>
                <w:p w14:paraId="40F866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240" w:lineRule="auto"/>
                    <w:ind w:left="0" w:firstLine="0" w:firstLineChars="0"/>
                    <w:textAlignment w:val="auto"/>
                    <w:rPr>
                      <w:rFonts w:ascii="Times New Roman" w:hAnsi="Times New Roman" w:eastAsia="宋体" w:cs="Times New Roman"/>
                      <w:color w:val="000000" w:themeColor="text1"/>
                      <w:kern w:val="2"/>
                      <w:sz w:val="21"/>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14:textFill>
                        <w14:solidFill>
                          <w14:schemeClr w14:val="tx1"/>
                        </w14:solidFill>
                      </w14:textFill>
                    </w:rPr>
                    <w:t>故障对系统业务无明显影响，仅造成系统报错、非关键应用无法启动、使用不便、操作不畅等。</w:t>
                  </w:r>
                </w:p>
              </w:tc>
            </w:tr>
          </w:tbl>
          <w:p w14:paraId="4A6A9C7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65" w:name="_Toc25069"/>
            <w:bookmarkStart w:id="66" w:name="_Toc145705381"/>
            <w:bookmarkStart w:id="67" w:name="_Toc63069475"/>
            <w:bookmarkStart w:id="68" w:name="_Toc11014"/>
            <w:bookmarkStart w:id="69" w:name="_Toc25150"/>
            <w:bookmarkStart w:id="70" w:name="_Toc62576208"/>
            <w:bookmarkStart w:id="71" w:name="_Toc181021276"/>
            <w:bookmarkStart w:id="72" w:name="_Toc20164"/>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7.应急保障</w:t>
            </w:r>
            <w:bookmarkEnd w:id="65"/>
            <w:bookmarkEnd w:id="66"/>
            <w:bookmarkEnd w:id="67"/>
            <w:bookmarkEnd w:id="68"/>
            <w:bookmarkEnd w:id="69"/>
            <w:bookmarkEnd w:id="70"/>
            <w:bookmarkEnd w:id="71"/>
            <w:bookmarkEnd w:id="72"/>
          </w:p>
          <w:p w14:paraId="2793F82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7.1制定应急预案</w:t>
            </w:r>
          </w:p>
          <w:p w14:paraId="5165638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统筹建立软件故障应急预案、系统应急预案、信息数据损坏应急预案等，支撑政务数据主管部门按照制定的应急预案定期组织应急演练。</w:t>
            </w:r>
          </w:p>
          <w:p w14:paraId="6EFFC7F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7.2开展应急演练</w:t>
            </w:r>
          </w:p>
          <w:p w14:paraId="59B45E5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为提高系统安全及信息安全突发事件应急响应水平，支撑政务数据主管部门按照制定好的应急预案定期或不定期组织应急演练；并对演练情况进行评估，对预案中存在的问题和不足及时补充、完善。针对演练中发现的问题，补充修订应急预案。</w:t>
            </w:r>
          </w:p>
          <w:p w14:paraId="30C0E7B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1、先期处置</w:t>
            </w:r>
          </w:p>
          <w:p w14:paraId="66DE809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接到应急事件报告后，立即采取防止事态扩大的临时应对措施。</w:t>
            </w:r>
          </w:p>
          <w:p w14:paraId="2D89DDD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2、启动预案</w:t>
            </w:r>
          </w:p>
          <w:p w14:paraId="3B633A6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根据应急事件的等级，支撑政务数据主管部门进行决策启动或授权启动应急预案。</w:t>
            </w:r>
          </w:p>
          <w:p w14:paraId="0E6510B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3、应急处置</w:t>
            </w:r>
          </w:p>
          <w:p w14:paraId="7C2D9F1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处置过程中，如果发现应急处置措施确实存在缺陷，根据应急事件的等级，根据应急处置的具体要求，进行调整应急措施。应急处置结束后，要继续监控系统的运行状况，直至确定可持续正常运行为止。</w:t>
            </w:r>
          </w:p>
          <w:p w14:paraId="3D48122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4、应急结束</w:t>
            </w:r>
          </w:p>
          <w:p w14:paraId="365DEF0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事件经应急处置并得到有效控制后，根据等级批准应急结束。</w:t>
            </w:r>
          </w:p>
          <w:p w14:paraId="54F9C62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5、后期处置</w:t>
            </w:r>
          </w:p>
          <w:p w14:paraId="635ECDB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在应急结束后，迅速采取措施，组织恢复系统的正常运行。应急工作结束后，提交应急工作总结报告。</w:t>
            </w:r>
          </w:p>
          <w:p w14:paraId="0242037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73" w:name="_Toc489299274"/>
            <w:bookmarkStart w:id="74" w:name="_Toc488276526"/>
            <w:bookmarkStart w:id="75" w:name="_Toc87512891"/>
            <w:bookmarkStart w:id="76" w:name="_Toc87458339"/>
            <w:bookmarkStart w:id="77" w:name="_Toc13700"/>
            <w:bookmarkStart w:id="78" w:name="_Toc181021277"/>
            <w:bookmarkStart w:id="79" w:name="_Toc488276284"/>
            <w:bookmarkStart w:id="80" w:name="_Toc9011"/>
            <w:bookmarkStart w:id="81" w:name="_Toc4382"/>
            <w:bookmarkStart w:id="82" w:name="_Toc18428"/>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8.人员培训</w:t>
            </w:r>
            <w:bookmarkEnd w:id="73"/>
            <w:bookmarkEnd w:id="74"/>
            <w:bookmarkEnd w:id="75"/>
            <w:bookmarkEnd w:id="76"/>
            <w:bookmarkEnd w:id="77"/>
            <w:bookmarkEnd w:id="78"/>
            <w:bookmarkEnd w:id="79"/>
            <w:bookmarkEnd w:id="80"/>
            <w:bookmarkEnd w:id="81"/>
            <w:bookmarkEnd w:id="82"/>
          </w:p>
          <w:p w14:paraId="59CA13CE">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培训要求</w:t>
            </w:r>
          </w:p>
          <w:p w14:paraId="61AF8D2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培训任务主要由系统承建方的培训教师来完成，个别对专业技术要求较高的子系统，应由原厂商的培训教师来负责培训以确保培训质量。</w:t>
            </w:r>
          </w:p>
          <w:p w14:paraId="438AC11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培训地点由项目承建方与业主方共同商议确定。</w:t>
            </w:r>
          </w:p>
          <w:p w14:paraId="7F5FD9E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培训教材等资料应经过项目各方评审认可，以确保培训质量。</w:t>
            </w:r>
          </w:p>
          <w:p w14:paraId="1718D9AC">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培训方法</w:t>
            </w:r>
          </w:p>
          <w:p w14:paraId="4619ABC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除了集中培训之外，也可以将培训内容制作成视频文件或多媒体课件，由操作员在网上在线学习或下载后离线自学。</w:t>
            </w:r>
          </w:p>
          <w:p w14:paraId="4FEA08F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培训流程</w:t>
            </w:r>
          </w:p>
          <w:p w14:paraId="4322D10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培训流程可以分为以下六个过程：</w:t>
            </w:r>
          </w:p>
          <w:p w14:paraId="2D3A15A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jc w:val="center"/>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drawing>
                <wp:inline distT="0" distB="0" distL="0" distR="0">
                  <wp:extent cx="1410970" cy="2533015"/>
                  <wp:effectExtent l="0" t="0" r="17780" b="635"/>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图片 5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420197" cy="2548983"/>
                          </a:xfrm>
                          <a:prstGeom prst="rect">
                            <a:avLst/>
                          </a:prstGeom>
                          <a:noFill/>
                        </pic:spPr>
                      </pic:pic>
                    </a:graphicData>
                  </a:graphic>
                </wp:inline>
              </w:drawing>
            </w:r>
          </w:p>
          <w:p w14:paraId="6B291B5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lang w:val="en-US" w:eastAsia="zh-CN"/>
                <w14:textFill>
                  <w14:solidFill>
                    <w14:schemeClr w14:val="tx1"/>
                  </w14:solidFill>
                </w14:textFill>
              </w:rPr>
            </w:pPr>
            <w:r>
              <w:rPr>
                <w:rFonts w:hint="eastAsia" w:ascii="宋体" w:hAnsi="宋体" w:eastAsia="宋体" w:cs="宋体"/>
                <w:color w:val="000000" w:themeColor="text1"/>
                <w:kern w:val="1"/>
                <w:szCs w:val="22"/>
                <w:highlight w:val="none"/>
                <w:lang w:val="en-US" w:eastAsia="zh-CN"/>
                <w14:textFill>
                  <w14:solidFill>
                    <w14:schemeClr w14:val="tx1"/>
                  </w14:solidFill>
                </w14:textFill>
              </w:rPr>
              <w:t>培训流程图</w:t>
            </w:r>
          </w:p>
          <w:p w14:paraId="02CE466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在培训准备阶段，需要检查培训人员是否具备授课的资格，要求填写《教师资格确认表》并提交建设单位审核认可。</w:t>
            </w:r>
          </w:p>
          <w:p w14:paraId="2488BA4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主要通过学员的《培训结果反馈表》《课程反馈表》以及《个人总结报告》来获得培训效果反馈。承建方提交培训总结报告，应全面、客观地总结分析经验教训及培训成效。</w:t>
            </w:r>
          </w:p>
          <w:p w14:paraId="4153DAF8">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bookmarkStart w:id="83" w:name="_Toc489299277"/>
            <w:r>
              <w:rPr>
                <w:rFonts w:hint="eastAsia" w:ascii="宋体" w:hAnsi="宋体" w:eastAsia="宋体" w:cs="宋体"/>
                <w:color w:val="000000" w:themeColor="text1"/>
                <w:kern w:val="1"/>
                <w:szCs w:val="22"/>
                <w:highlight w:val="none"/>
                <w14:textFill>
                  <w14:solidFill>
                    <w14:schemeClr w14:val="tx1"/>
                  </w14:solidFill>
                </w14:textFill>
              </w:rPr>
              <w:t>培训内容</w:t>
            </w:r>
            <w:bookmarkEnd w:id="83"/>
          </w:p>
          <w:p w14:paraId="276EE42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培训内容主要包括：服务器管理、安装、调试、故障处理等；数据库管理、安装、配置、故障处理等；软件的安装、配置、故障处理；安全管理；工具的简单应用；应用系统的操作应用、运行维护等知识。</w:t>
            </w:r>
          </w:p>
          <w:p w14:paraId="474EC86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具体培训内容需要在项目开展过程中视具体情况而定，但至少包含以下四种类型的培训：</w:t>
            </w:r>
          </w:p>
          <w:p w14:paraId="4B0B97D3">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标准规范体系培训（每年不少于1次）</w:t>
            </w:r>
          </w:p>
          <w:p w14:paraId="489DC1D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内容：应用系统的体系规范标准；</w:t>
            </w:r>
          </w:p>
          <w:p w14:paraId="46F309A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培训对象：业务人员；</w:t>
            </w:r>
          </w:p>
          <w:p w14:paraId="3BF224CF">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应用系统培训（每年不少于2次）</w:t>
            </w:r>
          </w:p>
          <w:p w14:paraId="066BC0D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内容：各个应用子系统的使用；</w:t>
            </w:r>
          </w:p>
          <w:p w14:paraId="25885A6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培训对象：业务人员；</w:t>
            </w:r>
          </w:p>
          <w:p w14:paraId="091E8A2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安全的基础知识（每年不少于2次）</w:t>
            </w:r>
          </w:p>
          <w:p w14:paraId="4174290A">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内容：安全方面的基础知识；</w:t>
            </w:r>
          </w:p>
          <w:p w14:paraId="588DE764">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培训对象：系统管理和运行维护人员；</w:t>
            </w:r>
          </w:p>
          <w:p w14:paraId="616F92C0">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软件设计、开发培训（每年不少于1次）</w:t>
            </w:r>
          </w:p>
          <w:p w14:paraId="3A6A7777">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内容：了解和掌握数据库、应用支撑平台开发、开发工具的使用；</w:t>
            </w:r>
          </w:p>
          <w:p w14:paraId="373B8DF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培训对象：系统管理和运行维护人员。</w:t>
            </w:r>
          </w:p>
          <w:p w14:paraId="469FBB11">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leftChars="0" w:firstLine="0" w:firstLineChars="0"/>
              <w:rPr>
                <w:rFonts w:hint="eastAsia" w:ascii="宋体" w:hAnsi="宋体" w:eastAsia="宋体" w:cs="宋体"/>
                <w:b/>
                <w:bCs/>
                <w:color w:val="000000" w:themeColor="text1"/>
                <w:kern w:val="1"/>
                <w:szCs w:val="22"/>
                <w:highlight w:val="none"/>
                <w:lang w:val="en-US" w:eastAsia="zh-CN"/>
                <w14:textFill>
                  <w14:solidFill>
                    <w14:schemeClr w14:val="tx1"/>
                  </w14:solidFill>
                </w14:textFill>
              </w:rPr>
            </w:pPr>
            <w:bookmarkStart w:id="84" w:name="_Toc24218"/>
            <w:bookmarkStart w:id="85" w:name="_Toc27610"/>
            <w:bookmarkStart w:id="86" w:name="_Toc193"/>
            <w:bookmarkStart w:id="87" w:name="_Toc22607"/>
            <w:bookmarkStart w:id="88" w:name="_Toc181021278"/>
            <w:r>
              <w:rPr>
                <w:rFonts w:hint="eastAsia" w:ascii="宋体" w:hAnsi="宋体" w:eastAsia="宋体" w:cs="宋体"/>
                <w:b/>
                <w:bCs/>
                <w:color w:val="000000" w:themeColor="text1"/>
                <w:kern w:val="1"/>
                <w:szCs w:val="22"/>
                <w:highlight w:val="none"/>
                <w:lang w:val="en-US" w:eastAsia="zh-CN"/>
                <w14:textFill>
                  <w14:solidFill>
                    <w14:schemeClr w14:val="tx1"/>
                  </w14:solidFill>
                </w14:textFill>
              </w:rPr>
              <w:t>9.运维服务交付物</w:t>
            </w:r>
            <w:bookmarkEnd w:id="84"/>
            <w:bookmarkEnd w:id="85"/>
            <w:bookmarkEnd w:id="86"/>
            <w:bookmarkEnd w:id="87"/>
            <w:bookmarkEnd w:id="88"/>
          </w:p>
          <w:p w14:paraId="367D12B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针对本项目运维服务工作，运维服务提供商需通过服务报告和服务日志两种机制向提供服务交付文档，并且作为检验运维服务工作的根本依据。</w:t>
            </w:r>
          </w:p>
          <w:p w14:paraId="7D43AB39">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服务报告机制</w:t>
            </w:r>
          </w:p>
          <w:p w14:paraId="540CB0AD">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在各个阶段（月、季、年）的运维服务报告中，针对当期遇到的各类问题及时进行分析、总结，整理编写运维服务报告，在当前运维周期结束一周内完成并提交相关部门审核通过后，向相关业务部门以会议或文件的形式进行对本月运维工作进行汇报，让业务部门能够及时了解各个系统的运维情况。</w:t>
            </w:r>
          </w:p>
          <w:p w14:paraId="0693DD7B">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kern w:val="1"/>
                <w:szCs w:val="22"/>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服务日志机制</w:t>
            </w:r>
          </w:p>
          <w:p w14:paraId="2E2790F5">
            <w:pPr>
              <w:pBdr>
                <w:top w:val="none" w:color="000000" w:sz="0" w:space="0"/>
                <w:left w:val="none" w:color="000000" w:sz="0" w:space="0"/>
                <w:bottom w:val="none" w:color="000000" w:sz="0" w:space="0"/>
                <w:right w:val="none" w:color="000000" w:sz="0" w:space="0"/>
                <w:between w:val="none" w:color="000000" w:sz="0" w:space="0"/>
              </w:pBdr>
              <w:bidi w:val="0"/>
              <w:spacing w:line="360" w:lineRule="auto"/>
              <w:ind w:left="0"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1"/>
                <w:szCs w:val="22"/>
                <w:highlight w:val="none"/>
                <w14:textFill>
                  <w14:solidFill>
                    <w14:schemeClr w14:val="tx1"/>
                  </w14:solidFill>
                </w14:textFill>
              </w:rPr>
              <w:t>通过热线电话、在线服务管理平台以及其他服务方式，对提出的服务申请以及问题反馈，逐一记录、整理，形成工作日志，作为服务交付成果组成部分。</w:t>
            </w:r>
          </w:p>
        </w:tc>
      </w:tr>
    </w:tbl>
    <w:p w14:paraId="6B021AC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652F2F">
      <w:pPr>
        <w:rPr>
          <w:rFonts w:hint="eastAsia"/>
          <w:color w:val="000000" w:themeColor="text1"/>
          <w:highlight w:val="none"/>
          <w14:textFill>
            <w14:solidFill>
              <w14:schemeClr w14:val="tx1"/>
            </w14:solidFill>
          </w14:textFill>
        </w:rPr>
      </w:pPr>
    </w:p>
    <w:p w14:paraId="7782DC7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89" w:name="_Toc18682"/>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89"/>
    </w:p>
    <w:p w14:paraId="1A1716A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0" w:name="_Toc532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90"/>
    </w:p>
    <w:p w14:paraId="32277ED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阳江市市场监督管理局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rFonts w:hint="eastAsia"/>
          <w:color w:val="000000" w:themeColor="text1"/>
          <w:highlight w:val="none"/>
          <w14:textFill>
            <w14:solidFill>
              <w14:schemeClr w14:val="tx1"/>
            </w14:solidFill>
          </w14:textFill>
        </w:rPr>
      </w:pPr>
    </w:p>
    <w:p w14:paraId="0298AE41">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1" w:name="_Toc2165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91"/>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2"/>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2"/>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2"/>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22"/>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22"/>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22"/>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（内含“开标一览表”、“法定代表人（负责人）证明书”和“法定代表人（负责人）授权书”）</w:t>
            </w:r>
          </w:p>
          <w:p w14:paraId="591705EC">
            <w:pPr>
              <w:pStyle w:val="22"/>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22"/>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22"/>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22"/>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22"/>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2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22"/>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当招标代理服务费计算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2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asciiTheme="minorEastAsia" w:hAnsiTheme="minorEastAsia" w:cstheme="minorEastAsia"/>
                <w:color w:val="000000" w:themeColor="text1"/>
                <w:sz w:val="21"/>
                <w:szCs w:val="21"/>
                <w:highlight w:val="none"/>
                <w14:textFill>
                  <w14:solidFill>
                    <w14:schemeClr w14:val="tx1"/>
                  </w14:solidFill>
                </w14:textFill>
              </w:rPr>
              <w:t>本项目不属于专门面向中小企业采购的项目</w:t>
            </w:r>
            <w:r>
              <w:rPr>
                <w:rFonts w:hint="eastAsia" w:ascii="宋体" w:hAnsi="宋体" w:cs="宋体"/>
                <w:color w:val="000000" w:themeColor="text1"/>
                <w:highlight w:val="none"/>
                <w:lang w:val="en-US" w:eastAsia="zh-CN"/>
                <w14:textFill>
                  <w14:solidFill>
                    <w14:schemeClr w14:val="tx1"/>
                  </w14:solidFill>
                </w14:textFill>
              </w:rPr>
              <w:t>。</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79E1CFCF">
      <w:pPr>
        <w:rPr>
          <w:rFonts w:hint="eastAsia"/>
          <w:color w:val="000000" w:themeColor="text1"/>
          <w:highlight w:val="none"/>
          <w14:textFill>
            <w14:solidFill>
              <w14:schemeClr w14:val="tx1"/>
            </w14:solidFill>
          </w14:textFill>
        </w:rPr>
      </w:pPr>
    </w:p>
    <w:p w14:paraId="327CE6C0">
      <w:pPr>
        <w:rPr>
          <w:rFonts w:hint="eastAsia"/>
          <w:color w:val="000000" w:themeColor="text1"/>
          <w:highlight w:val="none"/>
          <w14:textFill>
            <w14:solidFill>
              <w14:schemeClr w14:val="tx1"/>
            </w14:solidFill>
          </w14:textFill>
        </w:rPr>
      </w:pPr>
    </w:p>
    <w:p w14:paraId="5C028B5A">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2" w:name="_Toc1864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92"/>
    </w:p>
    <w:p w14:paraId="7CD36959">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3" w:name="_Toc1459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93"/>
    </w:p>
    <w:p w14:paraId="180ADBD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4" w:name="_Toc271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94"/>
    </w:p>
    <w:p w14:paraId="3B575A99">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22"/>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22"/>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95" w:name="_Toc366072519"/>
      <w:bookmarkStart w:id="96" w:name="_Toc336681926"/>
      <w:bookmarkStart w:id="97" w:name="_Toc333935337"/>
      <w:bookmarkStart w:id="98" w:name="_Toc331684029"/>
      <w:bookmarkStart w:id="99" w:name="_Toc342060365"/>
      <w:bookmarkStart w:id="100" w:name="_Toc333935678"/>
      <w:bookmarkStart w:id="101" w:name="_Toc332270337"/>
      <w:bookmarkStart w:id="102" w:name="_Toc349127617"/>
      <w:bookmarkStart w:id="103" w:name="_Toc330459976"/>
      <w:bookmarkStart w:id="104" w:name="_Toc365967064"/>
      <w:bookmarkStart w:id="105" w:name="_Toc345513858"/>
      <w:bookmarkStart w:id="106" w:name="_Toc340507433"/>
      <w:bookmarkStart w:id="107" w:name="_Toc350438740"/>
      <w:bookmarkStart w:id="108" w:name="_Toc339020086"/>
      <w:bookmarkStart w:id="109" w:name="_Toc340677061"/>
      <w:bookmarkStart w:id="110" w:name="_Toc374454591"/>
      <w:bookmarkStart w:id="111" w:name="_Toc339019880"/>
      <w:bookmarkStart w:id="112" w:name="_Toc333238624"/>
      <w:bookmarkStart w:id="113" w:name="_Toc341348329"/>
      <w:bookmarkStart w:id="114" w:name="_Toc331512889"/>
      <w:bookmarkStart w:id="115" w:name="_Toc340672860"/>
      <w:bookmarkStart w:id="116" w:name="_Toc365985170"/>
      <w:bookmarkStart w:id="117" w:name="_Toc339020224"/>
      <w:bookmarkStart w:id="118" w:name="_Toc333237779"/>
      <w:bookmarkStart w:id="119" w:name="_Toc339020006"/>
      <w:bookmarkStart w:id="120" w:name="_Toc339441078"/>
      <w:bookmarkStart w:id="121" w:name="_Toc332206699"/>
      <w:bookmarkStart w:id="122" w:name="_Toc497224218"/>
      <w:bookmarkStart w:id="123" w:name="_Toc342296751"/>
      <w:bookmarkStart w:id="124" w:name="_Toc339362291"/>
      <w:bookmarkStart w:id="125" w:name="_Toc336681571"/>
      <w:bookmarkStart w:id="126" w:name="_Toc349143580"/>
      <w:bookmarkStart w:id="127" w:name="_Toc337632349"/>
      <w:bookmarkStart w:id="128" w:name="_Toc350756441"/>
      <w:bookmarkStart w:id="129" w:name="_Toc333237668"/>
      <w:bookmarkStart w:id="130" w:name="_Toc503785420"/>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131" w:name="_Toc365967067"/>
      <w:bookmarkStart w:id="132" w:name="_Toc349143583"/>
      <w:bookmarkStart w:id="133" w:name="_Toc339020089"/>
      <w:bookmarkStart w:id="134" w:name="_Toc340677064"/>
      <w:bookmarkStart w:id="135" w:name="_Toc336681929"/>
      <w:bookmarkStart w:id="136" w:name="_Toc332206702"/>
      <w:bookmarkStart w:id="137" w:name="_Toc365985173"/>
      <w:bookmarkStart w:id="138" w:name="_Toc339019883"/>
      <w:bookmarkStart w:id="139" w:name="_Toc366072522"/>
      <w:bookmarkStart w:id="140" w:name="_Toc331512892"/>
      <w:bookmarkStart w:id="141" w:name="_Toc333237782"/>
      <w:bookmarkStart w:id="142" w:name="_Toc339441081"/>
      <w:bookmarkStart w:id="143" w:name="_Toc330459979"/>
      <w:bookmarkStart w:id="144" w:name="_Toc333935340"/>
      <w:bookmarkStart w:id="145" w:name="_Toc342296754"/>
      <w:bookmarkStart w:id="146" w:name="_Toc17227"/>
      <w:bookmarkStart w:id="147" w:name="_Toc374454594"/>
      <w:bookmarkStart w:id="148" w:name="_Toc333935681"/>
      <w:bookmarkStart w:id="149" w:name="_Toc503785423"/>
      <w:bookmarkStart w:id="150" w:name="_Toc340672863"/>
      <w:bookmarkStart w:id="151" w:name="_Toc345513861"/>
      <w:bookmarkStart w:id="152" w:name="_Toc497224221"/>
      <w:bookmarkStart w:id="153" w:name="_Toc350438743"/>
      <w:bookmarkStart w:id="154" w:name="_Toc342060368"/>
      <w:bookmarkStart w:id="155" w:name="_Toc333237671"/>
      <w:bookmarkStart w:id="156" w:name="_Toc340507436"/>
      <w:bookmarkStart w:id="157" w:name="_Toc339362294"/>
      <w:bookmarkStart w:id="158" w:name="_Toc333238627"/>
      <w:bookmarkStart w:id="159" w:name="_Toc339020009"/>
      <w:bookmarkStart w:id="160" w:name="_Toc331684032"/>
      <w:bookmarkStart w:id="161" w:name="_Toc337632352"/>
      <w:bookmarkStart w:id="162" w:name="_Toc350756444"/>
      <w:bookmarkStart w:id="163" w:name="_Toc336681574"/>
      <w:bookmarkStart w:id="164" w:name="_Toc341348332"/>
      <w:bookmarkStart w:id="165" w:name="_Toc339020227"/>
      <w:bookmarkStart w:id="166" w:name="_Toc349127620"/>
      <w:bookmarkStart w:id="167" w:name="_Toc332270340"/>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68" w:name="_Toc2165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168"/>
    </w:p>
    <w:p w14:paraId="161C8DFB">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69" w:name="_Toc280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169"/>
    </w:p>
    <w:p w14:paraId="6586F6C9">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70" w:name="_Toc3115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170"/>
    </w:p>
    <w:p w14:paraId="78BC0CC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71" w:name="_Toc19376"/>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171"/>
    </w:p>
    <w:p w14:paraId="4D6611C0">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72" w:name="_Toc161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172"/>
    </w:p>
    <w:p w14:paraId="301AE487">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73" w:name="_Toc716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173"/>
    </w:p>
    <w:p w14:paraId="7690B820">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8"/>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43730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7B31CB20">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4F3C482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120C9FF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0B3F226">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59E5265A">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23435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04AAF075">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53B4FEC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058CB88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top"/>
          </w:tcPr>
          <w:p w14:paraId="53E0D43D">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78278CB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3D10F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091E704A">
            <w:pPr>
              <w:pStyle w:val="22"/>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4A30B27B">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4CFB3889">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D7CB30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5339E74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31D9B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13BCDFB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74" w:name="_Toc1779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评审程序</w:t>
      </w:r>
      <w:bookmarkEnd w:id="174"/>
    </w:p>
    <w:p w14:paraId="0877031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32E55402">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3A321888">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70ACC952">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14176511">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1413FCA8">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r w14:paraId="2189E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E4E0823">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4644F90B">
            <w:pPr>
              <w:pStyle w:val="22"/>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本项目不接受联合体投标</w:t>
            </w:r>
          </w:p>
        </w:tc>
        <w:tc>
          <w:tcPr>
            <w:tcW w:w="5772" w:type="dxa"/>
            <w:vAlign w:val="top"/>
          </w:tcPr>
          <w:p w14:paraId="7203A06F">
            <w:pPr>
              <w:pStyle w:val="22"/>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本项目不接受联合体投标</w:t>
            </w:r>
          </w:p>
        </w:tc>
      </w:tr>
    </w:tbl>
    <w:p w14:paraId="15B116F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BB47D41">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0C08A8BF">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51898E1C">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8475FD3">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1C769C7B">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7E753EAF">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合同签订日起6个月内完成交付（含试运行3个月），交付验收通过之日起提供3年的运行维护服务。（超出该完工期作无效投标处理）</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0525E0E4">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eastAsia="zh-CN"/>
                <w14:textFill>
                  <w14:solidFill>
                    <w14:schemeClr w14:val="tx1"/>
                  </w14:solidFill>
                </w14:textFill>
              </w:rPr>
              <w:t>885963.48</w:t>
            </w:r>
            <w:r>
              <w:rPr>
                <w:rFonts w:hint="eastAsia"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2342A39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872C613">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1D98FD6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8"/>
        <w:tblW w:w="9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1668"/>
        <w:gridCol w:w="6183"/>
      </w:tblGrid>
      <w:tr w14:paraId="0DA4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390" w:type="dxa"/>
            <w:shd w:val="clear" w:color="auto" w:fill="auto"/>
            <w:noWrap/>
            <w:vAlign w:val="center"/>
          </w:tcPr>
          <w:p w14:paraId="664ED28C">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7851" w:type="dxa"/>
            <w:gridSpan w:val="2"/>
            <w:shd w:val="clear" w:color="auto" w:fill="auto"/>
            <w:noWrap/>
            <w:vAlign w:val="center"/>
          </w:tcPr>
          <w:p w14:paraId="2BCE21A3">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6007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390" w:type="dxa"/>
            <w:shd w:val="clear" w:color="auto" w:fill="auto"/>
            <w:noWrap/>
            <w:vAlign w:val="center"/>
          </w:tcPr>
          <w:p w14:paraId="5E50A959">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7851" w:type="dxa"/>
            <w:gridSpan w:val="2"/>
            <w:shd w:val="clear" w:color="auto" w:fill="auto"/>
            <w:noWrap/>
            <w:vAlign w:val="top"/>
          </w:tcPr>
          <w:p w14:paraId="12D1437D">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25.0</w:t>
            </w:r>
            <w:r>
              <w:rPr>
                <w:rFonts w:hint="eastAsia" w:ascii="宋体" w:hAnsi="宋体" w:eastAsia="宋体" w:cs="宋体"/>
                <w:color w:val="000000" w:themeColor="text1"/>
                <w:sz w:val="21"/>
                <w:szCs w:val="21"/>
                <w:highlight w:val="none"/>
                <w14:textFill>
                  <w14:solidFill>
                    <w14:schemeClr w14:val="tx1"/>
                  </w14:solidFill>
                </w14:textFill>
              </w:rPr>
              <w:t>分</w:t>
            </w:r>
          </w:p>
          <w:p w14:paraId="742FF629">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65.0</w:t>
            </w:r>
            <w:r>
              <w:rPr>
                <w:rFonts w:hint="eastAsia" w:ascii="宋体" w:hAnsi="宋体" w:eastAsia="宋体" w:cs="宋体"/>
                <w:color w:val="000000" w:themeColor="text1"/>
                <w:sz w:val="21"/>
                <w:szCs w:val="21"/>
                <w:highlight w:val="none"/>
                <w14:textFill>
                  <w14:solidFill>
                    <w14:schemeClr w14:val="tx1"/>
                  </w14:solidFill>
                </w14:textFill>
              </w:rPr>
              <w:t>分</w:t>
            </w:r>
          </w:p>
          <w:p w14:paraId="32A0AF07">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10.0</w:t>
            </w:r>
            <w:r>
              <w:rPr>
                <w:rFonts w:hint="eastAsia" w:ascii="宋体" w:hAnsi="宋体" w:eastAsia="宋体" w:cs="宋体"/>
                <w:color w:val="000000" w:themeColor="text1"/>
                <w:sz w:val="21"/>
                <w:szCs w:val="21"/>
                <w:highlight w:val="none"/>
                <w14:textFill>
                  <w14:solidFill>
                    <w14:schemeClr w14:val="tx1"/>
                  </w14:solidFill>
                </w14:textFill>
              </w:rPr>
              <w:t>分</w:t>
            </w:r>
          </w:p>
        </w:tc>
      </w:tr>
      <w:tr w14:paraId="12FA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restart"/>
            <w:shd w:val="clear" w:color="auto" w:fill="auto"/>
            <w:noWrap/>
            <w:vAlign w:val="center"/>
          </w:tcPr>
          <w:p w14:paraId="7AAA7AED">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技术部分</w:t>
            </w:r>
          </w:p>
        </w:tc>
        <w:tc>
          <w:tcPr>
            <w:tcW w:w="1668" w:type="dxa"/>
            <w:shd w:val="clear" w:color="auto" w:fill="auto"/>
            <w:noWrap/>
            <w:vAlign w:val="center"/>
          </w:tcPr>
          <w:p w14:paraId="5C72EA51">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技术参数响应程度 (</w:t>
            </w:r>
            <w:r>
              <w:rPr>
                <w:rFonts w:hint="eastAsia" w:ascii="宋体" w:hAnsi="宋体" w:eastAsia="宋体" w:cs="宋体"/>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183" w:type="dxa"/>
            <w:shd w:val="clear" w:color="auto" w:fill="auto"/>
            <w:noWrap/>
            <w:vAlign w:val="top"/>
          </w:tcPr>
          <w:p w14:paraId="3F088F29">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根据投标人提交的投标文件对应招标文件的技术要求等响应情况进行评审，完全满足或优于招标文件要求的得18分。</w:t>
            </w:r>
          </w:p>
          <w:p w14:paraId="097CBFFE">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w:t>
            </w:r>
            <w:r>
              <w:rPr>
                <w:rFonts w:hint="eastAsia" w:ascii="宋体" w:hAnsi="宋体" w:eastAsia="宋体" w:cs="宋体"/>
                <w:color w:val="000000" w:themeColor="text1"/>
                <w:sz w:val="21"/>
                <w:szCs w:val="21"/>
                <w:highlight w:val="none"/>
                <w:lang w:val="en-US" w:eastAsia="zh-CN"/>
                <w14:textFill>
                  <w14:solidFill>
                    <w14:schemeClr w14:val="tx1"/>
                  </w14:solidFill>
                </w14:textFill>
              </w:rPr>
              <w:t>技术要求中</w:t>
            </w:r>
            <w:r>
              <w:rPr>
                <w:rFonts w:hint="eastAsia" w:ascii="宋体" w:hAnsi="宋体" w:eastAsia="宋体" w:cs="宋体"/>
                <w:color w:val="000000" w:themeColor="text1"/>
                <w:sz w:val="21"/>
                <w:szCs w:val="21"/>
                <w:highlight w:val="none"/>
                <w14:textFill>
                  <w14:solidFill>
                    <w14:schemeClr w14:val="tx1"/>
                  </w14:solidFill>
                </w14:textFill>
              </w:rPr>
              <w:t>带“▲”的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为重要</w:t>
            </w:r>
            <w:r>
              <w:rPr>
                <w:rFonts w:hint="eastAsia" w:ascii="宋体" w:hAnsi="宋体" w:eastAsia="宋体" w:cs="宋体"/>
                <w:color w:val="000000" w:themeColor="text1"/>
                <w:sz w:val="21"/>
                <w:szCs w:val="21"/>
                <w:highlight w:val="none"/>
                <w14:textFill>
                  <w14:solidFill>
                    <w14:schemeClr w14:val="tx1"/>
                  </w14:solidFill>
                </w14:textFill>
              </w:rPr>
              <w:t>技术参数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共6项</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，完全满足的得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,未响应或不满足，每条扣3分。</w:t>
            </w:r>
          </w:p>
          <w:p w14:paraId="3AD10FAC">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注：按招标文件要求提供证明材料，不提供不得分。</w:t>
            </w:r>
          </w:p>
        </w:tc>
      </w:tr>
      <w:tr w14:paraId="23FA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continue"/>
            <w:shd w:val="clear" w:color="auto" w:fill="auto"/>
            <w:noWrap/>
            <w:vAlign w:val="center"/>
          </w:tcPr>
          <w:p w14:paraId="5FE349F6">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shd w:val="clear" w:color="auto" w:fill="auto"/>
            <w:noWrap/>
            <w:vAlign w:val="center"/>
          </w:tcPr>
          <w:p w14:paraId="0BAFE870">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整体服务方案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（20.0分）</w:t>
            </w:r>
          </w:p>
        </w:tc>
        <w:tc>
          <w:tcPr>
            <w:tcW w:w="6183" w:type="dxa"/>
            <w:shd w:val="clear" w:color="auto" w:fill="auto"/>
            <w:noWrap/>
          </w:tcPr>
          <w:p w14:paraId="01C69E5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Hans"/>
                <w14:textFill>
                  <w14:solidFill>
                    <w14:schemeClr w14:val="tx1"/>
                  </w14:solidFill>
                </w14:textFill>
              </w:rPr>
              <w:t>提供整体服务方案，包括总体目标、实施步骤、资源调配计划等。要求内容准确、科学合理、条理清晰。</w:t>
            </w:r>
          </w:p>
          <w:p w14:paraId="68BA9D4A">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1.整体服务方案内容准确</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科学合理、条理清晰，</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lang w:val="en-US" w:eastAsia="zh-Hans"/>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Hans"/>
                <w14:textFill>
                  <w14:solidFill>
                    <w14:schemeClr w14:val="tx1"/>
                  </w14:solidFill>
                </w14:textFill>
              </w:rPr>
              <w:t xml:space="preserve">分； </w:t>
            </w:r>
          </w:p>
          <w:p w14:paraId="7073B3CD">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2.整体服务方案内容</w:t>
            </w:r>
            <w:r>
              <w:rPr>
                <w:rFonts w:hint="eastAsia" w:ascii="宋体" w:hAnsi="宋体" w:eastAsia="宋体" w:cs="宋体"/>
                <w:color w:val="000000" w:themeColor="text1"/>
                <w:sz w:val="21"/>
                <w:szCs w:val="21"/>
                <w:highlight w:val="none"/>
                <w:lang w:val="en-US" w:eastAsia="zh-CN"/>
                <w14:textFill>
                  <w14:solidFill>
                    <w14:schemeClr w14:val="tx1"/>
                  </w14:solidFill>
                </w14:textFill>
              </w:rPr>
              <w:t>较</w:t>
            </w:r>
            <w:r>
              <w:rPr>
                <w:rFonts w:hint="eastAsia" w:ascii="宋体" w:hAnsi="宋体" w:eastAsia="宋体" w:cs="宋体"/>
                <w:color w:val="000000" w:themeColor="text1"/>
                <w:sz w:val="21"/>
                <w:szCs w:val="21"/>
                <w:highlight w:val="none"/>
                <w:lang w:val="en-US" w:eastAsia="zh-Hans"/>
                <w14:textFill>
                  <w14:solidFill>
                    <w14:schemeClr w14:val="tx1"/>
                  </w14:solidFill>
                </w14:textFill>
              </w:rPr>
              <w:t>准确</w:t>
            </w:r>
            <w:r>
              <w:rPr>
                <w:rFonts w:hint="eastAsia" w:ascii="宋体" w:hAnsi="宋体" w:eastAsia="宋体" w:cs="宋体"/>
                <w:color w:val="000000" w:themeColor="text1"/>
                <w:sz w:val="21"/>
                <w:szCs w:val="21"/>
                <w:highlight w:val="none"/>
                <w:lang w:val="en-US" w:eastAsia="zh-CN"/>
                <w14:textFill>
                  <w14:solidFill>
                    <w14:schemeClr w14:val="tx1"/>
                  </w14:solidFill>
                </w14:textFill>
              </w:rPr>
              <w:t>、较</w:t>
            </w:r>
            <w:r>
              <w:rPr>
                <w:rFonts w:hint="eastAsia" w:ascii="宋体" w:hAnsi="宋体" w:eastAsia="宋体" w:cs="宋体"/>
                <w:color w:val="000000" w:themeColor="text1"/>
                <w:sz w:val="21"/>
                <w:szCs w:val="21"/>
                <w:highlight w:val="none"/>
                <w:lang w:val="en-US" w:eastAsia="zh-Hans"/>
                <w14:textFill>
                  <w14:solidFill>
                    <w14:schemeClr w14:val="tx1"/>
                  </w14:solidFill>
                </w14:textFill>
              </w:rPr>
              <w:t>合理、条理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较</w:t>
            </w:r>
            <w:r>
              <w:rPr>
                <w:rFonts w:hint="eastAsia" w:ascii="宋体" w:hAnsi="宋体" w:eastAsia="宋体" w:cs="宋体"/>
                <w:color w:val="000000" w:themeColor="text1"/>
                <w:sz w:val="21"/>
                <w:szCs w:val="21"/>
                <w:highlight w:val="none"/>
                <w:lang w:val="en-US" w:eastAsia="zh-Hans"/>
                <w14:textFill>
                  <w14:solidFill>
                    <w14:schemeClr w14:val="tx1"/>
                  </w14:solidFill>
                </w14:textFill>
              </w:rPr>
              <w:t>清晰，</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lang w:val="en-US" w:eastAsia="zh-Hans"/>
                <w14:textFill>
                  <w14:solidFill>
                    <w14:schemeClr w14:val="tx1"/>
                  </w14:solidFill>
                </w14:textFill>
              </w:rPr>
              <w:t>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lang w:val="en-US" w:eastAsia="zh-Hans"/>
                <w14:textFill>
                  <w14:solidFill>
                    <w14:schemeClr w14:val="tx1"/>
                  </w14:solidFill>
                </w14:textFill>
              </w:rPr>
              <w:t xml:space="preserve">分； </w:t>
            </w:r>
          </w:p>
          <w:p w14:paraId="1DF0FCBB">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3.整体服务方案内容</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lang w:val="en-US" w:eastAsia="zh-Hans"/>
                <w14:textFill>
                  <w14:solidFill>
                    <w14:schemeClr w14:val="tx1"/>
                  </w14:solidFill>
                </w14:textFill>
              </w:rPr>
              <w:t>准确</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lang w:val="en-US" w:eastAsia="zh-Hans"/>
                <w14:textFill>
                  <w14:solidFill>
                    <w14:schemeClr w14:val="tx1"/>
                  </w14:solidFill>
                </w14:textFill>
              </w:rPr>
              <w:t>合理、条理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lang w:val="en-US" w:eastAsia="zh-Hans"/>
                <w14:textFill>
                  <w14:solidFill>
                    <w14:schemeClr w14:val="tx1"/>
                  </w14:solidFill>
                </w14:textFill>
              </w:rPr>
              <w:t>清晰，部分满足采购需求，得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Hans"/>
                <w14:textFill>
                  <w14:solidFill>
                    <w14:schemeClr w14:val="tx1"/>
                  </w14:solidFill>
                </w14:textFill>
              </w:rPr>
              <w:t>分；</w:t>
            </w:r>
          </w:p>
          <w:p w14:paraId="376217FF">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4.整体服务方案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内容</w:t>
            </w:r>
            <w:r>
              <w:rPr>
                <w:rFonts w:hint="eastAsia" w:ascii="宋体" w:hAnsi="宋体" w:eastAsia="宋体" w:cs="宋体"/>
                <w:color w:val="000000" w:themeColor="text1"/>
                <w:sz w:val="21"/>
                <w:szCs w:val="21"/>
                <w:highlight w:val="none"/>
                <w:lang w:val="en-US" w:eastAsia="zh-Hans"/>
                <w14:textFill>
                  <w14:solidFill>
                    <w14:schemeClr w14:val="tx1"/>
                  </w14:solidFill>
                </w14:textFill>
              </w:rPr>
              <w:t>欠缺，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val="en-US" w:eastAsia="zh-Hans"/>
                <w14:textFill>
                  <w14:solidFill>
                    <w14:schemeClr w14:val="tx1"/>
                  </w14:solidFill>
                </w14:textFill>
              </w:rPr>
              <w:t>合理、条理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val="en-US" w:eastAsia="zh-Hans"/>
                <w14:textFill>
                  <w14:solidFill>
                    <w14:schemeClr w14:val="tx1"/>
                  </w14:solidFill>
                </w14:textFill>
              </w:rPr>
              <w:t xml:space="preserve">清晰，未能满足采购需求，得1分； </w:t>
            </w:r>
          </w:p>
          <w:p w14:paraId="2BB9F5BE">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5.不提供不得分</w:t>
            </w:r>
          </w:p>
        </w:tc>
      </w:tr>
      <w:tr w14:paraId="52E2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continue"/>
            <w:shd w:val="clear" w:color="auto" w:fill="auto"/>
            <w:noWrap/>
            <w:vAlign w:val="center"/>
          </w:tcPr>
          <w:p w14:paraId="38CF016F">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shd w:val="clear" w:color="auto" w:fill="auto"/>
            <w:noWrap/>
            <w:vAlign w:val="center"/>
          </w:tcPr>
          <w:p w14:paraId="3A56ABA7">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应急保障方案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15.0分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6183" w:type="dxa"/>
            <w:shd w:val="clear" w:color="auto" w:fill="auto"/>
            <w:noWrap/>
          </w:tcPr>
          <w:p w14:paraId="1ECB684B">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提供智慧监管大屏</w:t>
            </w:r>
            <w:r>
              <w:rPr>
                <w:rFonts w:hint="eastAsia" w:ascii="宋体" w:hAnsi="宋体" w:eastAsia="宋体" w:cs="宋体"/>
                <w:color w:val="000000" w:themeColor="text1"/>
                <w:sz w:val="21"/>
                <w:szCs w:val="21"/>
                <w:highlight w:val="none"/>
                <w:lang w:val="en-US" w:eastAsia="zh-CN"/>
                <w14:textFill>
                  <w14:solidFill>
                    <w14:schemeClr w14:val="tx1"/>
                  </w14:solidFill>
                </w14:textFill>
              </w:rPr>
              <w:t>硬件设备和明厨亮灶软件平台的</w:t>
            </w:r>
            <w:r>
              <w:rPr>
                <w:rFonts w:hint="eastAsia" w:ascii="宋体" w:hAnsi="宋体" w:eastAsia="宋体" w:cs="宋体"/>
                <w:color w:val="000000" w:themeColor="text1"/>
                <w:sz w:val="21"/>
                <w:szCs w:val="21"/>
                <w:highlight w:val="none"/>
                <w14:textFill>
                  <w14:solidFill>
                    <w14:schemeClr w14:val="tx1"/>
                  </w14:solidFill>
                </w14:textFill>
              </w:rPr>
              <w:t>应急保障方案，包括常见的故障和告警排查分析方法、人员组织及对应的抢修和应急处置措施</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在时效、质量等指标上要满足招标文件要求</w:t>
            </w:r>
            <w:r>
              <w:rPr>
                <w:rFonts w:hint="eastAsia" w:ascii="宋体" w:hAnsi="宋体" w:eastAsia="宋体" w:cs="宋体"/>
                <w:color w:val="000000" w:themeColor="text1"/>
                <w:sz w:val="21"/>
                <w:szCs w:val="21"/>
                <w:highlight w:val="none"/>
                <w14:textFill>
                  <w14:solidFill>
                    <w14:schemeClr w14:val="tx1"/>
                  </w14:solidFill>
                </w14:textFill>
              </w:rPr>
              <w:t>。要求内容准确、科学合理、条理清晰。</w:t>
            </w:r>
          </w:p>
          <w:p w14:paraId="75A1870D">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1.应急保障方案内容准确</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科学合理、条理清晰，</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96F4E4E">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2.应急保障方案内容</w:t>
            </w:r>
            <w:r>
              <w:rPr>
                <w:rFonts w:hint="eastAsia" w:ascii="宋体" w:hAnsi="宋体" w:eastAsia="宋体" w:cs="宋体"/>
                <w:color w:val="000000" w:themeColor="text1"/>
                <w:sz w:val="21"/>
                <w:szCs w:val="21"/>
                <w:highlight w:val="none"/>
                <w:lang w:val="en-US" w:eastAsia="zh-CN"/>
                <w14:textFill>
                  <w14:solidFill>
                    <w14:schemeClr w14:val="tx1"/>
                  </w14:solidFill>
                </w14:textFill>
              </w:rPr>
              <w:t>较</w:t>
            </w:r>
            <w:r>
              <w:rPr>
                <w:rFonts w:hint="eastAsia" w:ascii="宋体" w:hAnsi="宋体" w:eastAsia="宋体" w:cs="宋体"/>
                <w:color w:val="000000" w:themeColor="text1"/>
                <w:sz w:val="21"/>
                <w:szCs w:val="21"/>
                <w:highlight w:val="none"/>
                <w14:textFill>
                  <w14:solidFill>
                    <w14:schemeClr w14:val="tx1"/>
                  </w14:solidFill>
                </w14:textFill>
              </w:rPr>
              <w:t>准确</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较</w:t>
            </w:r>
            <w:r>
              <w:rPr>
                <w:rFonts w:hint="eastAsia" w:ascii="宋体" w:hAnsi="宋体" w:eastAsia="宋体" w:cs="宋体"/>
                <w:color w:val="000000" w:themeColor="text1"/>
                <w:sz w:val="21"/>
                <w:szCs w:val="21"/>
                <w:highlight w:val="none"/>
                <w14:textFill>
                  <w14:solidFill>
                    <w14:schemeClr w14:val="tx1"/>
                  </w14:solidFill>
                </w14:textFill>
              </w:rPr>
              <w:t>合理、条理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较</w:t>
            </w:r>
            <w:r>
              <w:rPr>
                <w:rFonts w:hint="eastAsia" w:ascii="宋体" w:hAnsi="宋体" w:eastAsia="宋体" w:cs="宋体"/>
                <w:color w:val="000000" w:themeColor="text1"/>
                <w:sz w:val="21"/>
                <w:szCs w:val="21"/>
                <w:highlight w:val="none"/>
                <w14:textFill>
                  <w14:solidFill>
                    <w14:schemeClr w14:val="tx1"/>
                  </w14:solidFill>
                </w14:textFill>
              </w:rPr>
              <w:t>清晰，</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lang w:val="en-US" w:eastAsia="zh-Hans"/>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E7FD29C">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3.应急保障方案内容</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准确</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合理、条理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清晰，部分满足采购需求，得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p>
          <w:p w14:paraId="423D579C">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4.应急保障方案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内容</w:t>
            </w:r>
            <w:r>
              <w:rPr>
                <w:rFonts w:hint="eastAsia" w:ascii="宋体" w:hAnsi="宋体" w:eastAsia="宋体" w:cs="宋体"/>
                <w:color w:val="000000" w:themeColor="text1"/>
                <w:sz w:val="21"/>
                <w:szCs w:val="21"/>
                <w:highlight w:val="none"/>
                <w14:textFill>
                  <w14:solidFill>
                    <w14:schemeClr w14:val="tx1"/>
                  </w14:solidFill>
                </w14:textFill>
              </w:rPr>
              <w:t>欠缺，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14:textFill>
                  <w14:solidFill>
                    <w14:schemeClr w14:val="tx1"/>
                  </w14:solidFill>
                </w14:textFill>
              </w:rPr>
              <w:t>合理、条理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14:textFill>
                  <w14:solidFill>
                    <w14:schemeClr w14:val="tx1"/>
                  </w14:solidFill>
                </w14:textFill>
              </w:rPr>
              <w:t xml:space="preserve">清晰，未能满足采购需求，得1分； </w:t>
            </w:r>
          </w:p>
          <w:p w14:paraId="2FD1408C">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5.不提供不得分。</w:t>
            </w:r>
          </w:p>
        </w:tc>
      </w:tr>
      <w:tr w14:paraId="1E1E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continue"/>
            <w:shd w:val="clear" w:color="auto" w:fill="auto"/>
            <w:noWrap/>
            <w:vAlign w:val="center"/>
          </w:tcPr>
          <w:p w14:paraId="4F19912B">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shd w:val="clear" w:color="auto" w:fill="auto"/>
            <w:noWrap/>
            <w:vAlign w:val="center"/>
          </w:tcPr>
          <w:p w14:paraId="12214FA8">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运维</w:t>
            </w:r>
            <w:r>
              <w:rPr>
                <w:color w:val="000000" w:themeColor="text1"/>
                <w:highlight w:val="none"/>
                <w14:textFill>
                  <w14:solidFill>
                    <w14:schemeClr w14:val="tx1"/>
                  </w14:solidFill>
                </w14:textFill>
              </w:rPr>
              <w:t>服务方案</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12.0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183" w:type="dxa"/>
            <w:shd w:val="clear" w:color="auto" w:fill="auto"/>
            <w:noWrap/>
          </w:tcPr>
          <w:p w14:paraId="0736DC2A">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根据投标人对项目</w:t>
            </w:r>
            <w:r>
              <w:rPr>
                <w:rFonts w:hint="eastAsia" w:ascii="宋体" w:hAnsi="宋体" w:eastAsia="宋体" w:cs="宋体"/>
                <w:color w:val="000000" w:themeColor="text1"/>
                <w:sz w:val="21"/>
                <w:szCs w:val="21"/>
                <w:highlight w:val="none"/>
                <w:lang w:val="en-US" w:eastAsia="zh-CN"/>
                <w14:textFill>
                  <w14:solidFill>
                    <w14:schemeClr w14:val="tx1"/>
                  </w14:solidFill>
                </w14:textFill>
              </w:rPr>
              <w:t>运维</w:t>
            </w:r>
            <w:r>
              <w:rPr>
                <w:rFonts w:hint="eastAsia" w:ascii="宋体" w:hAnsi="宋体" w:eastAsia="宋体" w:cs="宋体"/>
                <w:color w:val="000000" w:themeColor="text1"/>
                <w:sz w:val="21"/>
                <w:szCs w:val="21"/>
                <w:highlight w:val="none"/>
                <w14:textFill>
                  <w14:solidFill>
                    <w14:schemeClr w14:val="tx1"/>
                  </w14:solidFill>
                </w14:textFill>
              </w:rPr>
              <w:t>服务方案内容进行评审：</w:t>
            </w:r>
          </w:p>
          <w:p w14:paraId="567BA148">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1.运维服务方案</w:t>
            </w:r>
            <w:r>
              <w:rPr>
                <w:rFonts w:hint="eastAsia" w:ascii="宋体" w:hAnsi="宋体" w:eastAsia="宋体" w:cs="宋体"/>
                <w:color w:val="000000" w:themeColor="text1"/>
                <w:sz w:val="21"/>
                <w:szCs w:val="21"/>
                <w:highlight w:val="none"/>
                <w14:textFill>
                  <w14:solidFill>
                    <w14:schemeClr w14:val="tx1"/>
                  </w14:solidFill>
                </w14:textFill>
              </w:rPr>
              <w:t>内容（包括不限于服务响应时间、售后服务团队、培训）完整详细，服务响应时间及时，应急处理措施到位，</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CEE4AA4">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2.运维服务方案</w:t>
            </w:r>
            <w:r>
              <w:rPr>
                <w:rFonts w:hint="eastAsia" w:ascii="宋体" w:hAnsi="宋体" w:eastAsia="宋体" w:cs="宋体"/>
                <w:color w:val="000000" w:themeColor="text1"/>
                <w:sz w:val="21"/>
                <w:szCs w:val="21"/>
                <w:highlight w:val="none"/>
                <w14:textFill>
                  <w14:solidFill>
                    <w14:schemeClr w14:val="tx1"/>
                  </w14:solidFill>
                </w14:textFill>
              </w:rPr>
              <w:t>内容（包括不限于服务响应时间、售后服务团队、培训）较完整详细，服务响应时间较快，应急处理措施一般，</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lang w:val="en-US" w:eastAsia="zh-Hans"/>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分；</w:t>
            </w:r>
          </w:p>
          <w:p w14:paraId="1DFFD45D">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3.运维服务方案</w:t>
            </w:r>
            <w:r>
              <w:rPr>
                <w:rFonts w:hint="eastAsia" w:ascii="宋体" w:hAnsi="宋体" w:eastAsia="宋体" w:cs="宋体"/>
                <w:color w:val="000000" w:themeColor="text1"/>
                <w:sz w:val="21"/>
                <w:szCs w:val="21"/>
                <w:highlight w:val="none"/>
                <w14:textFill>
                  <w14:solidFill>
                    <w14:schemeClr w14:val="tx1"/>
                  </w14:solidFill>
                </w14:textFill>
              </w:rPr>
              <w:t>内容（包括不限于服务响应时间、售后服务团队、培训）简单，服务响应速度不</w:t>
            </w:r>
            <w:r>
              <w:rPr>
                <w:rFonts w:hint="eastAsia" w:ascii="宋体" w:hAnsi="宋体" w:eastAsia="宋体" w:cs="宋体"/>
                <w:color w:val="000000" w:themeColor="text1"/>
                <w:sz w:val="21"/>
                <w:szCs w:val="21"/>
                <w:highlight w:val="none"/>
                <w:lang w:val="en-US" w:eastAsia="zh-CN"/>
                <w14:textFill>
                  <w14:solidFill>
                    <w14:schemeClr w14:val="tx1"/>
                  </w14:solidFill>
                </w14:textFill>
              </w:rPr>
              <w:t>够</w:t>
            </w:r>
            <w:r>
              <w:rPr>
                <w:rFonts w:hint="eastAsia" w:ascii="宋体" w:hAnsi="宋体" w:eastAsia="宋体" w:cs="宋体"/>
                <w:color w:val="000000" w:themeColor="text1"/>
                <w:sz w:val="21"/>
                <w:szCs w:val="21"/>
                <w:highlight w:val="none"/>
                <w14:textFill>
                  <w14:solidFill>
                    <w14:schemeClr w14:val="tx1"/>
                  </w14:solidFill>
                </w14:textFill>
              </w:rPr>
              <w:t>及时，应急处理措施简单，</w:t>
            </w:r>
            <w:r>
              <w:rPr>
                <w:rFonts w:hint="eastAsia" w:ascii="宋体" w:hAnsi="宋体" w:eastAsia="宋体" w:cs="宋体"/>
                <w:color w:val="000000" w:themeColor="text1"/>
                <w:sz w:val="21"/>
                <w:szCs w:val="21"/>
                <w:highlight w:val="none"/>
                <w:lang w:val="en-US" w:eastAsia="zh-Hans"/>
                <w14:textFill>
                  <w14:solidFill>
                    <w14:schemeClr w14:val="tx1"/>
                  </w14:solidFill>
                </w14:textFill>
              </w:rPr>
              <w:t>部分满足采购需求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65B391C">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4.运维服务方案</w:t>
            </w:r>
            <w:r>
              <w:rPr>
                <w:rFonts w:hint="eastAsia" w:ascii="宋体" w:hAnsi="宋体" w:eastAsia="宋体" w:cs="宋体"/>
                <w:color w:val="000000" w:themeColor="text1"/>
                <w:sz w:val="21"/>
                <w:szCs w:val="21"/>
                <w:highlight w:val="none"/>
                <w14:textFill>
                  <w14:solidFill>
                    <w14:schemeClr w14:val="tx1"/>
                  </w14:solidFill>
                </w14:textFill>
              </w:rPr>
              <w:t>内容（包括不限于服务响应时间、售后服务团队、培训）欠缺，服务响应速度不及时，应急处理措施欠缺，未能满足采购需求，得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0C9C61B">
            <w:pPr>
              <w:pStyle w:val="22"/>
              <w:keepNext w:val="0"/>
              <w:keepLines w:val="0"/>
              <w:pageBreakBefore w:val="0"/>
              <w:widowControl/>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06A6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restart"/>
            <w:shd w:val="clear" w:color="auto" w:fill="auto"/>
            <w:noWrap/>
            <w:vAlign w:val="center"/>
          </w:tcPr>
          <w:p w14:paraId="63702B8B">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p w14:paraId="332E357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C5B3E66">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668" w:type="dxa"/>
            <w:shd w:val="clear" w:color="auto" w:fill="auto"/>
            <w:noWrap/>
            <w:vAlign w:val="center"/>
          </w:tcPr>
          <w:p w14:paraId="1E83FD6C">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综合能力（6.0分）</w:t>
            </w:r>
          </w:p>
        </w:tc>
        <w:tc>
          <w:tcPr>
            <w:tcW w:w="6183" w:type="dxa"/>
            <w:shd w:val="clear" w:color="auto" w:fill="auto"/>
            <w:noWrap/>
            <w:vAlign w:val="top"/>
          </w:tcPr>
          <w:p w14:paraId="04FF80C4">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投标人具有以下认证证书：</w:t>
            </w:r>
          </w:p>
          <w:p w14:paraId="5F524E5E">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获得质量管理体系认证ISO9001证书；</w:t>
            </w:r>
          </w:p>
          <w:p w14:paraId="3C0AB913">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获得职业健康安全管理体系认证ISO</w:t>
            </w:r>
            <w:r>
              <w:rPr>
                <w:rFonts w:hint="eastAsia" w:ascii="宋体" w:hAnsi="宋体" w:eastAsia="宋体" w:cs="宋体"/>
                <w:color w:val="000000" w:themeColor="text1"/>
                <w:sz w:val="21"/>
                <w:szCs w:val="21"/>
                <w:highlight w:val="none"/>
                <w:lang w:val="en-US" w:eastAsia="zh-CN"/>
                <w14:textFill>
                  <w14:solidFill>
                    <w14:schemeClr w14:val="tx1"/>
                  </w14:solidFill>
                </w14:textFill>
              </w:rPr>
              <w:t>45001</w:t>
            </w:r>
            <w:r>
              <w:rPr>
                <w:rFonts w:hint="eastAsia" w:ascii="宋体" w:hAnsi="宋体" w:eastAsia="宋体" w:cs="宋体"/>
                <w:color w:val="000000" w:themeColor="text1"/>
                <w:sz w:val="21"/>
                <w:szCs w:val="21"/>
                <w:highlight w:val="none"/>
                <w:lang w:eastAsia="zh-CN"/>
                <w14:textFill>
                  <w14:solidFill>
                    <w14:schemeClr w14:val="tx1"/>
                  </w14:solidFill>
                </w14:textFill>
              </w:rPr>
              <w:t>证书；</w:t>
            </w:r>
          </w:p>
          <w:p w14:paraId="19A93837">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获得环境管理体系认证ISO14001证书；</w:t>
            </w:r>
          </w:p>
          <w:p w14:paraId="33B6A85C">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每提供一个有效的证书得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分，不提供不得分。须提供有效的证书复印件并加盖投标人公章作为评审依据，分公司参与投标的，有总公司对分公司的投标授权，总公司提供的上述材料对分公司有效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如因投标人成立时间</w:t>
            </w:r>
            <w:r>
              <w:rPr>
                <w:rFonts w:hint="eastAsia" w:ascii="宋体" w:hAnsi="宋体" w:eastAsia="宋体" w:cs="宋体"/>
                <w:color w:val="000000" w:themeColor="text1"/>
                <w:sz w:val="21"/>
                <w:szCs w:val="21"/>
                <w:highlight w:val="none"/>
                <w14:textFill>
                  <w14:solidFill>
                    <w14:schemeClr w14:val="tx1"/>
                  </w14:solidFill>
                </w14:textFill>
              </w:rPr>
              <w:t>不足三个月</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导致未能取得相关认证且提供书面说明的，可获得对应证书的分值</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color w:val="000000" w:themeColor="text1"/>
                <w:sz w:val="21"/>
                <w:szCs w:val="21"/>
                <w:highlight w:val="none"/>
                <w14:textFill>
                  <w14:solidFill>
                    <w14:schemeClr w14:val="tx1"/>
                  </w14:solidFill>
                </w14:textFill>
              </w:rPr>
              <w:t>。</w:t>
            </w:r>
          </w:p>
        </w:tc>
      </w:tr>
      <w:tr w14:paraId="6A4A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continue"/>
            <w:shd w:val="clear" w:color="auto" w:fill="auto"/>
            <w:noWrap/>
            <w:vAlign w:val="center"/>
          </w:tcPr>
          <w:p w14:paraId="09F1DC5C">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668" w:type="dxa"/>
            <w:vMerge w:val="restart"/>
            <w:shd w:val="clear" w:color="auto" w:fill="auto"/>
            <w:noWrap/>
            <w:vAlign w:val="center"/>
          </w:tcPr>
          <w:p w14:paraId="4B224D0F">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团队人员实力(</w:t>
            </w:r>
            <w:r>
              <w:rPr>
                <w:rFonts w:hint="eastAsia" w:ascii="宋体" w:hAnsi="宋体" w:eastAsia="宋体" w:cs="宋体"/>
                <w:color w:val="000000" w:themeColor="text1"/>
                <w:sz w:val="21"/>
                <w:szCs w:val="21"/>
                <w:highlight w:val="none"/>
                <w:lang w:val="en-US" w:eastAsia="zh-CN"/>
                <w14:textFill>
                  <w14:solidFill>
                    <w14:schemeClr w14:val="tx1"/>
                  </w14:solidFill>
                </w14:textFill>
              </w:rPr>
              <w:t>9.0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183" w:type="dxa"/>
            <w:shd w:val="clear" w:color="auto" w:fill="auto"/>
            <w:noWrap/>
            <w:vAlign w:val="top"/>
          </w:tcPr>
          <w:p w14:paraId="7D7BD476">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根据拟投入本项目的项目经理（1名）（不含项目技术负责人、项目技术团队成员）情况进行评审（具有人社部门认可的机构颁发的以下证书）：</w:t>
            </w:r>
          </w:p>
          <w:p w14:paraId="22559254">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信息系统项目管理师</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6119719">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系统集成项目管理工程师证书； </w:t>
            </w:r>
          </w:p>
          <w:p w14:paraId="7E27F76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中级通信工程师（互联网技术）</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437DB81">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每提供一个得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72E7956">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注：需提供人员相关证书复印件及投标截止时间前6个月内任意一个月缴纳的社保证明材料复印件并加盖投标人公章作为评审依据，不提供不得分。</w:t>
            </w:r>
          </w:p>
        </w:tc>
      </w:tr>
      <w:tr w14:paraId="1026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continue"/>
            <w:shd w:val="clear" w:color="auto" w:fill="auto"/>
            <w:noWrap/>
            <w:vAlign w:val="center"/>
          </w:tcPr>
          <w:p w14:paraId="7459E7CD">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668" w:type="dxa"/>
            <w:vMerge w:val="continue"/>
            <w:shd w:val="clear" w:color="auto" w:fill="auto"/>
            <w:noWrap/>
            <w:vAlign w:val="center"/>
          </w:tcPr>
          <w:p w14:paraId="6449AD22">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6183" w:type="dxa"/>
            <w:shd w:val="clear" w:color="auto" w:fill="auto"/>
            <w:noWrap/>
            <w:vAlign w:val="top"/>
          </w:tcPr>
          <w:p w14:paraId="10389238">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根据拟投入本项目的技术经理（1人）具有的证书进行评</w:t>
            </w:r>
            <w:r>
              <w:rPr>
                <w:rFonts w:hint="eastAsia" w:ascii="宋体" w:hAnsi="宋体" w:eastAsia="宋体" w:cs="宋体"/>
                <w:color w:val="000000" w:themeColor="text1"/>
                <w:sz w:val="21"/>
                <w:szCs w:val="21"/>
                <w:highlight w:val="none"/>
                <w:lang w:val="en-US" w:eastAsia="zh-CN"/>
                <w14:textFill>
                  <w14:solidFill>
                    <w14:schemeClr w14:val="tx1"/>
                  </w14:solidFill>
                </w14:textFill>
              </w:rPr>
              <w:t>审</w:t>
            </w:r>
            <w:r>
              <w:rPr>
                <w:rFonts w:hint="eastAsia" w:ascii="宋体" w:hAnsi="宋体" w:eastAsia="宋体" w:cs="宋体"/>
                <w:color w:val="000000" w:themeColor="text1"/>
                <w:sz w:val="21"/>
                <w:szCs w:val="21"/>
                <w:highlight w:val="none"/>
                <w14:textFill>
                  <w14:solidFill>
                    <w14:schemeClr w14:val="tx1"/>
                  </w14:solidFill>
                </w14:textFill>
              </w:rPr>
              <w:t>（具有人社部门认可的机构颁发的以下证书）：</w:t>
            </w:r>
          </w:p>
          <w:p w14:paraId="56FA2735">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网络工程师，得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p>
          <w:p w14:paraId="7D7B0912">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网络规划设计师，得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p>
          <w:p w14:paraId="69C150C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每提供一个得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720EACD">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注：需提供人员相关证书复印件及投标截止时间前6个月内任意一个月缴纳的社保证明材料复印件并加盖投标人公章作为评审依据，不提供不得分。</w:t>
            </w:r>
          </w:p>
        </w:tc>
      </w:tr>
      <w:tr w14:paraId="2BAE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vMerge w:val="continue"/>
            <w:shd w:val="clear" w:color="auto" w:fill="auto"/>
            <w:noWrap/>
            <w:vAlign w:val="center"/>
          </w:tcPr>
          <w:p w14:paraId="3A16A880">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668" w:type="dxa"/>
            <w:shd w:val="clear" w:color="auto" w:fill="auto"/>
            <w:noWrap/>
            <w:vAlign w:val="center"/>
          </w:tcPr>
          <w:p w14:paraId="3652662C">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同类业绩(</w:t>
            </w:r>
            <w:r>
              <w:rPr>
                <w:rFonts w:hint="eastAsia" w:ascii="宋体" w:hAnsi="宋体" w:eastAsia="宋体" w:cs="宋体"/>
                <w:color w:val="000000" w:themeColor="text1"/>
                <w:sz w:val="21"/>
                <w:szCs w:val="21"/>
                <w:highlight w:val="none"/>
                <w:lang w:val="en-US" w:eastAsia="zh-CN"/>
                <w14:textFill>
                  <w14:solidFill>
                    <w14:schemeClr w14:val="tx1"/>
                  </w14:solidFill>
                </w14:textFill>
              </w:rPr>
              <w:t>10.0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183" w:type="dxa"/>
            <w:shd w:val="clear" w:color="auto" w:fill="auto"/>
            <w:noWrap/>
            <w:vAlign w:val="top"/>
          </w:tcPr>
          <w:p w14:paraId="358E136B">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根据投标人2021年1月1日以来（以合同签订时间为准）已完成的同类项目业绩，每提供一个符合要求的业绩得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分，不提供不得分。 </w:t>
            </w:r>
          </w:p>
          <w:p w14:paraId="745E982D">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上述评分须提供合同关键页（合同关键页包括能够获知甲乙双方合同标的、签订日期、成交金额的页面及签字盖章页复印件）加盖投标人公章作为评审依据，不提供不得分。同一项目不同年份的合同按一份计算，不重复计算分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（已由总公司（总所）授权的，总公司或总公司下属的分支机构的业绩可作为评分依据）。</w:t>
            </w:r>
          </w:p>
        </w:tc>
      </w:tr>
      <w:tr w14:paraId="5AD1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shd w:val="clear" w:color="auto" w:fill="auto"/>
            <w:noWrap/>
            <w:vAlign w:val="center"/>
          </w:tcPr>
          <w:p w14:paraId="29F1700E">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668" w:type="dxa"/>
            <w:shd w:val="clear" w:color="auto" w:fill="auto"/>
            <w:noWrap/>
            <w:vAlign w:val="center"/>
          </w:tcPr>
          <w:p w14:paraId="2BEE0A30">
            <w:pPr>
              <w:pStyle w:val="22"/>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10.0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183" w:type="dxa"/>
            <w:shd w:val="clear" w:color="auto" w:fill="auto"/>
            <w:noWrap/>
            <w:vAlign w:val="top"/>
          </w:tcPr>
          <w:p w14:paraId="0639E9C8">
            <w:pPr>
              <w:pStyle w:val="22"/>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1BF54002">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22"/>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2"/>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A79AE82">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58574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390FAEA">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75" w:name="_Toc6143"/>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175"/>
    </w:p>
    <w:p w14:paraId="394825B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22"/>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22"/>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22"/>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22"/>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22"/>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2"/>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22"/>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22"/>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7FF74961">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CD38092">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DAB7EEF">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传真 ：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A712F23">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乙方：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44C4D873">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传真：</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795ECC2">
      <w:pPr>
        <w:pStyle w:val="22"/>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6FD3488">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项目 </w:t>
      </w:r>
      <w:r>
        <w:rPr>
          <w:rFonts w:hint="eastAsia" w:ascii="宋体" w:hAnsi="宋体" w:eastAsia="宋体" w:cs="宋体"/>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的采购结果，按照《中华人民共和国政府采购法》，《中华人民共和国民法典(合同编)》的规定，经双方协商，本着平等互利和诚实信用的原则，一致同意遵守本合同如下。</w:t>
      </w:r>
    </w:p>
    <w:p w14:paraId="2324F150">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一、合同金额</w:t>
      </w:r>
    </w:p>
    <w:p w14:paraId="12F1A9F9">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合同金额为（大写）：_____________元（￥_________元）人民币。</w:t>
      </w:r>
    </w:p>
    <w:p w14:paraId="6F8E2368">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二、服务范围</w:t>
      </w:r>
    </w:p>
    <w:p w14:paraId="6F4026F5">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甲方聘请乙方提供以下服务：</w:t>
      </w:r>
    </w:p>
    <w:p w14:paraId="49C5CB8C">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color w:val="000000" w:themeColor="text1"/>
          <w:sz w:val="21"/>
          <w:szCs w:val="21"/>
          <w:highlight w:val="none"/>
          <w14:textFill>
            <w14:solidFill>
              <w14:schemeClr w14:val="tx1"/>
            </w14:solidFill>
          </w14:textFill>
        </w:rPr>
        <w:t>。</w:t>
      </w:r>
    </w:p>
    <w:p w14:paraId="6A8EC229">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w:t>
      </w:r>
      <w:r>
        <w:rPr>
          <w:rFonts w:hint="eastAsia" w:ascii="宋体" w:hAnsi="宋体" w:eastAsia="宋体" w:cs="宋体"/>
          <w:color w:val="000000" w:themeColor="text1"/>
          <w:sz w:val="21"/>
          <w:szCs w:val="21"/>
          <w:highlight w:val="none"/>
          <w:u w:val="single"/>
          <w14:textFill>
            <w14:solidFill>
              <w14:schemeClr w14:val="tx1"/>
            </w14:solidFill>
          </w14:textFill>
        </w:rPr>
        <w:t>　　　　　　　　　　　</w:t>
      </w:r>
    </w:p>
    <w:p w14:paraId="6035AABA">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2CBEAFCF">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三、甲方乙方的权利和义务</w:t>
      </w:r>
    </w:p>
    <w:p w14:paraId="5382EE8E">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1.甲方的权利和义务</w:t>
      </w:r>
    </w:p>
    <w:p w14:paraId="71AE3183">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2.乙方的权利和义务</w:t>
      </w:r>
    </w:p>
    <w:p w14:paraId="3F901FCD">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四、服务期间（项目完成期限）</w:t>
      </w:r>
    </w:p>
    <w:p w14:paraId="5742BF0E">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1.委托服务期间自______年______月至______年______月止。</w:t>
      </w:r>
    </w:p>
    <w:p w14:paraId="47DE0186">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五、付款方式</w:t>
      </w:r>
    </w:p>
    <w:p w14:paraId="5B08178E">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由甲方按下列程序在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内付款：</w:t>
      </w:r>
    </w:p>
    <w:p w14:paraId="6FA0145E">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1.在合同实施及服务人员到达服务地后__天内，甲方应将第一次付　　款总服务费的__(-%)付给乙方。</w:t>
      </w:r>
    </w:p>
    <w:p w14:paraId="19109C31">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2.第二次付款额应为总服务费的__(-%)，甲方应在乙方已经准备好，并递交了服务报告及其它相关文件，而这些报告和文件符合合同附件上的要求并被甲方验收后付给乙方。</w:t>
      </w:r>
    </w:p>
    <w:p w14:paraId="4F2487BE">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3.最后一次付款额应为总服务费的__(-%)，甲方应在乙方递交了服务总结报告和说明并完全履行合同完毕_________日内付给乙方。</w:t>
      </w:r>
    </w:p>
    <w:p w14:paraId="3BE844F2">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0EEF401C">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六、知识产权归属</w:t>
      </w:r>
    </w:p>
    <w:p w14:paraId="34F13E19">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七、保密</w:t>
      </w:r>
    </w:p>
    <w:p w14:paraId="37C63FC3">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八、违约责任与赔偿损失</w:t>
      </w:r>
    </w:p>
    <w:p w14:paraId="7F86E758">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1.乙方提供的服务不符合本合同规定的，甲方有权拒收，并且乙方须向甲方方支付本合同总价5%的违约金。</w:t>
      </w:r>
    </w:p>
    <w:p w14:paraId="4CEC236A">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2.乙方未能按本合同规定的交货时间提供服务，从逾期之日起每日按本合同总价3‰的数额向甲方支付违约金；逾期半个月以上的，甲方有权终止合同，由此造成的甲方经济损失由乙方承担。</w:t>
      </w:r>
    </w:p>
    <w:p w14:paraId="73476790">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3.甲方无正当理由拒收接受服务，到期拒付服务款项的，甲方向乙方偿付本合同总的5%的违约金。甲方人逾期付款，则每日按本合同总价的3‰向乙方偿付违约金。</w:t>
      </w:r>
    </w:p>
    <w:p w14:paraId="182A9AE2">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4.对于因甲方原因导致变更、中止或者终止政府采购合同的，甲方应当依照以下合同约定对供应商受到的损失予以赔偿或者补偿：</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1B092939">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5.其它违约责任按《中华人民共和国民法典(合同编)》处理。</w:t>
      </w:r>
    </w:p>
    <w:p w14:paraId="70B7673F">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九、争议的解决</w:t>
      </w:r>
    </w:p>
    <w:p w14:paraId="51D9FA4D">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合同执行过程中发生的任何争议，如双方不能通过友好协商解决，按相关法律法规处理。     </w:t>
      </w:r>
    </w:p>
    <w:p w14:paraId="65B74F9C">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十、不可抗力</w:t>
      </w:r>
    </w:p>
    <w:p w14:paraId="7D49E1F2">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0F418010">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十一、税费</w:t>
      </w:r>
    </w:p>
    <w:p w14:paraId="1955D3E5">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在中国境内、外发生的与本合同执行有关的一切税费均由乙方负担。</w:t>
      </w:r>
    </w:p>
    <w:p w14:paraId="620A70A1">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十二、其它</w:t>
      </w:r>
    </w:p>
    <w:p w14:paraId="23902ED4">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1.本合同所有附件、招标文件、投标文件、中标通知书均为合同的有效组成部分，与本合同具有同等法律效力。</w:t>
      </w:r>
    </w:p>
    <w:p w14:paraId="76BD4835">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2.在执行本合同的过程中，所有经双方签署确认的文件（包括会议纪要、补充协议、往来信函）即成为本合同的有效组成部分。</w:t>
      </w:r>
    </w:p>
    <w:p w14:paraId="2BA0FC86">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3.如一方地址、电话、传真号码有变更，应在变更当日内书面通知对方，否则，应承担相应责任。</w:t>
      </w:r>
    </w:p>
    <w:p w14:paraId="0F2F4687">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4.除甲方事先书面同意外，乙方不得部分或全部转让其应履行的合同项下的义务。</w:t>
      </w:r>
    </w:p>
    <w:p w14:paraId="1A49E2FA">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十三、合同生效</w:t>
      </w:r>
    </w:p>
    <w:p w14:paraId="7E6D7563">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1.本合同在甲乙双方法人代表或其授权代表签字盖章后生效。</w:t>
      </w:r>
    </w:p>
    <w:p w14:paraId="55A56898">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2.合同一式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037F7ECA">
      <w:pPr>
        <w:pStyle w:val="22"/>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6BFC5027">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甲方（盖章）：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乙方（盖章）：</w:t>
      </w:r>
    </w:p>
    <w:p w14:paraId="531CA014">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代表：</w:t>
      </w:r>
    </w:p>
    <w:p w14:paraId="5D83F218">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签订地点：</w:t>
      </w:r>
    </w:p>
    <w:p w14:paraId="428FEB98">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签订日期：　　　年　　月　　日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签订日期：　　　年　　月　　日</w:t>
      </w:r>
    </w:p>
    <w:p w14:paraId="6344F802">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785E5D1D">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3AFAF099">
      <w:pPr>
        <w:pStyle w:val="22"/>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1D26F66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F09875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B60BD1B">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76" w:name="_Toc1805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176"/>
    </w:p>
    <w:p w14:paraId="59B65CA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52F7002C">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811C776">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7621915">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2E230EA7">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177" w:name="_Toc20268"/>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177"/>
    </w:p>
    <w:p w14:paraId="207F05C8">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YXCG-20260914</w:t>
      </w:r>
    </w:p>
    <w:p w14:paraId="7DF91495">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BD54478">
      <w:pPr>
        <w:pStyle w:val="22"/>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78" w:name="_Toc951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178"/>
    </w:p>
    <w:p w14:paraId="74FFEE6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E42DA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79" w:name="_Toc342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179"/>
    </w:p>
    <w:p w14:paraId="76A39A0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FB71F55">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YXCG-20260914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rPr>
          <w:rFonts w:hint="eastAsia"/>
          <w:color w:val="000000" w:themeColor="text1"/>
          <w:highlight w:val="none"/>
          <w14:textFill>
            <w14:solidFill>
              <w14:schemeClr w14:val="tx1"/>
            </w14:solidFill>
          </w14:textFill>
        </w:rPr>
      </w:pPr>
    </w:p>
    <w:p w14:paraId="40707F08">
      <w:pPr>
        <w:rPr>
          <w:rFonts w:hint="eastAsia"/>
          <w:color w:val="000000" w:themeColor="text1"/>
          <w:highlight w:val="none"/>
          <w14:textFill>
            <w14:solidFill>
              <w14:schemeClr w14:val="tx1"/>
            </w14:solidFill>
          </w14:textFill>
        </w:rPr>
      </w:pPr>
    </w:p>
    <w:p w14:paraId="6D305A8F">
      <w:pPr>
        <w:rPr>
          <w:rFonts w:hint="eastAsia"/>
          <w:color w:val="000000" w:themeColor="text1"/>
          <w:highlight w:val="none"/>
          <w14:textFill>
            <w14:solidFill>
              <w14:schemeClr w14:val="tx1"/>
            </w14:solidFill>
          </w14:textFill>
        </w:rPr>
      </w:pPr>
    </w:p>
    <w:p w14:paraId="701D9689">
      <w:pPr>
        <w:rPr>
          <w:rFonts w:hint="eastAsia"/>
          <w:color w:val="000000" w:themeColor="text1"/>
          <w:highlight w:val="none"/>
          <w14:textFill>
            <w14:solidFill>
              <w14:schemeClr w14:val="tx1"/>
            </w14:solidFill>
          </w14:textFill>
        </w:rPr>
      </w:pPr>
    </w:p>
    <w:p w14:paraId="5FCF5025">
      <w:pPr>
        <w:rPr>
          <w:rFonts w:hint="eastAsia"/>
          <w:color w:val="000000" w:themeColor="text1"/>
          <w:highlight w:val="none"/>
          <w14:textFill>
            <w14:solidFill>
              <w14:schemeClr w14:val="tx1"/>
            </w14:solidFill>
          </w14:textFill>
        </w:rPr>
      </w:pPr>
    </w:p>
    <w:p w14:paraId="73BD6DEC">
      <w:pPr>
        <w:rPr>
          <w:rFonts w:hint="eastAsia"/>
          <w:color w:val="000000" w:themeColor="text1"/>
          <w:highlight w:val="none"/>
          <w14:textFill>
            <w14:solidFill>
              <w14:schemeClr w14:val="tx1"/>
            </w14:solidFill>
          </w14:textFill>
        </w:rPr>
      </w:pPr>
    </w:p>
    <w:p w14:paraId="261C1F62">
      <w:pPr>
        <w:rPr>
          <w:rFonts w:hint="eastAsia"/>
          <w:color w:val="000000" w:themeColor="text1"/>
          <w:highlight w:val="none"/>
          <w14:textFill>
            <w14:solidFill>
              <w14:schemeClr w14:val="tx1"/>
            </w14:solidFill>
          </w14:textFill>
        </w:rPr>
      </w:pPr>
    </w:p>
    <w:p w14:paraId="08BA5173">
      <w:pPr>
        <w:rPr>
          <w:rFonts w:hint="eastAsia"/>
          <w:color w:val="000000" w:themeColor="text1"/>
          <w:highlight w:val="none"/>
          <w14:textFill>
            <w14:solidFill>
              <w14:schemeClr w14:val="tx1"/>
            </w14:solidFill>
          </w14:textFill>
        </w:rPr>
      </w:pPr>
    </w:p>
    <w:p w14:paraId="62E74CD5">
      <w:pPr>
        <w:rPr>
          <w:rFonts w:hint="eastAsia"/>
          <w:color w:val="000000" w:themeColor="text1"/>
          <w:highlight w:val="none"/>
          <w14:textFill>
            <w14:solidFill>
              <w14:schemeClr w14:val="tx1"/>
            </w14:solidFill>
          </w14:textFill>
        </w:rPr>
      </w:pPr>
    </w:p>
    <w:p w14:paraId="25C4A46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E15902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0" w:name="_Toc1029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180"/>
    </w:p>
    <w:p w14:paraId="6C181EC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B6CB393">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“开标一览表”（加盖公章），一份单独密封于一信封内，一份装订入投标文件正本。</w:t>
      </w:r>
    </w:p>
    <w:p w14:paraId="5BD009C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E5060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8F2C0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DE8CF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1108C8">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7A8A583">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1" w:name="_Toc2632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181"/>
    </w:p>
    <w:p w14:paraId="5EE9D84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10D23A">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22"/>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2F8EC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2" w:name="_Toc85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182"/>
    </w:p>
    <w:p w14:paraId="10E51DD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941943">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9FB75A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0DAF407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5231385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EA245E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4EEF859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7EC28D7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6E3BE31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2D71ABA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F79B48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01022CC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2259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EC89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3D526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4DBEF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4765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3714B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2AC9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E34C6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DD96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BA808">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83" w:name="_Toc2541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183"/>
    </w:p>
    <w:p w14:paraId="29AEDC4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22"/>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2"/>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90471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2108A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22"/>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2"/>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0E4E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C90222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22"/>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2"/>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22"/>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22"/>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2"/>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2"/>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2"/>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2"/>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2"/>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2"/>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22"/>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22"/>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22"/>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2"/>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2"/>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28580">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2482FB">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216AAB">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203A98">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7BDDC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ECC4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8870A4">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AF2596">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10D042">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E9632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A2989">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EB1E48">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1490A8">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BA1820">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5BF3C">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1E0F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4F3DBB">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1FB63">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CFEFA2">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5AF1E">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8446E9">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FE9B8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B0D75">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62A5BE">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FD036F">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780BE">
      <w:pPr>
        <w:pStyle w:val="22"/>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5153F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4" w:name="_Toc257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184"/>
    </w:p>
    <w:p w14:paraId="1907FBA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E8601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7"/>
        <w:rPr>
          <w:rFonts w:hAnsi="宋体"/>
          <w:color w:val="000000" w:themeColor="text1"/>
          <w:sz w:val="21"/>
          <w:highlight w:val="none"/>
          <w14:textFill>
            <w14:solidFill>
              <w14:schemeClr w14:val="tx1"/>
            </w14:solidFill>
          </w14:textFill>
        </w:rPr>
      </w:pPr>
    </w:p>
    <w:p w14:paraId="3B3AC4AB">
      <w:pPr>
        <w:pStyle w:val="7"/>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50E9449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85" w:name="_Toc1973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185"/>
    </w:p>
    <w:p w14:paraId="09A847A8">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YXCG-20260914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p>
    <w:p w14:paraId="15B53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362450" cy="1606550"/>
                <wp:effectExtent l="5080" t="5080" r="13970" b="7620"/>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362450" cy="1606550"/>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26.5pt;width:343.5pt;z-index:251661312;mso-width-relative:page;mso-height-relative:page;" fillcolor="#FFFFFF" filled="t" stroked="t" coordsize="21600,21600" o:gfxdata="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OXJFE1AAAAAcBAAAP&#10;AAAAAAAAAAEAIAAAACIAAABkcnMvZG93bnJldi54bWxQSwECFAAUAAAACACHTuJA88Zj71UCAACk&#10;BAAADgAAAAAAAAABACAAAAAjAQAAZHJzL2Uyb0RvYy54bWxQSwUGAAAAAAYABgBZAQAA6gUAA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7615FAB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6" w:name="_Toc1033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186"/>
    </w:p>
    <w:p w14:paraId="6AEE07B4">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BA277D">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45F88A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2C320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1D7D34">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87" w:name="_Toc241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87"/>
    </w:p>
    <w:p w14:paraId="69BB1581">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64CE26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95184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63171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8" w:name="_Toc1170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88"/>
    </w:p>
    <w:p w14:paraId="659E221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9E0ADD9">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DFBC0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EB6BD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4CD7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FDF2B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4561C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C8E6B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EDCDD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9EEB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52709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49B7F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A88678">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A5C16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CBA44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89" w:name="_Toc1892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89"/>
    </w:p>
    <w:p w14:paraId="462DCA6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7F51F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阳江市市场监督管理局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DF9205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90" w:name="_Toc3166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90"/>
    </w:p>
    <w:p w14:paraId="44FF4C1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2FE2572">
      <w:pP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page"/>
      </w:r>
    </w:p>
    <w:p w14:paraId="6DEE2D8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36F54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F006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F7E5F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45C4B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C27AF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1" w:name="_Toc1184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91"/>
    </w:p>
    <w:p w14:paraId="74EFF51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7BB8C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F8E0E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C4D4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18AAF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D370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BB1AF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2" w:name="_Toc2818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92"/>
    </w:p>
    <w:p w14:paraId="0E3F77E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26C1E8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53AB3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07A2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AF5C2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3" w:name="_Toc2314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93"/>
    </w:p>
    <w:p w14:paraId="39CD9B4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B84E5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29BEB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E2A4D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87A5F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CE9E8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24E0D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BB1B4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4210A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6979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97369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89E84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6368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69C87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67E7D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4164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26FE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7627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1FDC13">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526AA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4" w:name="_Toc1502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94"/>
    </w:p>
    <w:p w14:paraId="1F96257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122D5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8"/>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E2C068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F2174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B11C1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7BA13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EFED6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9669D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74095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F9999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2EF35">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0BCF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1E95D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AAA9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E760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8E81C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561B1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58760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5" w:name="_Toc2870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95"/>
    </w:p>
    <w:p w14:paraId="70AFD61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B75D11">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7B20544">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6" w:name="_Toc1516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96"/>
    </w:p>
    <w:p w14:paraId="518C213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C31EF5">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3F69855D">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296" w:type="dxa"/>
            <w:vAlign w:val="top"/>
          </w:tcPr>
          <w:p w14:paraId="641AF8D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296" w:type="dxa"/>
            <w:vAlign w:val="top"/>
          </w:tcPr>
          <w:p w14:paraId="7B18919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296" w:type="dxa"/>
            <w:vAlign w:val="top"/>
          </w:tcPr>
          <w:p w14:paraId="56D6A0F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296" w:type="dxa"/>
            <w:vAlign w:val="top"/>
          </w:tcPr>
          <w:p w14:paraId="17504B6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296" w:type="dxa"/>
            <w:vAlign w:val="top"/>
          </w:tcPr>
          <w:p w14:paraId="7F05847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296" w:type="dxa"/>
            <w:vAlign w:val="top"/>
          </w:tcPr>
          <w:p w14:paraId="461AC48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D67B32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2F572F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296"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5B8F5D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296"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238325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296"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4D95A4C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296"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F0902A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296"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5B401F3C">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296"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1A0671B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296"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67B701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296"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48459CF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7" w:name="_Toc339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97"/>
    </w:p>
    <w:p w14:paraId="11660AF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90D71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EE14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BC263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6A4173">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F826E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8" w:name="_Toc2376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98"/>
    </w:p>
    <w:p w14:paraId="1E8FC84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4CFF80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B9EAF3">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AC8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A6C88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569B0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88DDD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99" w:name="_Toc158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99"/>
    </w:p>
    <w:p w14:paraId="4896881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798B7D">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阳江市学校食堂“互联网+明厨亮灶”系统升级（2026年）项目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YXCG-20260914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A74672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200" w:name="_Toc213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200"/>
    </w:p>
    <w:p w14:paraId="6C678DB8">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892B8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F8D32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F556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16194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096DB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69F5D">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93A54">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4FC1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B6676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758A2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EC1371">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9B8BB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7274EB">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5721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7F5AB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40F2">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E2C47">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F0D30">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67A7D6">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201" w:name="_Toc218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201"/>
    </w:p>
    <w:p w14:paraId="68D1F28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5FB1D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E3BAC3">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A2A8D">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549E8F">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64F8B5">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6C8EA">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8851D6">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B8C7C">
      <w:pPr>
        <w:pStyle w:val="22"/>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2"/>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CC14C">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8AF0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9E5149">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5723A">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3A9294">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EA163">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356E5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4F9E0E">
      <w:pPr>
        <w:pStyle w:val="22"/>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202" w:name="_Toc1239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202"/>
    </w:p>
    <w:p w14:paraId="0E4751E3">
      <w:pPr>
        <w:pStyle w:val="22"/>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2"/>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22"/>
        <w:rPr>
          <w:rFonts w:hint="eastAsia"/>
          <w:color w:val="000000" w:themeColor="text1"/>
          <w:highlight w:val="none"/>
          <w:lang w:val="en-US" w:eastAsia="zh-Hans"/>
          <w14:textFill>
            <w14:solidFill>
              <w14:schemeClr w14:val="tx1"/>
            </w14:solidFill>
          </w14:textFill>
        </w:rPr>
      </w:pPr>
    </w:p>
    <w:p w14:paraId="708D0FA9">
      <w:pPr>
        <w:pStyle w:val="22"/>
        <w:rPr>
          <w:rFonts w:hint="eastAsia"/>
          <w:color w:val="000000" w:themeColor="text1"/>
          <w:highlight w:val="none"/>
          <w:lang w:val="en-US" w:eastAsia="zh-Hans"/>
          <w14:textFill>
            <w14:solidFill>
              <w14:schemeClr w14:val="tx1"/>
            </w14:solidFill>
          </w14:textFill>
        </w:rPr>
      </w:pPr>
    </w:p>
    <w:p w14:paraId="334AC9EE">
      <w:pPr>
        <w:pStyle w:val="22"/>
        <w:rPr>
          <w:rFonts w:hint="eastAsia"/>
          <w:color w:val="000000" w:themeColor="text1"/>
          <w:highlight w:val="none"/>
          <w:lang w:val="en-US" w:eastAsia="zh-Hans"/>
          <w14:textFill>
            <w14:solidFill>
              <w14:schemeClr w14:val="tx1"/>
            </w14:solidFill>
          </w14:textFill>
        </w:rPr>
      </w:pPr>
    </w:p>
    <w:p w14:paraId="1CE47668">
      <w:pPr>
        <w:pStyle w:val="22"/>
        <w:rPr>
          <w:rFonts w:hint="eastAsia"/>
          <w:color w:val="000000" w:themeColor="text1"/>
          <w:highlight w:val="none"/>
          <w:lang w:val="en-US" w:eastAsia="zh-Hans"/>
          <w14:textFill>
            <w14:solidFill>
              <w14:schemeClr w14:val="tx1"/>
            </w14:solidFill>
          </w14:textFill>
        </w:rPr>
      </w:pPr>
    </w:p>
    <w:p w14:paraId="1BC77DC0">
      <w:pPr>
        <w:pStyle w:val="22"/>
        <w:rPr>
          <w:rFonts w:hint="eastAsia"/>
          <w:color w:val="000000" w:themeColor="text1"/>
          <w:highlight w:val="none"/>
          <w:lang w:val="en-US" w:eastAsia="zh-Hans"/>
          <w14:textFill>
            <w14:solidFill>
              <w14:schemeClr w14:val="tx1"/>
            </w14:solidFill>
          </w14:textFill>
        </w:rPr>
      </w:pPr>
    </w:p>
    <w:p w14:paraId="0DD684D0">
      <w:pPr>
        <w:pStyle w:val="22"/>
        <w:rPr>
          <w:rFonts w:hint="eastAsia"/>
          <w:color w:val="000000" w:themeColor="text1"/>
          <w:highlight w:val="none"/>
          <w:lang w:val="en-US" w:eastAsia="zh-Hans"/>
          <w14:textFill>
            <w14:solidFill>
              <w14:schemeClr w14:val="tx1"/>
            </w14:solidFill>
          </w14:textFill>
        </w:rPr>
      </w:pPr>
    </w:p>
    <w:p w14:paraId="23118824">
      <w:pPr>
        <w:pStyle w:val="22"/>
        <w:rPr>
          <w:rFonts w:hint="eastAsia"/>
          <w:color w:val="000000" w:themeColor="text1"/>
          <w:highlight w:val="none"/>
          <w:lang w:val="en-US" w:eastAsia="zh-Hans"/>
          <w14:textFill>
            <w14:solidFill>
              <w14:schemeClr w14:val="tx1"/>
            </w14:solidFill>
          </w14:textFill>
        </w:rPr>
      </w:pPr>
    </w:p>
    <w:p w14:paraId="39A3EB57">
      <w:pPr>
        <w:pStyle w:val="22"/>
        <w:rPr>
          <w:rFonts w:hint="eastAsia"/>
          <w:color w:val="000000" w:themeColor="text1"/>
          <w:highlight w:val="none"/>
          <w:lang w:val="en-US" w:eastAsia="zh-Hans"/>
          <w14:textFill>
            <w14:solidFill>
              <w14:schemeClr w14:val="tx1"/>
            </w14:solidFill>
          </w14:textFill>
        </w:rPr>
      </w:pPr>
    </w:p>
    <w:p w14:paraId="3A82B74E">
      <w:pPr>
        <w:pStyle w:val="22"/>
        <w:rPr>
          <w:rFonts w:hint="eastAsia"/>
          <w:color w:val="000000" w:themeColor="text1"/>
          <w:highlight w:val="none"/>
          <w:lang w:val="en-US" w:eastAsia="zh-Hans"/>
          <w14:textFill>
            <w14:solidFill>
              <w14:schemeClr w14:val="tx1"/>
            </w14:solidFill>
          </w14:textFill>
        </w:rPr>
      </w:pPr>
    </w:p>
    <w:p w14:paraId="5D04EF79">
      <w:pPr>
        <w:pStyle w:val="22"/>
        <w:rPr>
          <w:rFonts w:hint="eastAsia"/>
          <w:color w:val="000000" w:themeColor="text1"/>
          <w:highlight w:val="none"/>
          <w:lang w:val="en-US" w:eastAsia="zh-Hans"/>
          <w14:textFill>
            <w14:solidFill>
              <w14:schemeClr w14:val="tx1"/>
            </w14:solidFill>
          </w14:textFill>
        </w:rPr>
      </w:pPr>
    </w:p>
    <w:p w14:paraId="740D9E95">
      <w:pPr>
        <w:pStyle w:val="22"/>
        <w:rPr>
          <w:rFonts w:hint="eastAsia"/>
          <w:color w:val="000000" w:themeColor="text1"/>
          <w:highlight w:val="none"/>
          <w:lang w:val="en-US" w:eastAsia="zh-Hans"/>
          <w14:textFill>
            <w14:solidFill>
              <w14:schemeClr w14:val="tx1"/>
            </w14:solidFill>
          </w14:textFill>
        </w:rPr>
      </w:pPr>
    </w:p>
    <w:p w14:paraId="6F2EADD6">
      <w:pPr>
        <w:pStyle w:val="22"/>
        <w:rPr>
          <w:rFonts w:hint="eastAsia"/>
          <w:color w:val="000000" w:themeColor="text1"/>
          <w:highlight w:val="none"/>
          <w:lang w:val="en-US" w:eastAsia="zh-Hans"/>
          <w14:textFill>
            <w14:solidFill>
              <w14:schemeClr w14:val="tx1"/>
            </w14:solidFill>
          </w14:textFill>
        </w:rPr>
      </w:pPr>
    </w:p>
    <w:p w14:paraId="237296C9">
      <w:pPr>
        <w:pStyle w:val="22"/>
        <w:rPr>
          <w:rFonts w:hint="eastAsia"/>
          <w:color w:val="000000" w:themeColor="text1"/>
          <w:highlight w:val="none"/>
          <w:lang w:val="en-US" w:eastAsia="zh-Hans"/>
          <w14:textFill>
            <w14:solidFill>
              <w14:schemeClr w14:val="tx1"/>
            </w14:solidFill>
          </w14:textFill>
        </w:rPr>
      </w:pPr>
    </w:p>
    <w:p w14:paraId="6F7079CA">
      <w:pPr>
        <w:pStyle w:val="22"/>
        <w:rPr>
          <w:rFonts w:hint="eastAsia"/>
          <w:color w:val="000000" w:themeColor="text1"/>
          <w:highlight w:val="none"/>
          <w:lang w:val="en-US" w:eastAsia="zh-Hans"/>
          <w14:textFill>
            <w14:solidFill>
              <w14:schemeClr w14:val="tx1"/>
            </w14:solidFill>
          </w14:textFill>
        </w:rPr>
      </w:pPr>
    </w:p>
    <w:p w14:paraId="25E036EE">
      <w:pPr>
        <w:pStyle w:val="22"/>
        <w:rPr>
          <w:rFonts w:hint="eastAsia"/>
          <w:color w:val="000000" w:themeColor="text1"/>
          <w:highlight w:val="none"/>
          <w:lang w:val="en-US" w:eastAsia="zh-Hans"/>
          <w14:textFill>
            <w14:solidFill>
              <w14:schemeClr w14:val="tx1"/>
            </w14:solidFill>
          </w14:textFill>
        </w:rPr>
      </w:pPr>
    </w:p>
    <w:p w14:paraId="1AE79E39">
      <w:pPr>
        <w:pStyle w:val="22"/>
        <w:rPr>
          <w:rFonts w:hint="eastAsia"/>
          <w:color w:val="000000" w:themeColor="text1"/>
          <w:highlight w:val="none"/>
          <w:lang w:val="en-US" w:eastAsia="zh-Hans"/>
          <w14:textFill>
            <w14:solidFill>
              <w14:schemeClr w14:val="tx1"/>
            </w14:solidFill>
          </w14:textFill>
        </w:rPr>
      </w:pPr>
    </w:p>
    <w:p w14:paraId="2D455EC8">
      <w:pPr>
        <w:pStyle w:val="22"/>
        <w:rPr>
          <w:rFonts w:hint="eastAsia"/>
          <w:color w:val="000000" w:themeColor="text1"/>
          <w:highlight w:val="none"/>
          <w:lang w:val="en-US" w:eastAsia="zh-Hans"/>
          <w14:textFill>
            <w14:solidFill>
              <w14:schemeClr w14:val="tx1"/>
            </w14:solidFill>
          </w14:textFill>
        </w:rPr>
      </w:pPr>
    </w:p>
    <w:p w14:paraId="74F96EEC">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28"/>
          <w:szCs w:val="28"/>
          <w:highlight w:val="none"/>
          <w14:textFill>
            <w14:solidFill>
              <w14:schemeClr w14:val="tx1"/>
            </w14:solidFill>
          </w14:textFill>
        </w:rPr>
      </w:pPr>
      <w:bookmarkStart w:id="203" w:name="_Toc11044"/>
      <w:r>
        <w:rPr>
          <w:rFonts w:hint="eastAsia" w:ascii="宋体" w:hAnsi="宋体" w:eastAsia="宋体" w:cs="宋体"/>
          <w:b/>
          <w:bCs/>
          <w:color w:val="000000" w:themeColor="text1"/>
          <w:kern w:val="0"/>
          <w:sz w:val="28"/>
          <w:szCs w:val="28"/>
          <w:highlight w:val="none"/>
          <w14:textFill>
            <w14:solidFill>
              <w14:schemeClr w14:val="tx1"/>
            </w14:solidFill>
          </w14:textFill>
        </w:rPr>
        <w:t>附件</w:t>
      </w:r>
      <w:bookmarkEnd w:id="203"/>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204" w:name="_Toc24624"/>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204"/>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205" w:name="_Toc7366"/>
      <w:bookmarkStart w:id="206" w:name="_Hlk534184791"/>
      <w:r>
        <w:rPr>
          <w:rFonts w:hint="eastAsia"/>
          <w:b/>
          <w:bCs/>
          <w:color w:val="000000" w:themeColor="text1"/>
          <w:sz w:val="44"/>
          <w:szCs w:val="44"/>
          <w:highlight w:val="none"/>
          <w14:textFill>
            <w14:solidFill>
              <w14:schemeClr w14:val="tx1"/>
            </w14:solidFill>
          </w14:textFill>
        </w:rPr>
        <w:t>购买标书登记表</w:t>
      </w:r>
      <w:bookmarkEnd w:id="205"/>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8"/>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206"/>
    <w:p w14:paraId="1FF65EEB">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1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12"/>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3"/>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
    <w:nsid w:val="47A37A4B"/>
    <w:multiLevelType w:val="multilevel"/>
    <w:tmpl w:val="47A37A4B"/>
    <w:lvl w:ilvl="0" w:tentative="0">
      <w:start w:val="1"/>
      <w:numFmt w:val="decimal"/>
      <w:lvlText w:val="第%1章"/>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ascii="Times New Roman" w:hAnsi="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24261A6"/>
    <w:rsid w:val="024C5C84"/>
    <w:rsid w:val="025832D3"/>
    <w:rsid w:val="02D920DF"/>
    <w:rsid w:val="032327D6"/>
    <w:rsid w:val="038C2F8B"/>
    <w:rsid w:val="039D04CA"/>
    <w:rsid w:val="04161698"/>
    <w:rsid w:val="042172CF"/>
    <w:rsid w:val="04BA09A7"/>
    <w:rsid w:val="04D05CEB"/>
    <w:rsid w:val="0566160C"/>
    <w:rsid w:val="05F15F19"/>
    <w:rsid w:val="063D4CBA"/>
    <w:rsid w:val="06E1489A"/>
    <w:rsid w:val="06FA07EB"/>
    <w:rsid w:val="070E48A8"/>
    <w:rsid w:val="075838FA"/>
    <w:rsid w:val="078D7EC3"/>
    <w:rsid w:val="083D71F3"/>
    <w:rsid w:val="085E56AE"/>
    <w:rsid w:val="09EF276F"/>
    <w:rsid w:val="0A634F0B"/>
    <w:rsid w:val="0B3A5C6C"/>
    <w:rsid w:val="0B495EAF"/>
    <w:rsid w:val="0B9C568C"/>
    <w:rsid w:val="0C7A48B8"/>
    <w:rsid w:val="0C8C24F7"/>
    <w:rsid w:val="0CA27F6D"/>
    <w:rsid w:val="0CA57A2F"/>
    <w:rsid w:val="0CC41D6A"/>
    <w:rsid w:val="0D6604F6"/>
    <w:rsid w:val="0DDC74AE"/>
    <w:rsid w:val="0E464928"/>
    <w:rsid w:val="0E556903"/>
    <w:rsid w:val="0E7771D7"/>
    <w:rsid w:val="108865E6"/>
    <w:rsid w:val="11230F50"/>
    <w:rsid w:val="11A07096"/>
    <w:rsid w:val="11D558AC"/>
    <w:rsid w:val="1283439D"/>
    <w:rsid w:val="138A175B"/>
    <w:rsid w:val="14467430"/>
    <w:rsid w:val="145B7483"/>
    <w:rsid w:val="14C940E6"/>
    <w:rsid w:val="15BA4914"/>
    <w:rsid w:val="15D942D4"/>
    <w:rsid w:val="162163A6"/>
    <w:rsid w:val="177F50ED"/>
    <w:rsid w:val="18463EA2"/>
    <w:rsid w:val="18C617AF"/>
    <w:rsid w:val="190F698A"/>
    <w:rsid w:val="193E7F56"/>
    <w:rsid w:val="19B36BD2"/>
    <w:rsid w:val="1A917758"/>
    <w:rsid w:val="1AA66E7A"/>
    <w:rsid w:val="1B4D5548"/>
    <w:rsid w:val="1B882A24"/>
    <w:rsid w:val="1BF81957"/>
    <w:rsid w:val="1C101B3C"/>
    <w:rsid w:val="1C6A3ED7"/>
    <w:rsid w:val="1C8721A2"/>
    <w:rsid w:val="1D0B1216"/>
    <w:rsid w:val="1D21234A"/>
    <w:rsid w:val="1D3A4AF0"/>
    <w:rsid w:val="1D412F68"/>
    <w:rsid w:val="1D767D77"/>
    <w:rsid w:val="1D9B2B44"/>
    <w:rsid w:val="203242E9"/>
    <w:rsid w:val="207B2D2A"/>
    <w:rsid w:val="207D242B"/>
    <w:rsid w:val="208539D6"/>
    <w:rsid w:val="2133507B"/>
    <w:rsid w:val="219859DA"/>
    <w:rsid w:val="21B21B9E"/>
    <w:rsid w:val="221943D6"/>
    <w:rsid w:val="22F10EAE"/>
    <w:rsid w:val="23156E23"/>
    <w:rsid w:val="234B69D8"/>
    <w:rsid w:val="23FB55E8"/>
    <w:rsid w:val="2499649D"/>
    <w:rsid w:val="24C30629"/>
    <w:rsid w:val="255F2A47"/>
    <w:rsid w:val="257007B0"/>
    <w:rsid w:val="26025181"/>
    <w:rsid w:val="26105AEF"/>
    <w:rsid w:val="26415CA9"/>
    <w:rsid w:val="26747E2C"/>
    <w:rsid w:val="2694227D"/>
    <w:rsid w:val="27167136"/>
    <w:rsid w:val="27C070A1"/>
    <w:rsid w:val="281E0CB9"/>
    <w:rsid w:val="287C121A"/>
    <w:rsid w:val="28DB23E5"/>
    <w:rsid w:val="29935E30"/>
    <w:rsid w:val="299747E3"/>
    <w:rsid w:val="29DB5F49"/>
    <w:rsid w:val="2AC67A36"/>
    <w:rsid w:val="2B2A092C"/>
    <w:rsid w:val="2B51698E"/>
    <w:rsid w:val="2BB313F7"/>
    <w:rsid w:val="2D346567"/>
    <w:rsid w:val="2D5C569C"/>
    <w:rsid w:val="2DB71F51"/>
    <w:rsid w:val="2E2747FA"/>
    <w:rsid w:val="2E7D5CEC"/>
    <w:rsid w:val="2ED51684"/>
    <w:rsid w:val="2EFC463E"/>
    <w:rsid w:val="2F1429B9"/>
    <w:rsid w:val="30C97B57"/>
    <w:rsid w:val="31E367AE"/>
    <w:rsid w:val="32C43EEA"/>
    <w:rsid w:val="32FE5EB6"/>
    <w:rsid w:val="335C05C6"/>
    <w:rsid w:val="337551E4"/>
    <w:rsid w:val="340B78F6"/>
    <w:rsid w:val="34FA4631"/>
    <w:rsid w:val="35270760"/>
    <w:rsid w:val="357A4D33"/>
    <w:rsid w:val="35FC0739"/>
    <w:rsid w:val="36A93B22"/>
    <w:rsid w:val="36DD40B2"/>
    <w:rsid w:val="36EA7640"/>
    <w:rsid w:val="37555A58"/>
    <w:rsid w:val="37810484"/>
    <w:rsid w:val="378555CE"/>
    <w:rsid w:val="384855BD"/>
    <w:rsid w:val="38DD7AB3"/>
    <w:rsid w:val="3953684A"/>
    <w:rsid w:val="396226AE"/>
    <w:rsid w:val="398048E2"/>
    <w:rsid w:val="39D87235"/>
    <w:rsid w:val="3A83468A"/>
    <w:rsid w:val="3ABA79C1"/>
    <w:rsid w:val="3BB56AC5"/>
    <w:rsid w:val="3C425ABB"/>
    <w:rsid w:val="3C77021F"/>
    <w:rsid w:val="3CBD0327"/>
    <w:rsid w:val="3D1B3AA0"/>
    <w:rsid w:val="3D216B36"/>
    <w:rsid w:val="3E2A590C"/>
    <w:rsid w:val="3E9C5D1B"/>
    <w:rsid w:val="3F035D9A"/>
    <w:rsid w:val="3F9A2A03"/>
    <w:rsid w:val="400E49F6"/>
    <w:rsid w:val="40774C91"/>
    <w:rsid w:val="409500FD"/>
    <w:rsid w:val="415428DD"/>
    <w:rsid w:val="42075BA1"/>
    <w:rsid w:val="423C1CEE"/>
    <w:rsid w:val="429F5DD9"/>
    <w:rsid w:val="4301065E"/>
    <w:rsid w:val="43544E16"/>
    <w:rsid w:val="43CA332A"/>
    <w:rsid w:val="44435C86"/>
    <w:rsid w:val="450D7972"/>
    <w:rsid w:val="451C4E7E"/>
    <w:rsid w:val="457D4789"/>
    <w:rsid w:val="45A54CE6"/>
    <w:rsid w:val="45CF2E79"/>
    <w:rsid w:val="46690BD8"/>
    <w:rsid w:val="47F70466"/>
    <w:rsid w:val="48174664"/>
    <w:rsid w:val="491D5CAA"/>
    <w:rsid w:val="49B303BC"/>
    <w:rsid w:val="49BE157C"/>
    <w:rsid w:val="49D217F6"/>
    <w:rsid w:val="4A2445C6"/>
    <w:rsid w:val="4A340EAF"/>
    <w:rsid w:val="4B0826F7"/>
    <w:rsid w:val="4B086B5A"/>
    <w:rsid w:val="4B0D06CC"/>
    <w:rsid w:val="4B2772B4"/>
    <w:rsid w:val="4B3317B5"/>
    <w:rsid w:val="4DAB1AD6"/>
    <w:rsid w:val="4E0F475B"/>
    <w:rsid w:val="4F974A08"/>
    <w:rsid w:val="4FB56C3C"/>
    <w:rsid w:val="4FCB54A7"/>
    <w:rsid w:val="509B4084"/>
    <w:rsid w:val="51600E2A"/>
    <w:rsid w:val="51695B6B"/>
    <w:rsid w:val="51CB61A4"/>
    <w:rsid w:val="528772DA"/>
    <w:rsid w:val="52927709"/>
    <w:rsid w:val="53B316E5"/>
    <w:rsid w:val="53B52B8D"/>
    <w:rsid w:val="5488491F"/>
    <w:rsid w:val="55236D3E"/>
    <w:rsid w:val="553F41B2"/>
    <w:rsid w:val="55A439DB"/>
    <w:rsid w:val="568C47D3"/>
    <w:rsid w:val="56F75D8C"/>
    <w:rsid w:val="571D28A3"/>
    <w:rsid w:val="575925A3"/>
    <w:rsid w:val="57D460CD"/>
    <w:rsid w:val="58B02697"/>
    <w:rsid w:val="58C223CA"/>
    <w:rsid w:val="594F3C5E"/>
    <w:rsid w:val="5A0343A1"/>
    <w:rsid w:val="5A7E2464"/>
    <w:rsid w:val="5BBC793B"/>
    <w:rsid w:val="5CF7615A"/>
    <w:rsid w:val="5EB90EE3"/>
    <w:rsid w:val="60562B7F"/>
    <w:rsid w:val="60A61B01"/>
    <w:rsid w:val="60AC0895"/>
    <w:rsid w:val="60BA7F29"/>
    <w:rsid w:val="62DE6052"/>
    <w:rsid w:val="63660521"/>
    <w:rsid w:val="63807109"/>
    <w:rsid w:val="63B079EF"/>
    <w:rsid w:val="63B76FCA"/>
    <w:rsid w:val="63C4630B"/>
    <w:rsid w:val="63D556A7"/>
    <w:rsid w:val="63DD630A"/>
    <w:rsid w:val="64F658D5"/>
    <w:rsid w:val="66613222"/>
    <w:rsid w:val="66702E67"/>
    <w:rsid w:val="675F30F2"/>
    <w:rsid w:val="685E5C6B"/>
    <w:rsid w:val="68C33D20"/>
    <w:rsid w:val="68D0643D"/>
    <w:rsid w:val="68E465BF"/>
    <w:rsid w:val="693966D8"/>
    <w:rsid w:val="69F148BD"/>
    <w:rsid w:val="6B7632CC"/>
    <w:rsid w:val="6BD64493"/>
    <w:rsid w:val="6C0703C8"/>
    <w:rsid w:val="6C9205D9"/>
    <w:rsid w:val="6CCB2A08"/>
    <w:rsid w:val="6CF546C4"/>
    <w:rsid w:val="6D0C2FBA"/>
    <w:rsid w:val="6D4A53DD"/>
    <w:rsid w:val="6E6733A0"/>
    <w:rsid w:val="6EA166FA"/>
    <w:rsid w:val="6EAD34A8"/>
    <w:rsid w:val="6F305E87"/>
    <w:rsid w:val="6F834209"/>
    <w:rsid w:val="6F857F81"/>
    <w:rsid w:val="6FD9207B"/>
    <w:rsid w:val="70544A29"/>
    <w:rsid w:val="70595806"/>
    <w:rsid w:val="70C1148D"/>
    <w:rsid w:val="70F03B20"/>
    <w:rsid w:val="717A70B8"/>
    <w:rsid w:val="71B96608"/>
    <w:rsid w:val="71CF3736"/>
    <w:rsid w:val="71E73175"/>
    <w:rsid w:val="725231E8"/>
    <w:rsid w:val="72701D1A"/>
    <w:rsid w:val="73027B3B"/>
    <w:rsid w:val="73D2750D"/>
    <w:rsid w:val="73FE47A6"/>
    <w:rsid w:val="7470796E"/>
    <w:rsid w:val="749649DF"/>
    <w:rsid w:val="75B27CA5"/>
    <w:rsid w:val="75CC75E6"/>
    <w:rsid w:val="76143E0D"/>
    <w:rsid w:val="77130569"/>
    <w:rsid w:val="77F79321"/>
    <w:rsid w:val="78056103"/>
    <w:rsid w:val="78972AD3"/>
    <w:rsid w:val="78A56B5E"/>
    <w:rsid w:val="7A10700A"/>
    <w:rsid w:val="7A1E34AC"/>
    <w:rsid w:val="7A3C3932"/>
    <w:rsid w:val="7AD85D51"/>
    <w:rsid w:val="7AEA5A84"/>
    <w:rsid w:val="7B890DF9"/>
    <w:rsid w:val="7D345B87"/>
    <w:rsid w:val="7D743B77"/>
    <w:rsid w:val="7DAB18DF"/>
    <w:rsid w:val="7DB44158"/>
    <w:rsid w:val="7DB55F5E"/>
    <w:rsid w:val="7DDB1F42"/>
    <w:rsid w:val="7DEA3AE1"/>
    <w:rsid w:val="7E696CC0"/>
    <w:rsid w:val="7E7A7402"/>
    <w:rsid w:val="7EA81482"/>
    <w:rsid w:val="7EE011E6"/>
    <w:rsid w:val="7EFD1381"/>
    <w:rsid w:val="7F0B7D77"/>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4">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5">
    <w:name w:val="heading 4"/>
    <w:basedOn w:val="1"/>
    <w:next w:val="1"/>
    <w:qFormat/>
    <w:uiPriority w:val="0"/>
    <w:pPr>
      <w:keepNext/>
      <w:keepLines/>
      <w:numPr>
        <w:ilvl w:val="3"/>
        <w:numId w:val="2"/>
      </w:numPr>
      <w:spacing w:before="280" w:after="290" w:line="377" w:lineRule="auto"/>
      <w:ind w:left="0" w:firstLine="0" w:firstLineChars="0"/>
      <w:jc w:val="left"/>
      <w:outlineLvl w:val="3"/>
    </w:pPr>
    <w:rPr>
      <w:b/>
      <w:bCs/>
      <w:szCs w:val="28"/>
    </w:rPr>
  </w:style>
  <w:style w:type="paragraph" w:styleId="6">
    <w:name w:val="heading 5"/>
    <w:basedOn w:val="1"/>
    <w:next w:val="1"/>
    <w:qFormat/>
    <w:uiPriority w:val="0"/>
    <w:pPr>
      <w:keepNext/>
      <w:keepLines/>
      <w:numPr>
        <w:ilvl w:val="4"/>
        <w:numId w:val="2"/>
      </w:numPr>
      <w:spacing w:before="280" w:after="290" w:line="377" w:lineRule="auto"/>
      <w:ind w:left="0" w:firstLine="0" w:firstLineChars="0"/>
      <w:jc w:val="left"/>
      <w:outlineLvl w:val="4"/>
    </w:pPr>
    <w:rPr>
      <w:b/>
      <w:bCs/>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widowControl/>
      <w:spacing w:after="120" w:afterLines="0" w:line="480" w:lineRule="auto"/>
      <w:jc w:val="left"/>
    </w:pPr>
    <w:rPr>
      <w:kern w:val="0"/>
      <w:szCs w:val="20"/>
    </w:rPr>
  </w:style>
  <w:style w:type="paragraph" w:styleId="7">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8">
    <w:name w:val="index 5"/>
    <w:basedOn w:val="1"/>
    <w:next w:val="1"/>
    <w:qFormat/>
    <w:uiPriority w:val="0"/>
    <w:pPr>
      <w:ind w:left="1680"/>
    </w:pPr>
  </w:style>
  <w:style w:type="paragraph" w:styleId="9">
    <w:name w:val="Body Text Indent"/>
    <w:basedOn w:val="1"/>
    <w:qFormat/>
    <w:uiPriority w:val="0"/>
    <w:pPr>
      <w:spacing w:after="120" w:afterLines="0"/>
      <w:ind w:left="420" w:leftChars="200"/>
    </w:pPr>
    <w:rPr>
      <w:rFonts w:ascii="Times New Roman" w:hAnsi="Times New Roman" w:cs="Times New Roman"/>
    </w:r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7">
    <w:name w:val="Body Text First Indent 2"/>
    <w:basedOn w:val="9"/>
    <w:next w:val="1"/>
    <w:qFormat/>
    <w:uiPriority w:val="0"/>
    <w:pPr>
      <w:spacing w:after="0" w:afterLines="0"/>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styleId="23">
    <w:name w:val="Placeholder Text"/>
    <w:basedOn w:val="20"/>
    <w:semiHidden/>
    <w:qFormat/>
    <w:uiPriority w:val="99"/>
    <w:rPr>
      <w:color w:val="808080"/>
    </w:rPr>
  </w:style>
  <w:style w:type="paragraph" w:customStyle="1" w:styleId="24">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5">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6">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styleId="28">
    <w:name w:val="List Paragraph"/>
    <w:basedOn w:val="1"/>
    <w:autoRedefine/>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emf"/><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4461</Words>
  <Characters>4840</Characters>
  <Lines>0</Lines>
  <Paragraphs>0</Paragraphs>
  <TotalTime>2</TotalTime>
  <ScaleCrop>false</ScaleCrop>
  <LinksUpToDate>false</LinksUpToDate>
  <CharactersWithSpaces>4981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cp:lastPrinted>2026-09-23T02:04:00Z</cp:lastPrinted>
  <dcterms:modified xsi:type="dcterms:W3CDTF">2026-09-23T09:56:41Z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794C5F652E8243A98213E2D4145E416F_13</vt:lpwstr>
  </property>
  <property fmtid="{D5CDD505-2E9C-101B-9397-08002B2CF9AE}" pid="4" name="KSOTemplateDocerSaveRecord">
    <vt:lpwstr>eyJoZGlkIjoiNjRhODA0MGJlYjkwYzhjNWY3NDVmZDZhNTM4ODVlZmIiLCJ1c2VySWQiOiI0MzkwMDY1NTEifQ==</vt:lpwstr>
  </property>
</Properties>
</file>