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92926">
      <w:pPr>
        <w:pStyle w:val="22"/>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r>
        <w:rPr>
          <w:rFonts w:hint="eastAsia" w:hAnsi="宋体"/>
          <w:bCs/>
          <w:color w:val="000000" w:themeColor="text1"/>
          <w:sz w:val="32"/>
          <w:highlight w:val="none"/>
          <w14:textFill>
            <w14:solidFill>
              <w14:schemeClr w14:val="tx1"/>
            </w14:solidFill>
          </w14:textFill>
        </w:rPr>
        <w:drawing>
          <wp:inline distT="0" distB="0" distL="0" distR="0">
            <wp:extent cx="2320290" cy="370840"/>
            <wp:effectExtent l="0" t="0" r="0" b="0"/>
            <wp:docPr id="1"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08A7CBF4">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CC3E521">
      <w:pPr>
        <w:pStyle w:val="22"/>
        <w:widowControl/>
        <w:adjustRightInd w:val="0"/>
        <w:snapToGrid w:val="0"/>
        <w:spacing w:line="360" w:lineRule="auto"/>
        <w:jc w:val="center"/>
        <w:rPr>
          <w:rFonts w:hAnsi="宋体"/>
          <w:b/>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竞争性谈判</w:t>
      </w:r>
    </w:p>
    <w:p w14:paraId="4F1D4E6F">
      <w:pPr>
        <w:pStyle w:val="22"/>
        <w:widowControl/>
        <w:adjustRightInd w:val="0"/>
        <w:snapToGrid w:val="0"/>
        <w:spacing w:line="360" w:lineRule="auto"/>
        <w:jc w:val="center"/>
        <w:rPr>
          <w:rFonts w:hAnsi="宋体"/>
          <w:bCs/>
          <w:color w:val="000000" w:themeColor="text1"/>
          <w:sz w:val="72"/>
          <w:szCs w:val="72"/>
          <w:highlight w:val="none"/>
          <w14:textFill>
            <w14:solidFill>
              <w14:schemeClr w14:val="tx1"/>
            </w14:solidFill>
          </w14:textFill>
        </w:rPr>
      </w:pPr>
    </w:p>
    <w:p w14:paraId="79965635">
      <w:pPr>
        <w:pStyle w:val="22"/>
        <w:widowControl/>
        <w:adjustRightInd w:val="0"/>
        <w:snapToGrid w:val="0"/>
        <w:spacing w:line="360" w:lineRule="auto"/>
        <w:jc w:val="center"/>
        <w:rPr>
          <w:rFonts w:ascii="黑体" w:hAnsi="黑体" w:eastAsia="黑体"/>
          <w:b/>
          <w:bCs/>
          <w:color w:val="000000" w:themeColor="text1"/>
          <w:sz w:val="36"/>
          <w:highlight w:val="none"/>
          <w14:textFill>
            <w14:solidFill>
              <w14:schemeClr w14:val="tx1"/>
            </w14:solidFill>
          </w14:textFill>
        </w:rPr>
      </w:pPr>
      <w:r>
        <w:rPr>
          <w:rFonts w:hint="eastAsia" w:ascii="黑体" w:hAnsi="黑体" w:eastAsia="黑体"/>
          <w:b/>
          <w:bCs/>
          <w:color w:val="000000" w:themeColor="text1"/>
          <w:sz w:val="72"/>
          <w:highlight w:val="none"/>
          <w14:textFill>
            <w14:solidFill>
              <w14:schemeClr w14:val="tx1"/>
            </w14:solidFill>
          </w14:textFill>
        </w:rPr>
        <w:t>谈  判  文  件</w:t>
      </w:r>
    </w:p>
    <w:p w14:paraId="26316DB3">
      <w:pPr>
        <w:pStyle w:val="22"/>
        <w:widowControl/>
        <w:adjustRightInd w:val="0"/>
        <w:snapToGrid w:val="0"/>
        <w:spacing w:line="360" w:lineRule="auto"/>
        <w:jc w:val="center"/>
        <w:rPr>
          <w:rFonts w:hAnsi="宋体"/>
          <w:bCs/>
          <w:color w:val="000000" w:themeColor="text1"/>
          <w:sz w:val="24"/>
          <w:szCs w:val="24"/>
          <w:highlight w:val="none"/>
          <w14:textFill>
            <w14:solidFill>
              <w14:schemeClr w14:val="tx1"/>
            </w14:solidFill>
          </w14:textFill>
        </w:rPr>
      </w:pPr>
    </w:p>
    <w:p w14:paraId="2011DEF3">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13CC31B">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79119982">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250046FA">
      <w:pPr>
        <w:pStyle w:val="22"/>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43"/>
        <w:tblW w:w="8563" w:type="dxa"/>
        <w:jc w:val="center"/>
        <w:tblLayout w:type="fixed"/>
        <w:tblCellMar>
          <w:top w:w="0" w:type="dxa"/>
          <w:left w:w="108" w:type="dxa"/>
          <w:bottom w:w="0" w:type="dxa"/>
          <w:right w:w="108" w:type="dxa"/>
        </w:tblCellMar>
      </w:tblPr>
      <w:tblGrid>
        <w:gridCol w:w="1951"/>
        <w:gridCol w:w="284"/>
        <w:gridCol w:w="6328"/>
      </w:tblGrid>
      <w:tr w14:paraId="21577F7C">
        <w:tblPrEx>
          <w:tblCellMar>
            <w:top w:w="0" w:type="dxa"/>
            <w:left w:w="108" w:type="dxa"/>
            <w:bottom w:w="0" w:type="dxa"/>
            <w:right w:w="108" w:type="dxa"/>
          </w:tblCellMar>
        </w:tblPrEx>
        <w:trPr>
          <w:trHeight w:val="77" w:hRule="atLeast"/>
          <w:jc w:val="center"/>
        </w:trPr>
        <w:tc>
          <w:tcPr>
            <w:tcW w:w="1951" w:type="dxa"/>
            <w:vAlign w:val="center"/>
          </w:tcPr>
          <w:p w14:paraId="28B183C8">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2BAEC6F5">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28" w:type="dxa"/>
            <w:vAlign w:val="center"/>
          </w:tcPr>
          <w:p w14:paraId="0F5EC1A4">
            <w:pPr>
              <w:pStyle w:val="22"/>
              <w:widowControl/>
              <w:adjustRightInd w:val="0"/>
              <w:snapToGrid w:val="0"/>
              <w:spacing w:line="360" w:lineRule="auto"/>
              <w:jc w:val="left"/>
              <w:rPr>
                <w:rFonts w:hint="default" w:hAnsi="宋体" w:eastAsia="宋体"/>
                <w:b/>
                <w:bCs/>
                <w:color w:val="000000" w:themeColor="text1"/>
                <w:sz w:val="28"/>
                <w:szCs w:val="28"/>
                <w:highlight w:val="none"/>
                <w:lang w:val="en-US"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YXCG-20260910</w:t>
            </w:r>
          </w:p>
        </w:tc>
      </w:tr>
      <w:tr w14:paraId="7E606A8A">
        <w:tblPrEx>
          <w:tblCellMar>
            <w:top w:w="0" w:type="dxa"/>
            <w:left w:w="108" w:type="dxa"/>
            <w:bottom w:w="0" w:type="dxa"/>
            <w:right w:w="108" w:type="dxa"/>
          </w:tblCellMar>
        </w:tblPrEx>
        <w:trPr>
          <w:trHeight w:val="577" w:hRule="atLeast"/>
          <w:jc w:val="center"/>
        </w:trPr>
        <w:tc>
          <w:tcPr>
            <w:tcW w:w="1951" w:type="dxa"/>
          </w:tcPr>
          <w:p w14:paraId="1E0BB459">
            <w:pPr>
              <w:pStyle w:val="22"/>
              <w:widowControl/>
              <w:adjustRightInd w:val="0"/>
              <w:snapToGrid w:val="0"/>
              <w:spacing w:line="360" w:lineRule="auto"/>
              <w:jc w:val="center"/>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 目 名 称</w:t>
            </w:r>
          </w:p>
        </w:tc>
        <w:tc>
          <w:tcPr>
            <w:tcW w:w="284" w:type="dxa"/>
          </w:tcPr>
          <w:p w14:paraId="448FC4E0">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28" w:type="dxa"/>
            <w:vAlign w:val="center"/>
          </w:tcPr>
          <w:p w14:paraId="09E848CD">
            <w:pPr>
              <w:pStyle w:val="22"/>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阳江市智慧人社系统适配改造（2026年）项目</w:t>
            </w:r>
          </w:p>
        </w:tc>
      </w:tr>
      <w:tr w14:paraId="01AA29E0">
        <w:tblPrEx>
          <w:tblCellMar>
            <w:top w:w="0" w:type="dxa"/>
            <w:left w:w="108" w:type="dxa"/>
            <w:bottom w:w="0" w:type="dxa"/>
            <w:right w:w="108" w:type="dxa"/>
          </w:tblCellMar>
        </w:tblPrEx>
        <w:trPr>
          <w:trHeight w:val="77" w:hRule="atLeast"/>
          <w:jc w:val="center"/>
        </w:trPr>
        <w:tc>
          <w:tcPr>
            <w:tcW w:w="1951" w:type="dxa"/>
            <w:vAlign w:val="center"/>
          </w:tcPr>
          <w:p w14:paraId="6753E54F">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4AF5B55C">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28" w:type="dxa"/>
            <w:vAlign w:val="center"/>
          </w:tcPr>
          <w:p w14:paraId="7AB5CF4B">
            <w:pPr>
              <w:pStyle w:val="22"/>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阳江市人力资源和社会保障局</w:t>
            </w:r>
          </w:p>
        </w:tc>
      </w:tr>
      <w:tr w14:paraId="6D024D8F">
        <w:tblPrEx>
          <w:tblCellMar>
            <w:top w:w="0" w:type="dxa"/>
            <w:left w:w="108" w:type="dxa"/>
            <w:bottom w:w="0" w:type="dxa"/>
            <w:right w:w="108" w:type="dxa"/>
          </w:tblCellMar>
        </w:tblPrEx>
        <w:trPr>
          <w:trHeight w:val="77" w:hRule="atLeast"/>
          <w:jc w:val="center"/>
        </w:trPr>
        <w:tc>
          <w:tcPr>
            <w:tcW w:w="1951" w:type="dxa"/>
            <w:vAlign w:val="center"/>
          </w:tcPr>
          <w:p w14:paraId="0EF4BC53">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534B97FA">
            <w:pPr>
              <w:pStyle w:val="22"/>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328" w:type="dxa"/>
            <w:vAlign w:val="center"/>
          </w:tcPr>
          <w:p w14:paraId="08B3912A">
            <w:pPr>
              <w:pStyle w:val="22"/>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02F30BFF">
      <w:pPr>
        <w:pStyle w:val="22"/>
        <w:widowControl/>
        <w:adjustRightInd w:val="0"/>
        <w:snapToGrid w:val="0"/>
        <w:spacing w:line="360" w:lineRule="auto"/>
        <w:jc w:val="center"/>
        <w:rPr>
          <w:rFonts w:hAnsi="宋体"/>
          <w:bCs/>
          <w:color w:val="000000" w:themeColor="text1"/>
          <w:sz w:val="24"/>
          <w:szCs w:val="24"/>
          <w:highlight w:val="none"/>
          <w14:textFill>
            <w14:solidFill>
              <w14:schemeClr w14:val="tx1"/>
            </w14:solidFill>
          </w14:textFill>
        </w:rPr>
      </w:pPr>
    </w:p>
    <w:p w14:paraId="28EBE9EB">
      <w:pPr>
        <w:rPr>
          <w:rFonts w:hint="eastAsia"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br w:type="page"/>
      </w:r>
    </w:p>
    <w:p w14:paraId="3A9EE7FF">
      <w:pPr>
        <w:spacing w:beforeLines="50" w:afterLines="50" w:line="360" w:lineRule="auto"/>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6B322501">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请供应商特别留意谈判文件上注明的投标截止和开标时间，逾期送达或邮寄送达的谈判文件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w:t>
      </w:r>
      <w:r>
        <w:rPr>
          <w:rFonts w:hint="eastAsia" w:ascii="宋体" w:hAnsi="宋体"/>
          <w:color w:val="000000" w:themeColor="text1"/>
          <w:szCs w:val="21"/>
          <w:highlight w:val="none"/>
          <w:lang w:val="en-US" w:eastAsia="zh-CN"/>
          <w14:textFill>
            <w14:solidFill>
              <w14:schemeClr w14:val="tx1"/>
            </w14:solidFill>
          </w14:textFill>
        </w:rPr>
        <w:t>现场</w:t>
      </w:r>
      <w:r>
        <w:rPr>
          <w:rFonts w:ascii="宋体" w:hAnsi="宋体"/>
          <w:color w:val="000000" w:themeColor="text1"/>
          <w:szCs w:val="21"/>
          <w:highlight w:val="none"/>
          <w14:textFill>
            <w14:solidFill>
              <w14:schemeClr w14:val="tx1"/>
            </w14:solidFill>
          </w14:textFill>
        </w:rPr>
        <w:t>。</w:t>
      </w:r>
    </w:p>
    <w:p w14:paraId="03BC58E3">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谈判文件中标有“★”的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69ACD267">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请仔细检查《投标函》、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47B92F48">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投标人为中型、小型、微型企业的，请提交《中小微企业声明函》（详情见《政府采购促进中小企业发展暂行办法》）。</w:t>
      </w:r>
    </w:p>
    <w:p w14:paraId="2E9DEF52">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建议将谈判文件按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99A4908">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0BE992B9">
      <w:pPr>
        <w:numPr>
          <w:ilvl w:val="0"/>
          <w:numId w:val="6"/>
        </w:numPr>
        <w:spacing w:line="48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，务必将保证金按谈判文件的要求缴纳，招标代理服务费存入谈判文件指定的服务费账户。切勿将款项转错账户，以免影响采购活动。</w:t>
      </w:r>
    </w:p>
    <w:p w14:paraId="6F253940">
      <w:pPr>
        <w:numPr>
          <w:ilvl w:val="0"/>
          <w:numId w:val="6"/>
        </w:numPr>
        <w:spacing w:line="48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为采购代理机构，不对供应商购买谈判文件时提交的相关资料的真伪做出判断，如供应商发现相关资料被盗用或复制，建议遵循法律途径解决，追究侵权者责任。对一家供应商递交两份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谈判小组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15635E8E">
      <w:pPr>
        <w:pStyle w:val="22"/>
        <w:widowControl/>
        <w:adjustRightInd w:val="0"/>
        <w:snapToGrid w:val="0"/>
        <w:spacing w:line="480" w:lineRule="exact"/>
        <w:jc w:val="center"/>
        <w:rPr>
          <w:rFonts w:hAnsi="宋体"/>
          <w:bCs/>
          <w:color w:val="000000" w:themeColor="text1"/>
          <w:sz w:val="24"/>
          <w:szCs w:val="24"/>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（本提示内容非谈判文件的组成部分，仅为善意提醒。如有不一致，以谈判文件为准。）</w:t>
      </w:r>
    </w:p>
    <w:p w14:paraId="1E49D6CD">
      <w:pPr>
        <w:pStyle w:val="22"/>
        <w:widowControl/>
        <w:adjustRightInd w:val="0"/>
        <w:snapToGrid w:val="0"/>
        <w:spacing w:line="360" w:lineRule="auto"/>
        <w:rPr>
          <w:rFonts w:hAnsi="宋体"/>
          <w:bCs/>
          <w:color w:val="000000" w:themeColor="text1"/>
          <w:sz w:val="24"/>
          <w:szCs w:val="24"/>
          <w:highlight w:val="none"/>
          <w14:textFill>
            <w14:solidFill>
              <w14:schemeClr w14:val="tx1"/>
            </w14:solidFill>
          </w14:textFill>
        </w:rPr>
        <w:sectPr>
          <w:footerReference r:id="rId6" w:type="first"/>
          <w:headerReference r:id="rId3" w:type="default"/>
          <w:footerReference r:id="rId4" w:type="default"/>
          <w:footerReference r:id="rId5" w:type="even"/>
          <w:pgSz w:w="11907" w:h="16840"/>
          <w:pgMar w:top="1985" w:right="1474" w:bottom="1418" w:left="1474" w:header="851" w:footer="851" w:gutter="0"/>
          <w:cols w:space="720" w:num="1"/>
          <w:docGrid w:linePitch="380" w:charSpace="-5735"/>
        </w:sectPr>
      </w:pPr>
    </w:p>
    <w:p w14:paraId="104A0243">
      <w:pPr>
        <w:pStyle w:val="36"/>
        <w:bidi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     录</w:t>
      </w:r>
    </w:p>
    <w:p w14:paraId="450EAF9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TOC \o "1-3" \h \z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_Toc24307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第一部分  竞争性谈判邀请书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E5C7F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_Toc7965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_Toc7965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DA002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_Toc30666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YXCG-20260910</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E05C5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_Toc25714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项目名称：</w:t>
      </w:r>
      <w:r>
        <w:rPr>
          <w:rFonts w:hint="eastAsia"/>
          <w:color w:val="000000" w:themeColor="text1"/>
          <w:highlight w:val="none"/>
          <w:lang w:eastAsia="zh-CN"/>
          <w14:textFill>
            <w14:solidFill>
              <w14:schemeClr w14:val="tx1"/>
            </w14:solidFill>
          </w14:textFill>
        </w:rPr>
        <w:t>阳江市智慧人社系统适配改造（2026年）项目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97E49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_Toc13276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A  </w:t>
      </w:r>
      <w:r>
        <w:rPr>
          <w:rFonts w:hint="eastAsia"/>
          <w:color w:val="000000" w:themeColor="text1"/>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96FFE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_Toc22826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_Toc22826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CF960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_Toc29579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第三部分 报价须知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_Toc29579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BD774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_Toc30394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731AD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_Toc25258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适用范围和资金来源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3ABB4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_Toc14605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_Toc14605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BDF5A4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_Toc14139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合格的供应商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_Toc14139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A0F30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_Toc2271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6BF25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_Toc32475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Ｂ谈判文件说明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4DD64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_Toc11742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6B3DB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_Toc14561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33ECA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_Toc11998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E6D85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_Toc10822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Ｃ谈判文件的编制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C7F6F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_Toc30885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D57B2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_Toc442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投标语言及计量单位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BDCBB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_Toc10261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58B4F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_Toc21923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33A7C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_Toc31433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资格证明文件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C1B01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_Toc4824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货物和服务的证明文件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3C94E2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_Toc16725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投报价格与报价货币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_Toc16725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3B9D9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_Toc27213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9F85A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_Toc18635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7C397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_Toc32016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谈判响应文件的签署及规定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77A69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_Toc7480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Ｄ谈判响应文件的递交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BADC4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_Toc16711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谈判响应文件的密封和标记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_Toc16711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04482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_Toc21811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递交谈判响应文件的时间、地点及截止时间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395BF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_Toc12307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迟交的谈判响应文件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2C70E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_Toc22197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谈判响应文件的修改和撤回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CF0EF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_Toc2941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Ｅ竞争性谈判采购程序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E70D3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_Toc18379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接收谈判响应文件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D752B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_Toc17627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谈判小组</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39FAB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_Toc12785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对谈判响应文件的初审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43C03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_Toc3917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谈判报价的审核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7E813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_Toc21772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3AFC4A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_Toc18249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1E3A4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_Toc20312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B8DBE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_Toc24390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评审注意事项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BD1BA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_Toc10710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发布成交结果公告和发放成交通知书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DA4DC9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_Toc17164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31     投标供应商对成交结果的质疑、投诉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53B057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_Toc5357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Ｆ  授予合同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5F1D6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_Toc28208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32     接受和拒绝投标的权利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1A75F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_Toc16228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合同授予标准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66546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_Toc6084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23049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_Toc16862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B5FCB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_Toc9292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第四部分  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8610F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_Toc11134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第五部分  谈判文件格式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_Toc11134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08E807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_Toc22631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90D64D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_Toc24668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第一章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54AB0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_Toc23005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EC2D6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_Toc16624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2E99B0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_Toc14820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AB7BA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_Toc2473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（四）资格审查文件要求提交的其它有效证明文件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57177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_Toc23270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第二章  谈判响应文件商务及技术部分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ECAA2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_Toc5180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附件一：谈判响应函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6BAFD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_Toc21767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13555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_Toc12403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附件三：谈判分项报价</w:t>
      </w:r>
      <w:r>
        <w:rPr>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A98F0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_Toc22582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_Toc22582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48110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_Toc14476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82263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_Toc16285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573DD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_Toc25952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附件七：中小微企业声明函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1C163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_Toc27042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附件八：残疾人福利性单位声明函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2CA4D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_Toc18666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3FF01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_Toc16600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附件十：谈判供应商提交的其他资料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852F9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_Toc18922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9546303">
      <w:pPr>
        <w:pStyle w:val="36"/>
        <w:bidi w:val="0"/>
        <w:jc w:val="center"/>
        <w:rPr>
          <w:rFonts w:hint="eastAsia"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end"/>
      </w:r>
      <w:bookmarkStart w:id="0" w:name="_Toc452826425"/>
      <w:bookmarkStart w:id="1" w:name="_Toc357151175"/>
      <w:bookmarkStart w:id="2" w:name="_Toc369180022"/>
      <w:bookmarkStart w:id="3" w:name="_Toc351987964"/>
      <w:bookmarkStart w:id="4" w:name="_Toc351988709"/>
      <w:bookmarkStart w:id="5" w:name="_Toc353522392"/>
      <w:bookmarkStart w:id="6" w:name="_Toc351987768"/>
      <w:bookmarkStart w:id="7" w:name="_Toc351990145"/>
      <w:r>
        <w:rPr>
          <w:rFonts w:hint="eastAsia" w:ascii="宋体" w:hAnsi="宋体"/>
          <w:color w:val="000000" w:themeColor="text1"/>
          <w:szCs w:val="21"/>
          <w:highlight w:val="none"/>
          <w14:textFill>
            <w14:solidFill>
              <w14:schemeClr w14:val="tx1"/>
            </w14:solidFill>
          </w14:textFill>
        </w:rPr>
        <w:br w:type="page"/>
      </w:r>
    </w:p>
    <w:p w14:paraId="3ADB9EE7">
      <w:pPr>
        <w:pStyle w:val="3"/>
        <w:numPr>
          <w:ilvl w:val="0"/>
          <w:numId w:val="0"/>
        </w:numPr>
        <w:autoSpaceDE w:val="0"/>
        <w:autoSpaceDN w:val="0"/>
        <w:adjustRightInd w:val="0"/>
        <w:snapToGrid w:val="0"/>
        <w:spacing w:beforeLines="100" w:after="0" w:line="360" w:lineRule="auto"/>
        <w:jc w:val="center"/>
        <w:textAlignment w:val="baseline"/>
        <w:rPr>
          <w:rFonts w:ascii="宋体" w:hAnsi="宋体"/>
          <w:color w:val="000000" w:themeColor="text1"/>
          <w:sz w:val="21"/>
          <w:szCs w:val="21"/>
          <w:highlight w:val="none"/>
          <w14:textFill>
            <w14:solidFill>
              <w14:schemeClr w14:val="tx1"/>
            </w14:solidFill>
          </w14:textFill>
        </w:rPr>
      </w:pPr>
      <w:bookmarkStart w:id="8" w:name="_Toc24307"/>
      <w:r>
        <w:rPr>
          <w:rFonts w:hint="eastAsia" w:ascii="宋体" w:hAnsi="宋体"/>
          <w:color w:val="000000" w:themeColor="text1"/>
          <w:sz w:val="21"/>
          <w:szCs w:val="21"/>
          <w:highlight w:val="none"/>
          <w14:textFill>
            <w14:solidFill>
              <w14:schemeClr w14:val="tx1"/>
            </w14:solidFill>
          </w14:textFill>
        </w:rPr>
        <w:t>第一部分  竞争性谈判邀请书</w:t>
      </w:r>
      <w:bookmarkEnd w:id="0"/>
      <w:bookmarkEnd w:id="8"/>
    </w:p>
    <w:p w14:paraId="756692F4">
      <w:pPr>
        <w:rPr>
          <w:color w:val="000000" w:themeColor="text1"/>
          <w:highlight w:val="none"/>
          <w14:textFill>
            <w14:solidFill>
              <w14:schemeClr w14:val="tx1"/>
            </w14:solidFill>
          </w14:textFill>
        </w:rPr>
      </w:pPr>
    </w:p>
    <w:p w14:paraId="4BFB4158">
      <w:pPr>
        <w:spacing w:line="360" w:lineRule="auto"/>
        <w:ind w:left="178" w:leftChars="85"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广东业信采购招标有限公司受</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lang w:eastAsia="zh-CN"/>
          <w14:textFill>
            <w14:solidFill>
              <w14:schemeClr w14:val="tx1"/>
            </w14:solidFill>
          </w14:textFill>
        </w:rPr>
        <w:t>阳江市人力资源和社会保障局</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的委托，拟对</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lang w:eastAsia="zh-CN"/>
          <w14:textFill>
            <w14:solidFill>
              <w14:schemeClr w14:val="tx1"/>
            </w14:solidFill>
          </w14:textFill>
        </w:rPr>
        <w:t>阳江市智慧人社系统适配改造（2026年）项目</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接受合格的国内供应商提交密封报价,</w:t>
      </w:r>
      <w:r>
        <w:rPr>
          <w:rFonts w:hint="eastAsia" w:ascii="宋体" w:hAnsi="宋体"/>
          <w:color w:val="000000" w:themeColor="text1"/>
          <w:szCs w:val="21"/>
          <w:highlight w:val="none"/>
          <w:lang w:val="zh-CN"/>
          <w14:textFill>
            <w14:solidFill>
              <w14:schemeClr w14:val="tx1"/>
            </w14:solidFill>
          </w14:textFill>
        </w:rPr>
        <w:t xml:space="preserve"> 欢迎符合资格条件</w:t>
      </w:r>
      <w:r>
        <w:rPr>
          <w:rFonts w:hint="eastAsia" w:ascii="宋体" w:hAnsi="宋体"/>
          <w:color w:val="000000" w:themeColor="text1"/>
          <w:szCs w:val="21"/>
          <w:highlight w:val="none"/>
          <w14:textFill>
            <w14:solidFill>
              <w14:schemeClr w14:val="tx1"/>
            </w14:solidFill>
          </w14:textFill>
        </w:rPr>
        <w:t>的供应商参加。</w:t>
      </w:r>
      <w:r>
        <w:rPr>
          <w:rFonts w:hint="eastAsia" w:ascii="宋体" w:hAnsi="宋体"/>
          <w:color w:val="000000" w:themeColor="text1"/>
          <w:highlight w:val="none"/>
          <w14:textFill>
            <w14:solidFill>
              <w14:schemeClr w14:val="tx1"/>
            </w14:solidFill>
          </w14:textFill>
        </w:rPr>
        <w:t>有关事项如下：</w:t>
      </w:r>
    </w:p>
    <w:p w14:paraId="6EAA727A">
      <w:pPr>
        <w:spacing w:line="360" w:lineRule="auto"/>
        <w:ind w:firstLine="211" w:firstLineChars="100"/>
        <w:rPr>
          <w:rFonts w:hint="eastAsia"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 xml:space="preserve">一、谈判项目的名称、用途、数量、简要技术要求或者谈判项目的性质 </w:t>
      </w:r>
    </w:p>
    <w:p w14:paraId="0EBC43F2">
      <w:pPr>
        <w:spacing w:line="360" w:lineRule="auto"/>
        <w:ind w:firstLine="420" w:firstLineChars="200"/>
        <w:rPr>
          <w:rFonts w:hint="eastAsia" w:ascii="宋体" w:hAnsi="宋体" w:cs="Tahoma"/>
          <w:b w:val="0"/>
          <w:bCs w:val="0"/>
          <w:color w:val="000000" w:themeColor="text1"/>
          <w:szCs w:val="21"/>
          <w:highlight w:val="none"/>
          <w:lang w:eastAsia="zh-CN"/>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1．谈判项目编号：</w:t>
      </w:r>
      <w:r>
        <w:rPr>
          <w:rFonts w:hint="eastAsia" w:ascii="宋体" w:hAnsi="宋体" w:cs="Tahoma"/>
          <w:b w:val="0"/>
          <w:bCs w:val="0"/>
          <w:color w:val="000000" w:themeColor="text1"/>
          <w:szCs w:val="21"/>
          <w:highlight w:val="none"/>
          <w:lang w:eastAsia="zh-CN"/>
          <w14:textFill>
            <w14:solidFill>
              <w14:schemeClr w14:val="tx1"/>
            </w14:solidFill>
          </w14:textFill>
        </w:rPr>
        <w:t>YXCG-20260910</w:t>
      </w:r>
    </w:p>
    <w:p w14:paraId="2E1C9104">
      <w:pPr>
        <w:spacing w:line="360" w:lineRule="auto"/>
        <w:ind w:firstLine="210" w:firstLineChars="100"/>
        <w:rPr>
          <w:rFonts w:hint="eastAsia" w:ascii="宋体" w:hAnsi="宋体" w:cs="Tahoma"/>
          <w:b w:val="0"/>
          <w:bCs w:val="0"/>
          <w:color w:val="000000" w:themeColor="text1"/>
          <w:szCs w:val="21"/>
          <w:highlight w:val="none"/>
          <w:lang w:eastAsia="zh-CN"/>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2．谈判项目名称：</w:t>
      </w:r>
      <w:r>
        <w:rPr>
          <w:rFonts w:hint="eastAsia" w:ascii="宋体" w:hAnsi="宋体" w:cs="Tahoma"/>
          <w:b w:val="0"/>
          <w:bCs w:val="0"/>
          <w:color w:val="000000" w:themeColor="text1"/>
          <w:szCs w:val="21"/>
          <w:highlight w:val="none"/>
          <w:lang w:eastAsia="zh-CN"/>
          <w14:textFill>
            <w14:solidFill>
              <w14:schemeClr w14:val="tx1"/>
            </w14:solidFill>
          </w14:textFill>
        </w:rPr>
        <w:t>阳江市智慧人社系统适配改造（2026年）项目</w:t>
      </w:r>
    </w:p>
    <w:p w14:paraId="01CDDB41">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3．采购预算：</w:t>
      </w:r>
      <w:r>
        <w:rPr>
          <w:rFonts w:hint="eastAsia" w:ascii="宋体" w:hAnsi="宋体" w:cs="Tahoma"/>
          <w:b w:val="0"/>
          <w:bCs w:val="0"/>
          <w:color w:val="000000" w:themeColor="text1"/>
          <w:szCs w:val="21"/>
          <w:highlight w:val="none"/>
          <w:lang w:val="en-US" w:eastAsia="zh-CN"/>
          <w14:textFill>
            <w14:solidFill>
              <w14:schemeClr w14:val="tx1"/>
            </w14:solidFill>
          </w14:textFill>
        </w:rPr>
        <w:t>人民币219307.39元</w:t>
      </w:r>
      <w:r>
        <w:rPr>
          <w:rFonts w:hint="eastAsia" w:ascii="宋体" w:hAnsi="宋体" w:cs="Tahoma"/>
          <w:b w:val="0"/>
          <w:bCs w:val="0"/>
          <w:color w:val="000000" w:themeColor="text1"/>
          <w:szCs w:val="21"/>
          <w:highlight w:val="none"/>
          <w14:textFill>
            <w14:solidFill>
              <w14:schemeClr w14:val="tx1"/>
            </w14:solidFill>
          </w14:textFill>
        </w:rPr>
        <w:t>（超出该上限的报价将作为无效报价处理）。</w:t>
      </w:r>
    </w:p>
    <w:p w14:paraId="013075BD">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4．数  量：一项</w:t>
      </w:r>
    </w:p>
    <w:p w14:paraId="6C8D00AE">
      <w:pPr>
        <w:spacing w:line="360" w:lineRule="auto"/>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5．</w:t>
      </w:r>
      <w:r>
        <w:rPr>
          <w:rFonts w:hint="eastAsia" w:ascii="宋体" w:hAnsi="宋体" w:cs="Tahoma"/>
          <w:b w:val="0"/>
          <w:bCs w:val="0"/>
          <w:color w:val="000000" w:themeColor="text1"/>
          <w:szCs w:val="21"/>
          <w:highlight w:val="none"/>
          <w:lang w:val="en-US" w:eastAsia="zh-CN"/>
          <w14:textFill>
            <w14:solidFill>
              <w14:schemeClr w14:val="tx1"/>
            </w14:solidFill>
          </w14:textFill>
        </w:rPr>
        <w:t>完工期：</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签订合同后，系统业务运营实施服务期为8个月（含系统试运行及验收），通过</w:t>
      </w:r>
      <w:bookmarkStart w:id="9" w:name="OLE_LINK21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交付验收</w:t>
      </w:r>
      <w:bookmarkEnd w:id="9"/>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并正式运行之日起，提供</w:t>
      </w:r>
      <w:bookmarkStart w:id="10" w:name="OLE_LINK22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12个月</w:t>
      </w:r>
      <w:bookmarkEnd w:id="10"/>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系统运维服务。</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超出</w:t>
      </w:r>
      <w:r>
        <w:rPr>
          <w:rFonts w:hint="eastAsia" w:ascii="宋体" w:hAnsi="宋体" w:eastAsia="宋体" w:cs="宋体"/>
          <w:color w:val="000000" w:themeColor="text1"/>
          <w:sz w:val="21"/>
          <w:szCs w:val="21"/>
          <w:highlight w:val="none"/>
          <w:lang w:val="en-US" w:eastAsia="zh-CN"/>
          <w14:textFill>
            <w14:solidFill>
              <w14:schemeClr w14:val="tx1"/>
            </w14:solidFill>
          </w14:textFill>
        </w:rPr>
        <w:t>该完工期</w:t>
      </w:r>
      <w:r>
        <w:rPr>
          <w:rFonts w:hint="eastAsia" w:ascii="宋体" w:hAnsi="宋体" w:eastAsia="宋体" w:cs="宋体"/>
          <w:color w:val="000000" w:themeColor="text1"/>
          <w:sz w:val="21"/>
          <w:szCs w:val="21"/>
          <w:highlight w:val="none"/>
          <w14:textFill>
            <w14:solidFill>
              <w14:schemeClr w14:val="tx1"/>
            </w14:solidFill>
          </w14:textFill>
        </w:rPr>
        <w:t>将作为无效</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color w:val="000000" w:themeColor="text1"/>
          <w:sz w:val="21"/>
          <w:szCs w:val="21"/>
          <w:highlight w:val="none"/>
          <w14:textFill>
            <w14:solidFill>
              <w14:schemeClr w14:val="tx1"/>
            </w14:solidFill>
          </w14:textFill>
        </w:rPr>
        <w:t>处理）</w:t>
      </w:r>
    </w:p>
    <w:p w14:paraId="38EF7ABE">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6．谈判项目的性质：竞争性谈判</w:t>
      </w:r>
    </w:p>
    <w:p w14:paraId="4FF1E720">
      <w:pPr>
        <w:widowControl/>
        <w:tabs>
          <w:tab w:val="left" w:pos="502"/>
        </w:tabs>
        <w:adjustRightInd w:val="0"/>
        <w:snapToGrid w:val="0"/>
        <w:spacing w:line="360" w:lineRule="auto"/>
        <w:rPr>
          <w:rFonts w:hint="eastAsia" w:ascii="宋体" w:hAnsi="宋体" w:cs="Arial"/>
          <w:b/>
          <w:bCs/>
          <w:color w:val="000000" w:themeColor="text1"/>
          <w:highlight w:val="none"/>
          <w14:textFill>
            <w14:solidFill>
              <w14:schemeClr w14:val="tx1"/>
            </w14:solidFill>
          </w14:textFill>
        </w:rPr>
      </w:pPr>
      <w:r>
        <w:rPr>
          <w:rFonts w:hint="eastAsia" w:ascii="宋体" w:hAnsi="宋体" w:cs="Arial"/>
          <w:b/>
          <w:bCs/>
          <w:color w:val="000000" w:themeColor="text1"/>
          <w:highlight w:val="none"/>
          <w14:textFill>
            <w14:solidFill>
              <w14:schemeClr w14:val="tx1"/>
            </w14:solidFill>
          </w14:textFill>
        </w:rPr>
        <w:t>二、投标人投标资格要求</w:t>
      </w:r>
    </w:p>
    <w:p w14:paraId="24CFC960">
      <w:pPr>
        <w:widowControl/>
        <w:tabs>
          <w:tab w:val="left" w:pos="502"/>
        </w:tabs>
        <w:adjustRightInd w:val="0"/>
        <w:snapToGrid w:val="0"/>
        <w:spacing w:line="360" w:lineRule="auto"/>
        <w:ind w:left="630" w:leftChars="100" w:hanging="420" w:hangingChars="200"/>
        <w:rPr>
          <w:rFonts w:hint="eastAsia" w:ascii="宋体" w:hAnsi="宋体" w:cs="Arial"/>
          <w:b w:val="0"/>
          <w:bCs w:val="0"/>
          <w:color w:val="000000" w:themeColor="text1"/>
          <w:highlight w:val="none"/>
          <w14:textFill>
            <w14:solidFill>
              <w14:schemeClr w14:val="tx1"/>
            </w14:solidFill>
          </w14:textFill>
        </w:rPr>
      </w:pPr>
      <w:r>
        <w:rPr>
          <w:rFonts w:hint="eastAsia" w:ascii="宋体" w:hAnsi="宋体" w:cs="Arial"/>
          <w:b w:val="0"/>
          <w:bCs w:val="0"/>
          <w:color w:val="000000" w:themeColor="text1"/>
          <w:highlight w:val="none"/>
          <w14:textFill>
            <w14:solidFill>
              <w14:schemeClr w14:val="tx1"/>
            </w14:solidFill>
          </w14:textFill>
        </w:rPr>
        <w:t>1.投标人应具备《中华人民共和国政府采购法》第二十二条规定的条件：</w:t>
      </w:r>
    </w:p>
    <w:p w14:paraId="4995A524">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1）具有独立承担民事责任的能力：在中华人民共和国境内注册的法人或其他组织或自然人， 投</w:t>
      </w:r>
    </w:p>
    <w:p w14:paraId="7C5DB92C">
      <w:pPr>
        <w:widowControl/>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29AF6619">
      <w:pPr>
        <w:widowControl/>
        <w:numPr>
          <w:ilvl w:val="0"/>
          <w:numId w:val="0"/>
        </w:numPr>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有依法缴纳税收和社会保障资金的良好记录：提供投标截止日前6个月内任意1个月依法缴</w:t>
      </w:r>
    </w:p>
    <w:p w14:paraId="47834E9D">
      <w:pPr>
        <w:widowControl/>
        <w:numPr>
          <w:ilvl w:val="0"/>
          <w:numId w:val="0"/>
        </w:numPr>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纳税收和社会保障资金的相关材料或出具《承诺函》。如依法免税或不需要缴纳社会保障资金的，提供相应证明材料。</w:t>
      </w:r>
    </w:p>
    <w:p w14:paraId="0C2FF161">
      <w:pPr>
        <w:widowControl/>
        <w:numPr>
          <w:ilvl w:val="0"/>
          <w:numId w:val="0"/>
        </w:numPr>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具有良好的商业信誉和健全的财务会计制度：</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必须具有良好的商业信誉和健全的财务</w:t>
      </w:r>
    </w:p>
    <w:p w14:paraId="7891D156">
      <w:pPr>
        <w:widowControl/>
        <w:numPr>
          <w:ilvl w:val="0"/>
          <w:numId w:val="0"/>
        </w:numPr>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会计制度（提供202</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年度财务状况报告或202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年至今任意一个月的财务报表或基本开户行出具的资信证明或出具《承诺函》）。</w:t>
      </w:r>
    </w:p>
    <w:p w14:paraId="7C0EC11D">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4）履行合同所必需的设备和专业技术能力：</w:t>
      </w:r>
      <w:r>
        <w:rPr>
          <w:rFonts w:hint="eastAsia" w:ascii="宋体" w:hAnsi="宋体" w:eastAsia="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14:textFill>
            <w14:solidFill>
              <w14:schemeClr w14:val="tx1"/>
            </w14:solidFill>
          </w14:textFill>
        </w:rPr>
        <w:t>设备及专业技术能力情况或出具《承诺函》。</w:t>
      </w:r>
    </w:p>
    <w:p w14:paraId="42309677">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5）参加采购活动前3年内，在经营活动中没有重大违法记录：</w:t>
      </w:r>
      <w:r>
        <w:rPr>
          <w:rFonts w:hint="eastAsia" w:ascii="宋体" w:hAnsi="宋体" w:eastAsia="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0B9E4E0">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p w14:paraId="1CE29EB7">
      <w:pPr>
        <w:widowControl/>
        <w:tabs>
          <w:tab w:val="left" w:pos="502"/>
        </w:tabs>
        <w:adjustRightInd w:val="0"/>
        <w:snapToGrid w:val="0"/>
        <w:spacing w:line="360" w:lineRule="auto"/>
        <w:ind w:firstLine="420" w:firstLineChars="200"/>
        <w:rPr>
          <w:rFonts w:hint="eastAsia" w:ascii="宋体" w:hAnsi="宋体" w:cs="Arial"/>
          <w:b w:val="0"/>
          <w:bCs w:val="0"/>
          <w:color w:val="000000" w:themeColor="text1"/>
          <w:highlight w:val="none"/>
          <w:lang w:val="en-US" w:eastAsia="zh-CN"/>
          <w14:textFill>
            <w14:solidFill>
              <w14:schemeClr w14:val="tx1"/>
            </w14:solidFill>
          </w14:textFill>
        </w:rPr>
      </w:pPr>
      <w:r>
        <w:rPr>
          <w:rFonts w:hint="eastAsia" w:ascii="宋体" w:hAnsi="宋体" w:cs="Arial"/>
          <w:b w:val="0"/>
          <w:bCs w:val="0"/>
          <w:color w:val="000000" w:themeColor="text1"/>
          <w:highlight w:val="none"/>
          <w:lang w:val="en-US" w:eastAsia="zh-CN"/>
          <w14:textFill>
            <w14:solidFill>
              <w14:schemeClr w14:val="tx1"/>
            </w14:solidFill>
          </w14:textFill>
        </w:rPr>
        <w:t>3.单位负责人为同一人或者存在直接控股、管理关系的不同供应商，不得参加同一合同项下的政府采购活动；（提供《谈判邀请函》承诺）</w:t>
      </w:r>
    </w:p>
    <w:p w14:paraId="3F20BF08">
      <w:pPr>
        <w:widowControl/>
        <w:tabs>
          <w:tab w:val="left" w:pos="502"/>
        </w:tabs>
        <w:adjustRightInd w:val="0"/>
        <w:snapToGrid w:val="0"/>
        <w:spacing w:line="360" w:lineRule="auto"/>
        <w:ind w:firstLine="420" w:firstLineChars="200"/>
        <w:rPr>
          <w:rFonts w:hint="eastAsia" w:ascii="宋体" w:hAnsi="宋体" w:cs="Arial"/>
          <w:b w:val="0"/>
          <w:bCs w:val="0"/>
          <w:color w:val="000000" w:themeColor="text1"/>
          <w:highlight w:val="none"/>
          <w:lang w:val="en-US" w:eastAsia="zh-CN"/>
          <w14:textFill>
            <w14:solidFill>
              <w14:schemeClr w14:val="tx1"/>
            </w14:solidFill>
          </w14:textFill>
        </w:rPr>
      </w:pPr>
      <w:r>
        <w:rPr>
          <w:rFonts w:hint="eastAsia" w:ascii="宋体" w:hAnsi="宋体" w:cs="Arial"/>
          <w:b w:val="0"/>
          <w:bCs w:val="0"/>
          <w:color w:val="000000" w:themeColor="text1"/>
          <w:highlight w:val="none"/>
          <w:lang w:val="en-US" w:eastAsia="zh-CN"/>
          <w14:textFill>
            <w14:solidFill>
              <w14:schemeClr w14:val="tx1"/>
            </w14:solidFill>
          </w14:textFill>
        </w:rPr>
        <w:t>4.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4068EC32">
      <w:pPr>
        <w:widowControl/>
        <w:tabs>
          <w:tab w:val="left" w:pos="502"/>
        </w:tabs>
        <w:adjustRightInd w:val="0"/>
        <w:snapToGrid w:val="0"/>
        <w:spacing w:line="360" w:lineRule="auto"/>
        <w:ind w:firstLine="420" w:firstLineChars="200"/>
        <w:rPr>
          <w:rFonts w:hint="eastAsia" w:ascii="宋体" w:hAnsi="宋体" w:cs="Arial"/>
          <w:b w:val="0"/>
          <w:bCs w:val="0"/>
          <w:color w:val="000000" w:themeColor="text1"/>
          <w:highlight w:val="none"/>
          <w:lang w:val="en-US" w:eastAsia="zh-CN"/>
          <w14:textFill>
            <w14:solidFill>
              <w14:schemeClr w14:val="tx1"/>
            </w14:solidFill>
          </w14:textFill>
        </w:rPr>
      </w:pPr>
      <w:r>
        <w:rPr>
          <w:rFonts w:hint="eastAsia" w:ascii="宋体" w:hAnsi="宋体" w:cs="Arial"/>
          <w:b w:val="0"/>
          <w:bCs w:val="0"/>
          <w:color w:val="000000" w:themeColor="text1"/>
          <w:highlight w:val="none"/>
          <w:lang w:val="en-US" w:eastAsia="zh-CN"/>
          <w14:textFill>
            <w14:solidFill>
              <w14:schemeClr w14:val="tx1"/>
            </w14:solidFill>
          </w14:textFill>
        </w:rPr>
        <w:t>5.本项目不接受联合体投标；</w:t>
      </w:r>
    </w:p>
    <w:p w14:paraId="23B6428F">
      <w:pPr>
        <w:widowControl/>
        <w:tabs>
          <w:tab w:val="left" w:pos="502"/>
        </w:tabs>
        <w:adjustRightInd w:val="0"/>
        <w:snapToGrid w:val="0"/>
        <w:spacing w:line="360" w:lineRule="auto"/>
        <w:ind w:firstLine="420" w:firstLineChars="200"/>
        <w:rPr>
          <w:rFonts w:hint="eastAsia" w:ascii="宋体" w:hAnsi="宋体" w:cs="Arial"/>
          <w:b w:val="0"/>
          <w:bCs w:val="0"/>
          <w:color w:val="000000" w:themeColor="text1"/>
          <w:highlight w:val="none"/>
          <w14:textFill>
            <w14:solidFill>
              <w14:schemeClr w14:val="tx1"/>
            </w14:solidFill>
          </w14:textFill>
        </w:rPr>
      </w:pPr>
      <w:r>
        <w:rPr>
          <w:rFonts w:hint="eastAsia" w:ascii="宋体" w:hAnsi="宋体" w:cs="Arial"/>
          <w:b w:val="0"/>
          <w:bCs w:val="0"/>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须在采购代理机构登记并购买</w:t>
      </w:r>
      <w:r>
        <w:rPr>
          <w:rFonts w:hint="eastAsia" w:ascii="宋体" w:hAnsi="宋体" w:eastAsia="宋体" w:cs="宋体"/>
          <w:color w:val="000000" w:themeColor="text1"/>
          <w:highlight w:val="none"/>
          <w:lang w:val="en-US" w:eastAsia="zh-CN"/>
          <w14:textFill>
            <w14:solidFill>
              <w14:schemeClr w14:val="tx1"/>
            </w14:solidFill>
          </w14:textFill>
        </w:rPr>
        <w:t>谈判</w:t>
      </w:r>
      <w:r>
        <w:rPr>
          <w:rFonts w:hint="eastAsia" w:ascii="宋体" w:hAnsi="宋体" w:eastAsia="宋体" w:cs="宋体"/>
          <w:color w:val="000000" w:themeColor="text1"/>
          <w:highlight w:val="none"/>
          <w14:textFill>
            <w14:solidFill>
              <w14:schemeClr w14:val="tx1"/>
            </w14:solidFill>
          </w14:textFill>
        </w:rPr>
        <w:t>文件</w:t>
      </w:r>
      <w:r>
        <w:rPr>
          <w:rFonts w:hint="eastAsia" w:ascii="宋体" w:hAnsi="宋体" w:eastAsia="宋体" w:cs="宋体"/>
          <w:color w:val="000000" w:themeColor="text1"/>
          <w:highlight w:val="none"/>
          <w:lang w:val="en-US" w:eastAsia="zh-CN"/>
          <w14:textFill>
            <w14:solidFill>
              <w14:schemeClr w14:val="tx1"/>
            </w14:solidFill>
          </w14:textFill>
        </w:rPr>
        <w:t>。</w:t>
      </w:r>
    </w:p>
    <w:p w14:paraId="3AA6F596">
      <w:pPr>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iCs/>
          <w:color w:val="000000" w:themeColor="text1"/>
          <w:kern w:val="28"/>
          <w:szCs w:val="21"/>
          <w:highlight w:val="none"/>
          <w14:textFill>
            <w14:solidFill>
              <w14:schemeClr w14:val="tx1"/>
            </w14:solidFill>
          </w14:textFill>
        </w:rPr>
        <w:t>三、</w:t>
      </w:r>
      <w:r>
        <w:rPr>
          <w:rFonts w:hint="eastAsia" w:ascii="宋体" w:hAnsi="宋体" w:cs="Tahoma"/>
          <w:b/>
          <w:bCs/>
          <w:color w:val="000000" w:themeColor="text1"/>
          <w:szCs w:val="21"/>
          <w:highlight w:val="none"/>
          <w14:textFill>
            <w14:solidFill>
              <w14:schemeClr w14:val="tx1"/>
            </w14:solidFill>
          </w14:textFill>
        </w:rPr>
        <w:t>获取谈判文件的时间、地点、方式及谈判文件售价</w:t>
      </w:r>
    </w:p>
    <w:p w14:paraId="249B2DFE">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1．谈判文件公示时间：2026年10月8日至2026年10月12日。</w:t>
      </w:r>
    </w:p>
    <w:p w14:paraId="60634631">
      <w:pPr>
        <w:spacing w:line="360" w:lineRule="auto"/>
        <w:ind w:left="525" w:leftChars="100" w:hanging="315" w:hangingChars="15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以上证件须加盖公章），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0094A33E">
      <w:pPr>
        <w:spacing w:line="360" w:lineRule="auto"/>
        <w:ind w:left="420" w:leftChars="10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3．获取谈判文件时间及下载：</w:t>
      </w:r>
      <w:r>
        <w:rPr>
          <w:rFonts w:hint="eastAsia" w:ascii="宋体" w:hAnsi="宋体" w:cs="Times New Roman"/>
          <w:color w:val="000000" w:themeColor="text1"/>
          <w:kern w:val="2"/>
          <w:sz w:val="21"/>
          <w:szCs w:val="21"/>
          <w:highlight w:val="none"/>
          <w:lang w:val="en-US" w:eastAsia="zh-CN" w:bidi="ar-SA"/>
          <w14:textFill>
            <w14:solidFill>
              <w14:schemeClr w14:val="tx1"/>
            </w14:solidFill>
          </w14:textFill>
        </w:rPr>
        <w:t xml:space="preserve"> 2026年10月8日至2026年10月12日</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上午9:00～12:00，下午2:30～5:30</w:t>
      </w:r>
      <w:r>
        <w:rPr>
          <w:rFonts w:hint="eastAsia" w:ascii="宋体" w:hAnsi="宋体"/>
          <w:color w:val="000000" w:themeColor="text1"/>
          <w:szCs w:val="21"/>
          <w:highlight w:val="none"/>
          <w14:textFill>
            <w14:solidFill>
              <w14:schemeClr w14:val="tx1"/>
            </w14:solidFill>
          </w14:textFill>
        </w:rPr>
        <w:t>（节假日除外）（北京时间）。</w:t>
      </w:r>
    </w:p>
    <w:p w14:paraId="720D46E1">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4．获取谈判文件地点：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205</w:t>
      </w:r>
      <w:r>
        <w:rPr>
          <w:rFonts w:hint="eastAsia" w:ascii="宋体" w:hAnsi="宋体"/>
          <w:color w:val="000000" w:themeColor="text1"/>
          <w:szCs w:val="21"/>
          <w:highlight w:val="none"/>
          <w14:textFill>
            <w14:solidFill>
              <w14:schemeClr w14:val="tx1"/>
            </w14:solidFill>
          </w14:textFill>
        </w:rPr>
        <w:t>室。</w:t>
      </w:r>
    </w:p>
    <w:p w14:paraId="6DE16106">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5．谈判文件售价：谈判文件每套人民币</w:t>
      </w:r>
      <w:r>
        <w:rPr>
          <w:rFonts w:hint="eastAsia" w:ascii="宋体" w:hAnsi="宋体"/>
          <w:color w:val="000000" w:themeColor="text1"/>
          <w:szCs w:val="21"/>
          <w:highlight w:val="none"/>
          <w:lang w:val="en-US" w:eastAsia="zh-CN"/>
          <w14:textFill>
            <w14:solidFill>
              <w14:schemeClr w14:val="tx1"/>
            </w14:solidFill>
          </w14:textFill>
        </w:rPr>
        <w:t>300</w:t>
      </w:r>
      <w:r>
        <w:rPr>
          <w:rFonts w:hint="eastAsia" w:ascii="宋体" w:hAnsi="宋体"/>
          <w:color w:val="000000" w:themeColor="text1"/>
          <w:szCs w:val="21"/>
          <w:highlight w:val="none"/>
          <w14:textFill>
            <w14:solidFill>
              <w14:schemeClr w14:val="tx1"/>
            </w14:solidFill>
          </w14:textFill>
        </w:rPr>
        <w:t>元，售后不退。</w:t>
      </w:r>
    </w:p>
    <w:p w14:paraId="6C6795E6">
      <w:pPr>
        <w:spacing w:line="360" w:lineRule="auto"/>
        <w:ind w:left="283" w:leftChars="-1" w:hanging="285" w:hangingChars="13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6．谈判</w:t>
      </w:r>
      <w:r>
        <w:rPr>
          <w:rFonts w:hint="eastAsia" w:ascii="宋体" w:hAnsi="宋体"/>
          <w:bCs/>
          <w:color w:val="000000" w:themeColor="text1"/>
          <w:highlight w:val="none"/>
          <w14:textFill>
            <w14:solidFill>
              <w14:schemeClr w14:val="tx1"/>
            </w14:solidFill>
          </w14:textFill>
        </w:rPr>
        <w:t>文件获取方式：现场发售</w:t>
      </w:r>
      <w:r>
        <w:rPr>
          <w:rFonts w:hint="eastAsia" w:ascii="宋体" w:hAnsi="宋体"/>
          <w:color w:val="000000" w:themeColor="text1"/>
          <w:szCs w:val="21"/>
          <w:highlight w:val="none"/>
          <w14:textFill>
            <w14:solidFill>
              <w14:schemeClr w14:val="tx1"/>
            </w14:solidFill>
          </w14:textFill>
        </w:rPr>
        <w:t>。</w:t>
      </w:r>
    </w:p>
    <w:p w14:paraId="0EDED795">
      <w:pPr>
        <w:widowControl/>
        <w:tabs>
          <w:tab w:val="left" w:pos="735"/>
        </w:tabs>
        <w:adjustRightInd w:val="0"/>
        <w:snapToGrid w:val="0"/>
        <w:spacing w:line="360" w:lineRule="auto"/>
        <w:ind w:left="420" w:leftChars="100" w:hanging="210" w:hangingChars="100"/>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hint="eastAsia" w:ascii="宋体" w:hAnsi="宋体"/>
          <w:bCs/>
          <w:color w:val="000000" w:themeColor="text1"/>
          <w:szCs w:val="21"/>
          <w:highlight w:val="none"/>
          <w14:textFill>
            <w14:solidFill>
              <w14:schemeClr w14:val="tx1"/>
            </w14:solidFill>
          </w14:textFill>
        </w:rPr>
        <w:t>购买谈判文件必须携带</w:t>
      </w:r>
      <w:r>
        <w:rPr>
          <w:rFonts w:hint="eastAsia" w:ascii="宋体" w:hAnsi="宋体"/>
          <w:bCs/>
          <w:color w:val="000000" w:themeColor="text1"/>
          <w:szCs w:val="21"/>
          <w:highlight w:val="none"/>
          <w:lang w:eastAsia="zh-CN"/>
          <w14:textFill>
            <w14:solidFill>
              <w14:schemeClr w14:val="tx1"/>
            </w14:solidFill>
          </w14:textFill>
        </w:rPr>
        <w:t>：</w:t>
      </w:r>
    </w:p>
    <w:p w14:paraId="28FD2D5B">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b/>
          <w:bCs/>
          <w:color w:val="000000" w:themeColor="text1"/>
          <w:highlight w:val="none"/>
          <w14:textFill>
            <w14:solidFill>
              <w14:schemeClr w14:val="tx1"/>
            </w14:solidFill>
          </w14:textFill>
        </w:rPr>
        <w:t>报名时投标单位的资料与以上报名条件不符合、不齐全、复印件不清晰或未盖红色公章的将不予受理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A68E94E">
      <w:pPr>
        <w:widowControl/>
        <w:tabs>
          <w:tab w:val="left" w:pos="735"/>
        </w:tabs>
        <w:adjustRightInd w:val="0"/>
        <w:snapToGrid w:val="0"/>
        <w:spacing w:line="360" w:lineRule="auto"/>
        <w:ind w:left="660" w:leftChars="164" w:hanging="316" w:hangingChars="150"/>
        <w:rPr>
          <w:rFonts w:ascii="宋体" w:hAnsi="宋体"/>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截图。（证明文件须加盖投标人公章）（以招标代理机构或招标人查询结果为准，如相关失信记录已失效，供应商需提供相关证明资料）。</w:t>
      </w:r>
    </w:p>
    <w:p w14:paraId="25D96B17">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四、报价截止时间、开标时间及地点</w:t>
      </w:r>
    </w:p>
    <w:p w14:paraId="6CCDF633">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Tahoma"/>
          <w:color w:val="000000" w:themeColor="text1"/>
          <w:highlight w:val="none"/>
          <w14:textFill>
            <w14:solidFill>
              <w14:schemeClr w14:val="tx1"/>
            </w14:solidFill>
          </w14:textFill>
        </w:rPr>
        <w:t>递交谈判响应文件</w:t>
      </w:r>
      <w:r>
        <w:rPr>
          <w:rFonts w:hint="eastAsia" w:ascii="宋体" w:hAnsi="宋体" w:cs="宋体"/>
          <w:color w:val="000000" w:themeColor="text1"/>
          <w:kern w:val="0"/>
          <w:szCs w:val="21"/>
          <w:highlight w:val="none"/>
          <w14:textFill>
            <w14:solidFill>
              <w14:schemeClr w14:val="tx1"/>
            </w14:solidFill>
          </w14:textFill>
        </w:rPr>
        <w:t>时间：2026年10月16日</w:t>
      </w:r>
      <w:r>
        <w:rPr>
          <w:rFonts w:hint="eastAsia" w:ascii="宋体" w:hAnsi="宋体" w:cs="宋体"/>
          <w:color w:val="000000" w:themeColor="text1"/>
          <w:kern w:val="0"/>
          <w:szCs w:val="21"/>
          <w:highlight w:val="none"/>
          <w:lang w:val="en-US" w:eastAsia="zh-CN"/>
          <w14:textFill>
            <w14:solidFill>
              <w14:schemeClr w14:val="tx1"/>
            </w14:solidFill>
          </w14:textFill>
        </w:rPr>
        <w:t>14</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30</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15</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00</w:t>
      </w:r>
      <w:r>
        <w:rPr>
          <w:rFonts w:hint="eastAsia" w:ascii="宋体" w:hAnsi="宋体" w:cs="宋体"/>
          <w:color w:val="000000" w:themeColor="text1"/>
          <w:kern w:val="0"/>
          <w:szCs w:val="21"/>
          <w:highlight w:val="none"/>
          <w14:textFill>
            <w14:solidFill>
              <w14:schemeClr w14:val="tx1"/>
            </w14:solidFill>
          </w14:textFill>
        </w:rPr>
        <w:t> (北京时间)。</w:t>
      </w:r>
    </w:p>
    <w:p w14:paraId="64D1FA96">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2</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Tahoma"/>
          <w:color w:val="000000" w:themeColor="text1"/>
          <w:highlight w:val="none"/>
          <w14:textFill>
            <w14:solidFill>
              <w14:schemeClr w14:val="tx1"/>
            </w14:solidFill>
          </w14:textFill>
        </w:rPr>
        <w:t>递交谈判响应文件</w:t>
      </w:r>
      <w:r>
        <w:rPr>
          <w:rFonts w:hint="eastAsia" w:ascii="宋体" w:hAnsi="宋体" w:cs="宋体"/>
          <w:color w:val="000000" w:themeColor="text1"/>
          <w:kern w:val="0"/>
          <w:szCs w:val="21"/>
          <w:highlight w:val="none"/>
          <w14:textFill>
            <w14:solidFill>
              <w14:schemeClr w14:val="tx1"/>
            </w14:solidFill>
          </w14:textFill>
        </w:rPr>
        <w:t>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olor w:val="000000" w:themeColor="text1"/>
          <w:szCs w:val="21"/>
          <w:highlight w:val="none"/>
          <w14:textFill>
            <w14:solidFill>
              <w14:schemeClr w14:val="tx1"/>
            </w14:solidFill>
          </w14:textFill>
        </w:rPr>
        <w:t>开标室</w:t>
      </w:r>
      <w:r>
        <w:rPr>
          <w:rFonts w:hint="eastAsia" w:ascii="宋体" w:hAnsi="宋体" w:cs="宋体"/>
          <w:color w:val="000000" w:themeColor="text1"/>
          <w:kern w:val="0"/>
          <w:szCs w:val="21"/>
          <w:highlight w:val="none"/>
          <w14:textFill>
            <w14:solidFill>
              <w14:schemeClr w14:val="tx1"/>
            </w14:solidFill>
          </w14:textFill>
        </w:rPr>
        <w:t>。</w:t>
      </w:r>
    </w:p>
    <w:p w14:paraId="36D86C2D">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3</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Tahoma"/>
          <w:color w:val="000000" w:themeColor="text1"/>
          <w:highlight w:val="none"/>
          <w14:textFill>
            <w14:solidFill>
              <w14:schemeClr w14:val="tx1"/>
            </w14:solidFill>
          </w14:textFill>
        </w:rPr>
        <w:t>报价截止时间（递交谈判响应文件截止时间）</w:t>
      </w:r>
      <w:r>
        <w:rPr>
          <w:rFonts w:hint="eastAsia" w:ascii="宋体" w:hAnsi="宋体" w:cs="宋体"/>
          <w:color w:val="000000" w:themeColor="text1"/>
          <w:kern w:val="0"/>
          <w:szCs w:val="21"/>
          <w:highlight w:val="none"/>
          <w14:textFill>
            <w14:solidFill>
              <w14:schemeClr w14:val="tx1"/>
            </w14:solidFill>
          </w14:textFill>
        </w:rPr>
        <w:t xml:space="preserve">：2026年10月16日  </w:t>
      </w:r>
      <w:r>
        <w:rPr>
          <w:rFonts w:hint="eastAsia" w:ascii="宋体" w:hAnsi="宋体" w:cs="宋体"/>
          <w:color w:val="000000" w:themeColor="text1"/>
          <w:kern w:val="0"/>
          <w:szCs w:val="21"/>
          <w:highlight w:val="none"/>
          <w:lang w:val="en-US" w:eastAsia="zh-CN"/>
          <w14:textFill>
            <w14:solidFill>
              <w14:schemeClr w14:val="tx1"/>
            </w14:solidFill>
          </w14:textFill>
        </w:rPr>
        <w:t>15</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0</w:t>
      </w:r>
      <w:r>
        <w:rPr>
          <w:rFonts w:hint="eastAsia" w:ascii="宋体" w:hAnsi="宋体" w:cs="宋体"/>
          <w:color w:val="000000" w:themeColor="text1"/>
          <w:kern w:val="0"/>
          <w:szCs w:val="21"/>
          <w:highlight w:val="none"/>
          <w14:textFill>
            <w14:solidFill>
              <w14:schemeClr w14:val="tx1"/>
            </w14:solidFill>
          </w14:textFill>
        </w:rPr>
        <w:t>0(北京时间)。</w:t>
      </w:r>
    </w:p>
    <w:p w14:paraId="104D56DA">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4</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Tahoma"/>
          <w:color w:val="000000" w:themeColor="text1"/>
          <w:highlight w:val="none"/>
          <w14:textFill>
            <w14:solidFill>
              <w14:schemeClr w14:val="tx1"/>
            </w14:solidFill>
          </w14:textFill>
        </w:rPr>
        <w:t>谈判开始时间</w:t>
      </w:r>
      <w:r>
        <w:rPr>
          <w:rFonts w:hint="eastAsia" w:ascii="宋体" w:hAnsi="宋体" w:cs="宋体"/>
          <w:color w:val="000000" w:themeColor="text1"/>
          <w:kern w:val="0"/>
          <w:szCs w:val="21"/>
          <w:highlight w:val="none"/>
          <w14:textFill>
            <w14:solidFill>
              <w14:schemeClr w14:val="tx1"/>
            </w14:solidFill>
          </w14:textFill>
        </w:rPr>
        <w:t>：2026年10月16日 </w:t>
      </w:r>
      <w:r>
        <w:rPr>
          <w:rFonts w:hint="eastAsia" w:ascii="宋体" w:hAnsi="宋体" w:cs="宋体"/>
          <w:color w:val="000000" w:themeColor="text1"/>
          <w:kern w:val="0"/>
          <w:szCs w:val="21"/>
          <w:highlight w:val="none"/>
          <w:lang w:val="en-US" w:eastAsia="zh-CN"/>
          <w14:textFill>
            <w14:solidFill>
              <w14:schemeClr w14:val="tx1"/>
            </w14:solidFill>
          </w14:textFill>
        </w:rPr>
        <w:t>15</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00</w:t>
      </w:r>
      <w:r>
        <w:rPr>
          <w:rFonts w:hint="eastAsia" w:ascii="宋体" w:hAnsi="宋体" w:cs="宋体"/>
          <w:color w:val="000000" w:themeColor="text1"/>
          <w:kern w:val="0"/>
          <w:szCs w:val="21"/>
          <w:highlight w:val="none"/>
          <w14:textFill>
            <w14:solidFill>
              <w14:schemeClr w14:val="tx1"/>
            </w14:solidFill>
          </w14:textFill>
        </w:rPr>
        <w:t>(北京时间)。</w:t>
      </w:r>
    </w:p>
    <w:p w14:paraId="30BF87AF">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5</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Tahoma"/>
          <w:color w:val="000000" w:themeColor="text1"/>
          <w:highlight w:val="none"/>
          <w14:textFill>
            <w14:solidFill>
              <w14:schemeClr w14:val="tx1"/>
            </w14:solidFill>
          </w14:textFill>
        </w:rPr>
        <w:t>谈判</w:t>
      </w:r>
      <w:r>
        <w:rPr>
          <w:rFonts w:hint="eastAsia" w:ascii="宋体" w:hAnsi="宋体" w:cs="宋体"/>
          <w:color w:val="000000" w:themeColor="text1"/>
          <w:kern w:val="0"/>
          <w:szCs w:val="21"/>
          <w:highlight w:val="none"/>
          <w14:textFill>
            <w14:solidFill>
              <w14:schemeClr w14:val="tx1"/>
            </w14:solidFill>
          </w14:textFill>
        </w:rPr>
        <w:t>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202评</w:t>
      </w:r>
      <w:r>
        <w:rPr>
          <w:rFonts w:hint="eastAsia" w:ascii="宋体" w:hAnsi="宋体" w:cs="Tahoma"/>
          <w:color w:val="000000" w:themeColor="text1"/>
          <w:highlight w:val="none"/>
          <w14:textFill>
            <w14:solidFill>
              <w14:schemeClr w14:val="tx1"/>
            </w14:solidFill>
          </w14:textFill>
        </w:rPr>
        <w:t>标室</w:t>
      </w:r>
      <w:r>
        <w:rPr>
          <w:rFonts w:hint="eastAsia" w:ascii="宋体" w:hAnsi="宋体" w:cs="宋体"/>
          <w:color w:val="000000" w:themeColor="text1"/>
          <w:kern w:val="0"/>
          <w:szCs w:val="21"/>
          <w:highlight w:val="none"/>
          <w14:textFill>
            <w14:solidFill>
              <w14:schemeClr w14:val="tx1"/>
            </w14:solidFill>
          </w14:textFill>
        </w:rPr>
        <w:t>。</w:t>
      </w:r>
    </w:p>
    <w:p w14:paraId="233FBC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五、采购人、代理采购机构的名称、地址和联系方式</w:t>
      </w:r>
    </w:p>
    <w:p w14:paraId="188EC1BA">
      <w:pPr>
        <w:widowControl/>
        <w:tabs>
          <w:tab w:val="left" w:pos="502"/>
        </w:tabs>
        <w:adjustRightInd w:val="0"/>
        <w:snapToGrid w:val="0"/>
        <w:spacing w:line="360" w:lineRule="auto"/>
        <w:ind w:firstLine="210" w:firstLineChars="100"/>
        <w:rPr>
          <w:rFonts w:ascii="宋体" w:hAnsi="宋体" w:cs="Tahoma"/>
          <w:color w:val="000000" w:themeColor="text1"/>
          <w:szCs w:val="21"/>
          <w:highlight w:val="none"/>
          <w14:textFill>
            <w14:solidFill>
              <w14:schemeClr w14:val="tx1"/>
            </w14:solidFill>
          </w14:textFill>
        </w:rPr>
      </w:pPr>
      <w:r>
        <w:rPr>
          <w:rFonts w:hint="eastAsia" w:ascii="宋体" w:hAnsi="宋体" w:cs="Tahoma"/>
          <w:color w:val="000000" w:themeColor="text1"/>
          <w:szCs w:val="21"/>
          <w:highlight w:val="none"/>
          <w14:textFill>
            <w14:solidFill>
              <w14:schemeClr w14:val="tx1"/>
            </w14:solidFill>
          </w14:textFill>
        </w:rPr>
        <w:t>1.采购人联系方式：</w:t>
      </w:r>
    </w:p>
    <w:p w14:paraId="16AB3CA3">
      <w:pPr>
        <w:tabs>
          <w:tab w:val="left" w:pos="735"/>
          <w:tab w:val="left" w:pos="4680"/>
        </w:tabs>
        <w:adjustRightInd w:val="0"/>
        <w:snapToGrid w:val="0"/>
        <w:spacing w:line="360" w:lineRule="auto"/>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w:t>
      </w:r>
      <w:r>
        <w:rPr>
          <w:rFonts w:hint="eastAsia" w:ascii="宋体" w:hAnsi="宋体"/>
          <w:color w:val="000000" w:themeColor="text1"/>
          <w:szCs w:val="21"/>
          <w:highlight w:val="none"/>
          <w:lang w:eastAsia="zh-CN"/>
          <w14:textFill>
            <w14:solidFill>
              <w14:schemeClr w14:val="tx1"/>
            </w14:solidFill>
          </w14:textFill>
        </w:rPr>
        <w:t>阳江市人力资源和社会保障局</w:t>
      </w:r>
    </w:p>
    <w:p w14:paraId="775A3CB5">
      <w:pPr>
        <w:tabs>
          <w:tab w:val="left" w:pos="735"/>
          <w:tab w:val="left" w:pos="4680"/>
        </w:tabs>
        <w:adjustRightInd w:val="0"/>
        <w:snapToGrid w:val="0"/>
        <w:spacing w:line="360" w:lineRule="auto"/>
        <w:ind w:firstLine="420" w:firstLineChars="200"/>
        <w:rPr>
          <w:rFonts w:hint="default" w:eastAsia="宋体"/>
          <w:color w:val="000000" w:themeColor="text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w:t>
      </w:r>
      <w:r>
        <w:rPr>
          <w:rFonts w:hint="eastAsia" w:ascii="宋体" w:hAnsi="宋体" w:eastAsia="宋体" w:cs="宋体"/>
          <w:color w:val="000000" w:themeColor="text1"/>
          <w:highlight w:val="none"/>
          <w:lang w:val="en-US" w:eastAsia="zh-CN"/>
          <w14:textFill>
            <w14:solidFill>
              <w14:schemeClr w14:val="tx1"/>
            </w14:solidFill>
          </w14:textFill>
        </w:rPr>
        <w:t>杨潮江</w:t>
      </w:r>
    </w:p>
    <w:p w14:paraId="041EEFC2">
      <w:pPr>
        <w:spacing w:line="360" w:lineRule="auto"/>
        <w:ind w:firstLine="420" w:firstLineChars="200"/>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eastAsia="宋体" w:cs="宋体"/>
          <w:color w:val="000000" w:themeColor="text1"/>
          <w:highlight w:val="none"/>
          <w:lang w:val="en-US" w:eastAsia="zh-CN"/>
          <w14:textFill>
            <w14:solidFill>
              <w14:schemeClr w14:val="tx1"/>
            </w14:solidFill>
          </w14:textFill>
        </w:rPr>
        <w:t>0662-2233668</w:t>
      </w:r>
    </w:p>
    <w:p w14:paraId="0612E170">
      <w:pPr>
        <w:spacing w:line="360" w:lineRule="auto"/>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eastAsia="宋体" w:cs="宋体"/>
          <w:color w:val="000000" w:themeColor="text1"/>
          <w:highlight w:val="none"/>
          <w:lang w:val="en-US"/>
          <w14:textFill>
            <w14:solidFill>
              <w14:schemeClr w14:val="tx1"/>
            </w14:solidFill>
          </w14:textFill>
        </w:rPr>
        <w:t>阳江市二环路208号</w:t>
      </w:r>
    </w:p>
    <w:p w14:paraId="17C13438">
      <w:pPr>
        <w:widowControl/>
        <w:tabs>
          <w:tab w:val="left" w:pos="502"/>
        </w:tabs>
        <w:adjustRightInd w:val="0"/>
        <w:snapToGrid w:val="0"/>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s="Tahoma"/>
          <w:color w:val="000000" w:themeColor="text1"/>
          <w:szCs w:val="21"/>
          <w:highlight w:val="none"/>
          <w14:textFill>
            <w14:solidFill>
              <w14:schemeClr w14:val="tx1"/>
            </w14:solidFill>
          </w14:textFill>
        </w:rPr>
        <w:t>2.代理采购机构联系方式：</w:t>
      </w:r>
      <w:r>
        <w:rPr>
          <w:rFonts w:hint="eastAsia" w:ascii="宋体" w:hAnsi="宋体"/>
          <w:color w:val="000000" w:themeColor="text1"/>
          <w:szCs w:val="21"/>
          <w:highlight w:val="none"/>
          <w:lang w:val="zh-CN"/>
          <w14:textFill>
            <w14:solidFill>
              <w14:schemeClr w14:val="tx1"/>
            </w14:solidFill>
          </w14:textFill>
        </w:rPr>
        <w:t>　　　　　　　</w:t>
      </w:r>
    </w:p>
    <w:p w14:paraId="054C063D">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名  称：广东业信采购招标有限公司   </w:t>
      </w:r>
    </w:p>
    <w:p w14:paraId="16DCA127">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联系人：冯国辉　　　　</w:t>
      </w:r>
    </w:p>
    <w:p w14:paraId="1BABFE19">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电话：0662-</w:t>
      </w:r>
      <w:r>
        <w:rPr>
          <w:rFonts w:hint="eastAsia" w:ascii="宋体" w:hAnsi="宋体" w:cs="Tahoma"/>
          <w:color w:val="000000" w:themeColor="text1"/>
          <w:highlight w:val="none"/>
          <w14:textFill>
            <w14:solidFill>
              <w14:schemeClr w14:val="tx1"/>
            </w14:solidFill>
          </w14:textFill>
        </w:rPr>
        <w:t>3167266</w:t>
      </w:r>
      <w:r>
        <w:rPr>
          <w:rFonts w:hint="eastAsia" w:ascii="宋体" w:hAnsi="宋体"/>
          <w:color w:val="000000" w:themeColor="text1"/>
          <w:szCs w:val="21"/>
          <w:highlight w:val="none"/>
          <w14:textFill>
            <w14:solidFill>
              <w14:schemeClr w14:val="tx1"/>
            </w14:solidFill>
          </w14:textFill>
        </w:rPr>
        <w:t xml:space="preserve">                 </w:t>
      </w:r>
    </w:p>
    <w:p w14:paraId="30FB9814">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传真：0662-2669666　　　　　</w:t>
      </w:r>
    </w:p>
    <w:p w14:paraId="0C5D7C0A">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联系地址：</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olor w:val="000000" w:themeColor="text1"/>
          <w:szCs w:val="21"/>
          <w:highlight w:val="none"/>
          <w14:textFill>
            <w14:solidFill>
              <w14:schemeClr w14:val="tx1"/>
            </w14:solidFill>
          </w14:textFill>
        </w:rPr>
        <w:t>　</w:t>
      </w:r>
      <w:r>
        <w:rPr>
          <w:rFonts w:hint="eastAsia" w:ascii="宋体" w:hAnsi="宋体"/>
          <w:color w:val="000000" w:themeColor="text1"/>
          <w:szCs w:val="21"/>
          <w:highlight w:val="none"/>
          <w:lang w:val="zh-CN"/>
          <w14:textFill>
            <w14:solidFill>
              <w14:schemeClr w14:val="tx1"/>
            </w14:solidFill>
          </w14:textFill>
        </w:rPr>
        <w:t>　　　　　　</w:t>
      </w:r>
    </w:p>
    <w:p w14:paraId="031581E8">
      <w:pPr>
        <w:widowControl/>
        <w:tabs>
          <w:tab w:val="left" w:pos="502"/>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网址：</w:t>
      </w:r>
      <w:bookmarkStart w:id="11" w:name="_Toc351988704"/>
      <w:bookmarkStart w:id="12" w:name="_Toc353522387"/>
      <w:bookmarkStart w:id="13" w:name="_Toc351987959"/>
      <w:bookmarkStart w:id="14" w:name="_Toc351986193"/>
      <w:bookmarkStart w:id="15" w:name="_Toc351986013"/>
      <w:bookmarkStart w:id="16" w:name="_Toc351985908"/>
      <w:bookmarkStart w:id="17" w:name="_Toc351987763"/>
      <w:bookmarkStart w:id="18" w:name="_Toc369180017"/>
      <w:bookmarkStart w:id="19" w:name="_Toc357151163"/>
      <w:bookmarkStart w:id="20" w:name="_Toc329242667"/>
      <w:bookmarkStart w:id="21" w:name="_Toc351990140"/>
      <w:r>
        <w:rPr>
          <w:rFonts w:ascii="宋体" w:hAnsi="宋体"/>
          <w:color w:val="000000" w:themeColor="text1"/>
          <w:szCs w:val="21"/>
          <w:highlight w:val="none"/>
          <w14:textFill>
            <w14:solidFill>
              <w14:schemeClr w14:val="tx1"/>
            </w14:solidFill>
          </w14:textFill>
        </w:rPr>
        <w:t>http://www.gdgpo.com.cn/</w:t>
      </w:r>
    </w:p>
    <w:p w14:paraId="087165F1">
      <w:pPr>
        <w:spacing w:line="360" w:lineRule="auto"/>
        <w:ind w:firstLine="3255" w:firstLineChars="1550"/>
        <w:jc w:val="right"/>
        <w:rPr>
          <w:rFonts w:hint="eastAsia" w:ascii="宋体" w:hAnsi="宋体"/>
          <w:color w:val="000000" w:themeColor="text1"/>
          <w:szCs w:val="21"/>
          <w:highlight w:val="none"/>
          <w14:textFill>
            <w14:solidFill>
              <w14:schemeClr w14:val="tx1"/>
            </w14:solidFill>
          </w14:textFill>
        </w:rPr>
      </w:pPr>
    </w:p>
    <w:p w14:paraId="56296FCB">
      <w:pPr>
        <w:spacing w:line="360" w:lineRule="auto"/>
        <w:ind w:firstLine="3255" w:firstLineChars="1550"/>
        <w:jc w:val="right"/>
        <w:rPr>
          <w:rFonts w:hint="eastAsia" w:ascii="宋体" w:hAnsi="宋体"/>
          <w:color w:val="000000" w:themeColor="text1"/>
          <w:szCs w:val="21"/>
          <w:highlight w:val="none"/>
          <w14:textFill>
            <w14:solidFill>
              <w14:schemeClr w14:val="tx1"/>
            </w14:solidFill>
          </w14:textFill>
        </w:rPr>
      </w:pPr>
    </w:p>
    <w:p w14:paraId="5C01F956">
      <w:pPr>
        <w:spacing w:line="360" w:lineRule="auto"/>
        <w:ind w:firstLine="3255" w:firstLineChars="1550"/>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广东业信采购招标有限公司  </w:t>
      </w:r>
    </w:p>
    <w:p w14:paraId="73F8E4BD">
      <w:pPr>
        <w:spacing w:line="360" w:lineRule="auto"/>
        <w:ind w:left="6615" w:leftChars="2450" w:hanging="1470" w:hangingChars="700"/>
        <w:jc w:val="righ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2026年10月8日</w:t>
      </w:r>
    </w:p>
    <w:p w14:paraId="0D68FEDE">
      <w:pP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br w:type="page"/>
      </w:r>
      <w:bookmarkStart w:id="262" w:name="_GoBack"/>
      <w:bookmarkEnd w:id="262"/>
    </w:p>
    <w:p w14:paraId="0E6A02E3">
      <w:pPr>
        <w:pStyle w:val="3"/>
        <w:numPr>
          <w:ilvl w:val="0"/>
          <w:numId w:val="0"/>
        </w:numPr>
        <w:autoSpaceDE w:val="0"/>
        <w:autoSpaceDN w:val="0"/>
        <w:adjustRightInd w:val="0"/>
        <w:snapToGrid w:val="0"/>
        <w:spacing w:beforeLines="100" w:after="0" w:line="360" w:lineRule="auto"/>
        <w:jc w:val="center"/>
        <w:textAlignment w:val="baseline"/>
        <w:rPr>
          <w:rFonts w:ascii="宋体" w:hAnsi="宋体"/>
          <w:color w:val="000000" w:themeColor="text1"/>
          <w:sz w:val="21"/>
          <w:szCs w:val="21"/>
          <w:highlight w:val="none"/>
          <w14:textFill>
            <w14:solidFill>
              <w14:schemeClr w14:val="tx1"/>
            </w14:solidFill>
          </w14:textFill>
        </w:rPr>
      </w:pPr>
      <w:bookmarkStart w:id="22" w:name="_Toc7965"/>
      <w:bookmarkStart w:id="23" w:name="_Toc452826426"/>
      <w:r>
        <w:rPr>
          <w:rFonts w:hint="eastAsia" w:ascii="宋体" w:hAnsi="宋体"/>
          <w:color w:val="000000" w:themeColor="text1"/>
          <w:sz w:val="21"/>
          <w:szCs w:val="21"/>
          <w:highlight w:val="none"/>
          <w14:textFill>
            <w14:solidFill>
              <w14:schemeClr w14:val="tx1"/>
            </w14:solidFill>
          </w14:textFill>
        </w:rPr>
        <w:t>第二部分  采购项目内容</w:t>
      </w:r>
      <w:bookmarkEnd w:id="11"/>
      <w:bookmarkEnd w:id="12"/>
      <w:bookmarkEnd w:id="13"/>
      <w:bookmarkEnd w:id="14"/>
      <w:bookmarkEnd w:id="15"/>
      <w:bookmarkEnd w:id="16"/>
      <w:bookmarkEnd w:id="17"/>
      <w:bookmarkEnd w:id="18"/>
      <w:bookmarkEnd w:id="19"/>
      <w:bookmarkEnd w:id="20"/>
      <w:bookmarkEnd w:id="21"/>
      <w:bookmarkEnd w:id="22"/>
      <w:bookmarkEnd w:id="23"/>
      <w:bookmarkStart w:id="24" w:name="_Toc75570886"/>
    </w:p>
    <w:p w14:paraId="21A361C1">
      <w:pPr>
        <w:pStyle w:val="3"/>
        <w:numPr>
          <w:ilvl w:val="0"/>
          <w:numId w:val="0"/>
        </w:numPr>
        <w:autoSpaceDE w:val="0"/>
        <w:autoSpaceDN w:val="0"/>
        <w:adjustRightInd w:val="0"/>
        <w:snapToGrid w:val="0"/>
        <w:spacing w:beforeLines="100" w:after="0" w:line="360" w:lineRule="auto"/>
        <w:jc w:val="left"/>
        <w:textAlignment w:val="baseline"/>
        <w:rPr>
          <w:rFonts w:hint="eastAsia" w:ascii="宋体" w:hAnsi="宋体" w:eastAsia="宋体"/>
          <w:color w:val="000000" w:themeColor="text1"/>
          <w:sz w:val="21"/>
          <w:szCs w:val="21"/>
          <w:highlight w:val="none"/>
          <w:lang w:eastAsia="zh-CN"/>
          <w14:textFill>
            <w14:solidFill>
              <w14:schemeClr w14:val="tx1"/>
            </w14:solidFill>
          </w14:textFill>
        </w:rPr>
      </w:pPr>
      <w:bookmarkStart w:id="25" w:name="_Toc351986194"/>
      <w:bookmarkStart w:id="26" w:name="_Toc452826427"/>
      <w:bookmarkStart w:id="27" w:name="_Toc351990141"/>
      <w:bookmarkStart w:id="28" w:name="_Toc351987764"/>
      <w:bookmarkStart w:id="29" w:name="_Toc351985909"/>
      <w:bookmarkStart w:id="30" w:name="_Toc351986014"/>
      <w:bookmarkStart w:id="31" w:name="_Toc351987960"/>
      <w:bookmarkStart w:id="32" w:name="_Toc369180018"/>
      <w:bookmarkStart w:id="33" w:name="_Toc351988705"/>
      <w:bookmarkStart w:id="34" w:name="_Toc30666"/>
      <w:bookmarkStart w:id="35" w:name="_Toc329242668"/>
      <w:bookmarkStart w:id="36" w:name="_Toc353522388"/>
      <w:bookmarkStart w:id="37" w:name="_Toc357151164"/>
      <w:r>
        <w:rPr>
          <w:rFonts w:hint="eastAsia" w:ascii="宋体" w:hAnsi="宋体"/>
          <w:color w:val="000000" w:themeColor="text1"/>
          <w:sz w:val="21"/>
          <w:szCs w:val="21"/>
          <w:highlight w:val="none"/>
          <w14:textFill>
            <w14:solidFill>
              <w14:schemeClr w14:val="tx1"/>
            </w14:solidFill>
          </w14:textFill>
        </w:rPr>
        <w:t>项目编号：</w:t>
      </w:r>
      <w:bookmarkEnd w:id="25"/>
      <w:bookmarkEnd w:id="26"/>
      <w:bookmarkEnd w:id="27"/>
      <w:bookmarkEnd w:id="28"/>
      <w:bookmarkEnd w:id="29"/>
      <w:bookmarkEnd w:id="30"/>
      <w:bookmarkEnd w:id="31"/>
      <w:bookmarkEnd w:id="32"/>
      <w:bookmarkEnd w:id="33"/>
      <w:bookmarkEnd w:id="34"/>
      <w:bookmarkEnd w:id="35"/>
      <w:bookmarkEnd w:id="36"/>
      <w:bookmarkEnd w:id="37"/>
      <w:r>
        <w:rPr>
          <w:rFonts w:hint="eastAsia" w:ascii="宋体" w:hAnsi="宋体"/>
          <w:color w:val="000000" w:themeColor="text1"/>
          <w:sz w:val="21"/>
          <w:szCs w:val="21"/>
          <w:highlight w:val="none"/>
          <w:u w:val="single"/>
          <w:lang w:eastAsia="zh-CN"/>
          <w14:textFill>
            <w14:solidFill>
              <w14:schemeClr w14:val="tx1"/>
            </w14:solidFill>
          </w14:textFill>
        </w:rPr>
        <w:t>YXCG-20260910</w:t>
      </w:r>
    </w:p>
    <w:p w14:paraId="23865310">
      <w:pPr>
        <w:pStyle w:val="4"/>
        <w:widowControl/>
        <w:numPr>
          <w:ilvl w:val="1"/>
          <w:numId w:val="0"/>
        </w:numPr>
        <w:autoSpaceDE w:val="0"/>
        <w:autoSpaceDN w:val="0"/>
        <w:adjustRightInd w:val="0"/>
        <w:snapToGrid w:val="0"/>
        <w:spacing w:before="0" w:after="0" w:line="360" w:lineRule="auto"/>
        <w:jc w:val="left"/>
        <w:textAlignment w:val="baseline"/>
        <w:rPr>
          <w:rFonts w:hint="eastAsia" w:ascii="宋体" w:hAnsi="宋体" w:eastAsia="宋体"/>
          <w:color w:val="000000" w:themeColor="text1"/>
          <w:kern w:val="44"/>
          <w:sz w:val="21"/>
          <w:szCs w:val="21"/>
          <w:highlight w:val="none"/>
          <w:lang w:eastAsia="zh-CN"/>
          <w14:textFill>
            <w14:solidFill>
              <w14:schemeClr w14:val="tx1"/>
            </w14:solidFill>
          </w14:textFill>
        </w:rPr>
      </w:pPr>
      <w:bookmarkStart w:id="38" w:name="_Toc351987961"/>
      <w:bookmarkStart w:id="39" w:name="_Toc452826428"/>
      <w:bookmarkStart w:id="40" w:name="_Toc351988706"/>
      <w:bookmarkStart w:id="41" w:name="_Toc329242669"/>
      <w:bookmarkStart w:id="42" w:name="_Toc357151165"/>
      <w:bookmarkStart w:id="43" w:name="_Toc351987765"/>
      <w:bookmarkStart w:id="44" w:name="_Toc369180019"/>
      <w:bookmarkStart w:id="45" w:name="_Toc351986195"/>
      <w:bookmarkStart w:id="46" w:name="_Toc351985910"/>
      <w:bookmarkStart w:id="47" w:name="_Toc351990142"/>
      <w:bookmarkStart w:id="48" w:name="_Toc25714"/>
      <w:bookmarkStart w:id="49" w:name="_Toc353522389"/>
      <w:bookmarkStart w:id="50" w:name="_Toc351986015"/>
      <w:r>
        <w:rPr>
          <w:rFonts w:hint="eastAsia" w:ascii="宋体" w:hAnsi="宋体" w:eastAsia="宋体"/>
          <w:color w:val="000000" w:themeColor="text1"/>
          <w:kern w:val="44"/>
          <w:sz w:val="21"/>
          <w:szCs w:val="21"/>
          <w:highlight w:val="none"/>
          <w14:textFill>
            <w14:solidFill>
              <w14:schemeClr w14:val="tx1"/>
            </w14:solidFill>
          </w14:textFill>
        </w:rPr>
        <w:t>项目名称：</w:t>
      </w:r>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宋体" w:hAnsi="宋体" w:eastAsia="宋体"/>
          <w:color w:val="000000" w:themeColor="text1"/>
          <w:kern w:val="44"/>
          <w:sz w:val="21"/>
          <w:szCs w:val="21"/>
          <w:highlight w:val="none"/>
          <w:u w:val="single"/>
          <w:lang w:eastAsia="zh-CN"/>
          <w14:textFill>
            <w14:solidFill>
              <w14:schemeClr w14:val="tx1"/>
            </w14:solidFill>
          </w14:textFill>
        </w:rPr>
        <w:t>阳江市智慧人社系统适配改造（2026年）项目</w:t>
      </w:r>
    </w:p>
    <w:p w14:paraId="27C57EA0">
      <w:pPr>
        <w:pStyle w:val="4"/>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bookmarkStart w:id="51" w:name="_Toc13276"/>
      <w:bookmarkStart w:id="52" w:name="_Toc351987766"/>
      <w:bookmarkStart w:id="53" w:name="_Toc452826429"/>
      <w:bookmarkStart w:id="54" w:name="_Toc351988707"/>
      <w:bookmarkStart w:id="55" w:name="_Toc369180020"/>
      <w:bookmarkStart w:id="56" w:name="_Toc357151166"/>
      <w:bookmarkStart w:id="57" w:name="_Toc353522390"/>
      <w:bookmarkStart w:id="58" w:name="_Toc329242670"/>
      <w:bookmarkStart w:id="59" w:name="_Toc351985911"/>
      <w:bookmarkStart w:id="60" w:name="_Toc351990143"/>
      <w:bookmarkStart w:id="61" w:name="_Toc351986196"/>
      <w:bookmarkStart w:id="62" w:name="_Toc351987962"/>
      <w:bookmarkStart w:id="63" w:name="_Toc351986016"/>
      <w:r>
        <w:rPr>
          <w:rFonts w:ascii="宋体" w:hAnsi="宋体" w:eastAsia="宋体"/>
          <w:color w:val="000000" w:themeColor="text1"/>
          <w:kern w:val="0"/>
          <w:sz w:val="21"/>
          <w:szCs w:val="21"/>
          <w:highlight w:val="none"/>
          <w14:textFill>
            <w14:solidFill>
              <w14:schemeClr w14:val="tx1"/>
            </w14:solidFill>
          </w14:textFill>
        </w:rPr>
        <w:t xml:space="preserve">A  </w:t>
      </w:r>
      <w:r>
        <w:rPr>
          <w:rFonts w:hint="eastAsia" w:ascii="宋体" w:hAnsi="宋体" w:eastAsia="宋体"/>
          <w:color w:val="000000" w:themeColor="text1"/>
          <w:kern w:val="0"/>
          <w:sz w:val="21"/>
          <w:szCs w:val="21"/>
          <w:highlight w:val="none"/>
          <w14:textFill>
            <w14:solidFill>
              <w14:schemeClr w14:val="tx1"/>
            </w14:solidFill>
          </w14:textFill>
        </w:rPr>
        <w:t>商务要求</w:t>
      </w:r>
      <w:bookmarkEnd w:id="24"/>
      <w:bookmarkEnd w:id="51"/>
      <w:bookmarkEnd w:id="52"/>
      <w:bookmarkEnd w:id="53"/>
      <w:bookmarkEnd w:id="54"/>
      <w:bookmarkEnd w:id="55"/>
      <w:bookmarkEnd w:id="56"/>
      <w:bookmarkEnd w:id="57"/>
      <w:bookmarkEnd w:id="58"/>
      <w:bookmarkEnd w:id="59"/>
      <w:bookmarkEnd w:id="60"/>
      <w:bookmarkEnd w:id="61"/>
      <w:bookmarkEnd w:id="62"/>
      <w:bookmarkEnd w:id="63"/>
    </w:p>
    <w:tbl>
      <w:tblPr>
        <w:tblStyle w:val="43"/>
        <w:tblW w:w="949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395"/>
      </w:tblGrid>
      <w:tr w14:paraId="6554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350780A">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3EAB6EF6">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p>
        </w:tc>
        <w:tc>
          <w:tcPr>
            <w:tcW w:w="626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1C279F53">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主要内容</w:t>
            </w:r>
          </w:p>
        </w:tc>
      </w:tr>
      <w:tr w14:paraId="6DF1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18049358">
            <w:pPr>
              <w:spacing w:line="32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3DFA57FE">
            <w:pPr>
              <w:spacing w:line="320" w:lineRule="exact"/>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投标人投标资格要求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3141A1EA">
            <w:pPr>
              <w:spacing w:line="32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详见第一部份《竞争性谈判邀请书》。</w:t>
            </w:r>
          </w:p>
        </w:tc>
      </w:tr>
      <w:tr w14:paraId="6795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3715DF97">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25C3947D">
            <w:pPr>
              <w:spacing w:line="320" w:lineRule="exact"/>
              <w:jc w:val="center"/>
              <w:rPr>
                <w:rFonts w:hint="eastAsia" w:eastAsia="宋体"/>
                <w:b/>
                <w:color w:val="000000" w:themeColor="text1"/>
                <w:highlight w:val="none"/>
                <w:lang w:eastAsia="zh-CN"/>
                <w14:textFill>
                  <w14:solidFill>
                    <w14:schemeClr w14:val="tx1"/>
                  </w14:solidFill>
                </w14:textFill>
              </w:rPr>
            </w:pPr>
            <w:r>
              <w:rPr>
                <w:rFonts w:hint="eastAsia"/>
                <w:b/>
                <w:color w:val="000000" w:themeColor="text1"/>
                <w:highlight w:val="none"/>
                <w:lang w:eastAsia="zh-CN"/>
                <w14:textFill>
                  <w14:solidFill>
                    <w14:schemeClr w14:val="tx1"/>
                  </w14:solidFill>
                </w14:textFill>
              </w:rPr>
              <w:t>完工期</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4C56ABB8">
            <w:pPr>
              <w:spacing w:line="32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详见第一部份《竞争性谈判邀请书》。</w:t>
            </w:r>
          </w:p>
        </w:tc>
      </w:tr>
      <w:tr w14:paraId="6819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852FF59">
            <w:pPr>
              <w:spacing w:line="32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0EB81A4">
            <w:pPr>
              <w:spacing w:line="320" w:lineRule="exact"/>
              <w:jc w:val="center"/>
              <w:rPr>
                <w:rFonts w:hint="default" w:eastAsia="宋体"/>
                <w:b/>
                <w:color w:val="000000" w:themeColor="text1"/>
                <w:highlight w:val="none"/>
                <w:lang w:val="en-US" w:eastAsia="zh-CN"/>
                <w14:textFill>
                  <w14:solidFill>
                    <w14:schemeClr w14:val="tx1"/>
                  </w14:solidFill>
                </w14:textFill>
              </w:rPr>
            </w:pPr>
            <w:r>
              <w:rPr>
                <w:rFonts w:hint="eastAsia"/>
                <w:b/>
                <w:color w:val="000000" w:themeColor="text1"/>
                <w:highlight w:val="none"/>
                <w:lang w:val="en-US" w:eastAsia="zh-CN"/>
                <w14:textFill>
                  <w14:solidFill>
                    <w14:schemeClr w14:val="tx1"/>
                  </w14:solidFill>
                </w14:textFill>
              </w:rPr>
              <w:t>完工地点</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13892D15">
            <w:pPr>
              <w:spacing w:line="320" w:lineRule="exact"/>
              <w:rPr>
                <w:rFonts w:hint="eastAsia"/>
                <w:color w:val="000000" w:themeColor="text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采购人指定地点。</w:t>
            </w:r>
          </w:p>
        </w:tc>
      </w:tr>
      <w:tr w14:paraId="5D11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tcBorders>
              <w:top w:val="single" w:color="auto" w:sz="4" w:space="0"/>
              <w:left w:val="single" w:color="auto" w:sz="4" w:space="0"/>
              <w:bottom w:val="single" w:color="auto" w:sz="4" w:space="0"/>
              <w:right w:val="single" w:color="auto" w:sz="4" w:space="0"/>
            </w:tcBorders>
            <w:vAlign w:val="center"/>
          </w:tcPr>
          <w:p w14:paraId="5B8BAD66">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2DEB72A3">
            <w:pPr>
              <w:spacing w:line="320" w:lineRule="exact"/>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报价包括</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1A82BEBE">
            <w:pPr>
              <w:spacing w:line="320" w:lineRule="exac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报价需包括项目服务期间中产生的全部费用。采购人不再另行支付任何其他费用。</w:t>
            </w:r>
          </w:p>
        </w:tc>
      </w:tr>
      <w:tr w14:paraId="497C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226D65E7">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741AA753">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58757CAD">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采购合同由成交供应商凭《成交通知书》与采购人双方签订,签订时间为《成交通知书》发出之日起 30 个日历日内。</w:t>
            </w:r>
          </w:p>
        </w:tc>
      </w:tr>
      <w:tr w14:paraId="3087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7C1166E4">
            <w:pPr>
              <w:spacing w:line="320" w:lineRule="exact"/>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2F0EDB04">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付款方式</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606E4FD0">
            <w:pPr>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1.支付比例30%，合同签订生效后，采购人于10个工作日内支付合同总价的30%；</w:t>
            </w:r>
          </w:p>
          <w:p w14:paraId="29CFD563">
            <w:pPr>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2.支付比例40%，系统实施进度完成100%，采购人于10个工作日内支付合同总价的40%；</w:t>
            </w:r>
          </w:p>
          <w:p w14:paraId="6A253698">
            <w:pPr>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3.支付比例30%，系统通过等保测评和信创符合性测试，并验收合格，采购人于10个工作日内支付合同总价剩余的30%。</w:t>
            </w:r>
          </w:p>
          <w:p w14:paraId="430588FB">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注：因采购人使用的是财政资金，采购人在前款规定的付款时间内提出办理财政支付中请手续的时间(不含政府财政支付部门审核的时间)，在规定时间内提出支付申请手续后即视为采购人已经按期支付。</w:t>
            </w:r>
          </w:p>
        </w:tc>
      </w:tr>
      <w:tr w14:paraId="22FB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02EF07AE">
            <w:pPr>
              <w:spacing w:line="320" w:lineRule="exact"/>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1452AE91">
            <w:pPr>
              <w:spacing w:line="32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lang w:val="en-US" w:eastAsia="zh-CN"/>
                <w14:textFill>
                  <w14:solidFill>
                    <w14:schemeClr w14:val="tx1"/>
                  </w14:solidFill>
                </w14:textFill>
              </w:rPr>
              <w:t>验收要求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478B5775">
            <w:pPr>
              <w:spacing w:line="320" w:lineRule="exact"/>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全部验收工作严格按所属行业现行标准执行，各项指标均满足行业标准的合格要求。</w:t>
            </w:r>
          </w:p>
        </w:tc>
      </w:tr>
      <w:tr w14:paraId="645C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75" w:type="dxa"/>
            <w:tcBorders>
              <w:top w:val="single" w:color="auto" w:sz="4" w:space="0"/>
              <w:left w:val="single" w:color="auto" w:sz="4" w:space="0"/>
              <w:right w:val="single" w:color="auto" w:sz="4" w:space="0"/>
            </w:tcBorders>
            <w:vAlign w:val="center"/>
          </w:tcPr>
          <w:p w14:paraId="0F2A98A4">
            <w:pPr>
              <w:spacing w:line="32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right w:val="single" w:color="auto" w:sz="4" w:space="0"/>
            </w:tcBorders>
            <w:vAlign w:val="center"/>
          </w:tcPr>
          <w:p w14:paraId="6874BE56">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投标保证金</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0B0302FC">
            <w:pPr>
              <w:snapToGrid w:val="0"/>
              <w:spacing w:line="300" w:lineRule="exact"/>
              <w:ind w:left="316" w:hanging="316" w:hangingChars="150"/>
              <w:jc w:val="left"/>
              <w:rPr>
                <w:rFonts w:hint="default" w:ascii="宋体" w:hAnsi="宋体" w:eastAsia="宋体"/>
                <w:b/>
                <w:color w:val="000000" w:themeColor="text1"/>
                <w:szCs w:val="21"/>
                <w:highlight w:val="none"/>
                <w:lang w:val="en-US" w:eastAsia="zh-CN"/>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不收取</w:t>
            </w:r>
          </w:p>
        </w:tc>
      </w:tr>
      <w:tr w14:paraId="280F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right w:val="single" w:color="auto" w:sz="4" w:space="0"/>
            </w:tcBorders>
            <w:vAlign w:val="center"/>
          </w:tcPr>
          <w:p w14:paraId="004BCD9B">
            <w:pPr>
              <w:spacing w:line="32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4024F67C">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成交服务费</w:t>
            </w:r>
          </w:p>
          <w:p w14:paraId="48E60129">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561646E0">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收费标准：</w:t>
            </w:r>
          </w:p>
        </w:tc>
        <w:tc>
          <w:tcPr>
            <w:tcW w:w="4395" w:type="dxa"/>
            <w:tcBorders>
              <w:top w:val="single" w:color="auto" w:sz="4" w:space="0"/>
              <w:left w:val="single" w:color="auto" w:sz="4" w:space="0"/>
              <w:bottom w:val="single" w:color="auto" w:sz="4" w:space="0"/>
              <w:right w:val="single" w:color="auto" w:sz="4" w:space="0"/>
            </w:tcBorders>
            <w:vAlign w:val="center"/>
          </w:tcPr>
          <w:p w14:paraId="7C9A9F31">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参考发改价格[2011]534号文的规定，招标代理服务费按差额定率累进法计算（不足</w:t>
            </w:r>
            <w:r>
              <w:rPr>
                <w:rFonts w:hint="eastAsia" w:ascii="宋体" w:hAnsi="宋体" w:cs="宋体"/>
                <w:bCs/>
                <w:color w:val="000000" w:themeColor="text1"/>
                <w:szCs w:val="21"/>
                <w:highlight w:val="none"/>
                <w:lang w:val="en-US" w:eastAsia="zh-CN"/>
                <w14:textFill>
                  <w14:solidFill>
                    <w14:schemeClr w14:val="tx1"/>
                  </w14:solidFill>
                </w14:textFill>
              </w:rPr>
              <w:t>6000</w:t>
            </w:r>
            <w:r>
              <w:rPr>
                <w:rFonts w:hint="eastAsia" w:ascii="宋体" w:hAnsi="宋体" w:cs="宋体"/>
                <w:bCs/>
                <w:color w:val="000000" w:themeColor="text1"/>
                <w:szCs w:val="21"/>
                <w:highlight w:val="none"/>
                <w14:textFill>
                  <w14:solidFill>
                    <w14:schemeClr w14:val="tx1"/>
                  </w14:solidFill>
                </w14:textFill>
              </w:rPr>
              <w:t>元按</w:t>
            </w:r>
            <w:r>
              <w:rPr>
                <w:rFonts w:hint="eastAsia" w:ascii="宋体" w:hAnsi="宋体" w:cs="宋体"/>
                <w:bCs/>
                <w:color w:val="000000" w:themeColor="text1"/>
                <w:szCs w:val="21"/>
                <w:highlight w:val="none"/>
                <w:lang w:val="en-US" w:eastAsia="zh-CN"/>
                <w14:textFill>
                  <w14:solidFill>
                    <w14:schemeClr w14:val="tx1"/>
                  </w14:solidFill>
                </w14:textFill>
              </w:rPr>
              <w:t>6000</w:t>
            </w:r>
            <w:r>
              <w:rPr>
                <w:rFonts w:hint="eastAsia" w:ascii="宋体" w:hAnsi="宋体" w:cs="宋体"/>
                <w:bCs/>
                <w:color w:val="000000" w:themeColor="text1"/>
                <w:szCs w:val="21"/>
                <w:highlight w:val="none"/>
                <w14:textFill>
                  <w14:solidFill>
                    <w14:schemeClr w14:val="tx1"/>
                  </w14:solidFill>
                </w14:textFill>
              </w:rPr>
              <w:t>元计算）。成交服务费由成交供应商在领取成交通知书前以银行转账方式一次性支付。</w:t>
            </w:r>
          </w:p>
        </w:tc>
      </w:tr>
      <w:tr w14:paraId="2BCA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right w:val="single" w:color="auto" w:sz="4" w:space="0"/>
            </w:tcBorders>
            <w:vAlign w:val="center"/>
          </w:tcPr>
          <w:p w14:paraId="78A4036B">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15B28659">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5A7DF3F2">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开户名称</w:t>
            </w:r>
          </w:p>
        </w:tc>
        <w:tc>
          <w:tcPr>
            <w:tcW w:w="4395" w:type="dxa"/>
            <w:tcBorders>
              <w:top w:val="single" w:color="auto" w:sz="4" w:space="0"/>
              <w:left w:val="single" w:color="auto" w:sz="4" w:space="0"/>
              <w:bottom w:val="single" w:color="auto" w:sz="4" w:space="0"/>
              <w:right w:val="single" w:color="auto" w:sz="4" w:space="0"/>
            </w:tcBorders>
            <w:vAlign w:val="center"/>
          </w:tcPr>
          <w:p w14:paraId="0CE804F8">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广东业信采购招标有限公司</w:t>
            </w:r>
          </w:p>
        </w:tc>
      </w:tr>
      <w:tr w14:paraId="5F93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right w:val="single" w:color="auto" w:sz="4" w:space="0"/>
            </w:tcBorders>
            <w:vAlign w:val="center"/>
          </w:tcPr>
          <w:p w14:paraId="7ED09831">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1710BBC">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79A6C23B">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账    号</w:t>
            </w:r>
          </w:p>
        </w:tc>
        <w:tc>
          <w:tcPr>
            <w:tcW w:w="4395" w:type="dxa"/>
            <w:tcBorders>
              <w:top w:val="single" w:color="auto" w:sz="4" w:space="0"/>
              <w:left w:val="single" w:color="auto" w:sz="4" w:space="0"/>
              <w:bottom w:val="single" w:color="auto" w:sz="4" w:space="0"/>
              <w:right w:val="single" w:color="auto" w:sz="4" w:space="0"/>
            </w:tcBorders>
            <w:vAlign w:val="center"/>
          </w:tcPr>
          <w:p w14:paraId="61BAD4A8">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44547801040002249</w:t>
            </w:r>
          </w:p>
        </w:tc>
      </w:tr>
      <w:tr w14:paraId="0BC4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bottom w:val="single" w:color="auto" w:sz="4" w:space="0"/>
              <w:right w:val="single" w:color="auto" w:sz="4" w:space="0"/>
            </w:tcBorders>
            <w:vAlign w:val="center"/>
          </w:tcPr>
          <w:p w14:paraId="7A2035CD">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14BCC751">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756FCBE9">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p>
        </w:tc>
        <w:tc>
          <w:tcPr>
            <w:tcW w:w="4395" w:type="dxa"/>
            <w:tcBorders>
              <w:top w:val="single" w:color="auto" w:sz="4" w:space="0"/>
              <w:left w:val="single" w:color="auto" w:sz="4" w:space="0"/>
              <w:bottom w:val="single" w:color="auto" w:sz="4" w:space="0"/>
              <w:right w:val="single" w:color="auto" w:sz="4" w:space="0"/>
            </w:tcBorders>
            <w:vAlign w:val="center"/>
          </w:tcPr>
          <w:p w14:paraId="336F1273">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中国农业银行股份有限公司阳江</w:t>
            </w:r>
            <w:r>
              <w:rPr>
                <w:rFonts w:hint="eastAsia" w:ascii="宋体" w:hAnsi="宋体"/>
                <w:b/>
                <w:bCs/>
                <w:color w:val="000000" w:themeColor="text1"/>
                <w:szCs w:val="21"/>
                <w:highlight w:val="none"/>
                <w:lang w:val="en-US" w:eastAsia="zh-CN"/>
                <w14:textFill>
                  <w14:solidFill>
                    <w14:schemeClr w14:val="tx1"/>
                  </w14:solidFill>
                </w14:textFill>
              </w:rPr>
              <w:t>江城</w:t>
            </w:r>
            <w:r>
              <w:rPr>
                <w:rFonts w:hint="eastAsia" w:ascii="宋体" w:hAnsi="宋体"/>
                <w:b/>
                <w:bCs/>
                <w:color w:val="000000" w:themeColor="text1"/>
                <w:szCs w:val="21"/>
                <w:highlight w:val="none"/>
                <w14:textFill>
                  <w14:solidFill>
                    <w14:schemeClr w14:val="tx1"/>
                  </w14:solidFill>
                </w14:textFill>
              </w:rPr>
              <w:t>支行</w:t>
            </w:r>
          </w:p>
        </w:tc>
      </w:tr>
    </w:tbl>
    <w:p w14:paraId="39E81F9C">
      <w:pPr>
        <w:adjustRightInd w:val="0"/>
        <w:snapToGrid w:val="0"/>
        <w:spacing w:line="360" w:lineRule="auto"/>
        <w:rPr>
          <w:b/>
          <w:color w:val="000000" w:themeColor="text1"/>
          <w:szCs w:val="21"/>
          <w:highlight w:val="none"/>
          <w14:textFill>
            <w14:solidFill>
              <w14:schemeClr w14:val="tx1"/>
            </w14:solidFill>
          </w14:textFill>
        </w:rPr>
      </w:pPr>
    </w:p>
    <w:p w14:paraId="67F054AD">
      <w:pPr>
        <w:rPr>
          <w:rFonts w:hint="eastAsia" w:ascii="宋体" w:hAnsi="宋体" w:eastAsia="宋体"/>
          <w:color w:val="000000" w:themeColor="text1"/>
          <w:kern w:val="0"/>
          <w:sz w:val="21"/>
          <w:szCs w:val="21"/>
          <w:highlight w:val="none"/>
          <w14:textFill>
            <w14:solidFill>
              <w14:schemeClr w14:val="tx1"/>
            </w14:solidFill>
          </w14:textFill>
        </w:rPr>
      </w:pPr>
      <w:bookmarkStart w:id="64" w:name="_Toc353522391"/>
      <w:bookmarkStart w:id="65" w:name="_Toc452826430"/>
      <w:bookmarkStart w:id="66" w:name="_Toc351988708"/>
      <w:bookmarkStart w:id="67" w:name="_Toc351986017"/>
      <w:bookmarkStart w:id="68" w:name="_Toc351986197"/>
      <w:bookmarkStart w:id="69" w:name="_Toc351987963"/>
      <w:bookmarkStart w:id="70" w:name="_Toc329242671"/>
      <w:bookmarkStart w:id="71" w:name="_Toc351985912"/>
      <w:bookmarkStart w:id="72" w:name="_Toc351987767"/>
      <w:bookmarkStart w:id="73" w:name="_Toc351990144"/>
      <w:bookmarkStart w:id="74" w:name="_Toc369180021"/>
      <w:bookmarkStart w:id="75" w:name="_Toc357151167"/>
      <w:r>
        <w:rPr>
          <w:rFonts w:hint="eastAsia" w:ascii="宋体" w:hAnsi="宋体" w:eastAsia="宋体"/>
          <w:color w:val="000000" w:themeColor="text1"/>
          <w:kern w:val="0"/>
          <w:sz w:val="21"/>
          <w:szCs w:val="21"/>
          <w:highlight w:val="none"/>
          <w14:textFill>
            <w14:solidFill>
              <w14:schemeClr w14:val="tx1"/>
            </w14:solidFill>
          </w14:textFill>
        </w:rPr>
        <w:br w:type="page"/>
      </w:r>
    </w:p>
    <w:p w14:paraId="507DCC02">
      <w:pPr>
        <w:pStyle w:val="4"/>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bookmarkStart w:id="76" w:name="_Toc22826"/>
      <w:r>
        <w:rPr>
          <w:rFonts w:hint="eastAsia" w:ascii="宋体" w:hAnsi="宋体" w:eastAsia="宋体"/>
          <w:color w:val="000000" w:themeColor="text1"/>
          <w:kern w:val="0"/>
          <w:sz w:val="21"/>
          <w:szCs w:val="21"/>
          <w:highlight w:val="none"/>
          <w14:textFill>
            <w14:solidFill>
              <w14:schemeClr w14:val="tx1"/>
            </w14:solidFill>
          </w14:textFill>
        </w:rPr>
        <w:t>B  技术要求</w:t>
      </w:r>
      <w:bookmarkEnd w:id="64"/>
      <w:bookmarkEnd w:id="65"/>
      <w:bookmarkEnd w:id="66"/>
      <w:bookmarkEnd w:id="67"/>
      <w:bookmarkEnd w:id="68"/>
      <w:bookmarkEnd w:id="69"/>
      <w:bookmarkEnd w:id="70"/>
      <w:bookmarkEnd w:id="71"/>
      <w:bookmarkEnd w:id="72"/>
      <w:bookmarkEnd w:id="73"/>
      <w:bookmarkEnd w:id="74"/>
      <w:bookmarkEnd w:id="75"/>
      <w:bookmarkEnd w:id="76"/>
    </w:p>
    <w:p w14:paraId="0F7B57C5">
      <w:pPr>
        <w:pStyle w:val="1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77" w:name="_Toc29579"/>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一、项目背景</w:t>
      </w:r>
    </w:p>
    <w:p w14:paraId="2521E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bookmarkStart w:id="78" w:name="OLE_LINK127"/>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本次项目通过适配改造方式完成阳江市智慧人社系统的适配改造，</w:t>
      </w:r>
      <w:bookmarkStart w:id="79" w:name="OLE_LINK153"/>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解决系统与国产软硬件之间的适配冲突，使系统能在政务云国产化环境正常稳定运行，实现系统核心安全与自主可控，适配改造后通过第三方信创符合性测试，并获得信息技术应用创新符合性测试报告。</w:t>
      </w:r>
      <w:bookmarkEnd w:id="78"/>
      <w:bookmarkEnd w:id="79"/>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各系统完成国产化信创适配改造后，系统性能不低于原系统指标。</w:t>
      </w:r>
    </w:p>
    <w:p w14:paraId="100A1A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二、项目内容</w:t>
      </w:r>
    </w:p>
    <w:tbl>
      <w:tblPr>
        <w:tblStyle w:val="43"/>
        <w:tblW w:w="8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
        <w:gridCol w:w="5536"/>
        <w:gridCol w:w="2037"/>
      </w:tblGrid>
      <w:tr w14:paraId="7821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345" w:type="dxa"/>
            <w:shd w:val="clear" w:color="000000" w:fill="FFFFFF"/>
            <w:vAlign w:val="center"/>
          </w:tcPr>
          <w:p w14:paraId="7F7A88E0">
            <w:pPr>
              <w:pStyle w:val="102"/>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序号</w:t>
            </w:r>
          </w:p>
        </w:tc>
        <w:tc>
          <w:tcPr>
            <w:tcW w:w="5536" w:type="dxa"/>
            <w:shd w:val="clear" w:color="000000" w:fill="FFFFFF"/>
            <w:vAlign w:val="center"/>
          </w:tcPr>
          <w:p w14:paraId="6D27BB1F">
            <w:pPr>
              <w:pStyle w:val="102"/>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名称</w:t>
            </w:r>
          </w:p>
        </w:tc>
        <w:tc>
          <w:tcPr>
            <w:tcW w:w="2037" w:type="dxa"/>
            <w:shd w:val="clear" w:color="000000" w:fill="FFFFFF"/>
            <w:vAlign w:val="center"/>
          </w:tcPr>
          <w:p w14:paraId="3A64FC77">
            <w:pPr>
              <w:pStyle w:val="102"/>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数量</w:t>
            </w:r>
          </w:p>
        </w:tc>
      </w:tr>
      <w:tr w14:paraId="5175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shd w:val="clear" w:color="000000" w:fill="FFFFFF"/>
            <w:vAlign w:val="center"/>
          </w:tcPr>
          <w:p w14:paraId="1B3C54E4">
            <w:pPr>
              <w:pStyle w:val="102"/>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5536" w:type="dxa"/>
            <w:vAlign w:val="center"/>
          </w:tcPr>
          <w:p w14:paraId="6DF9E1DE">
            <w:pPr>
              <w:pStyle w:val="102"/>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基础设施服务</w:t>
            </w:r>
          </w:p>
        </w:tc>
        <w:tc>
          <w:tcPr>
            <w:tcW w:w="2037" w:type="dxa"/>
            <w:shd w:val="clear" w:color="000000" w:fill="FFFFFF"/>
            <w:vAlign w:val="center"/>
          </w:tcPr>
          <w:p w14:paraId="0D5E5283">
            <w:pPr>
              <w:pStyle w:val="102"/>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1项</w:t>
            </w:r>
          </w:p>
        </w:tc>
      </w:tr>
      <w:tr w14:paraId="039A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shd w:val="clear" w:color="000000" w:fill="FFFFFF"/>
            <w:vAlign w:val="center"/>
          </w:tcPr>
          <w:p w14:paraId="111551B2">
            <w:pPr>
              <w:pStyle w:val="102"/>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p>
        </w:tc>
        <w:tc>
          <w:tcPr>
            <w:tcW w:w="5536" w:type="dxa"/>
            <w:vAlign w:val="center"/>
          </w:tcPr>
          <w:p w14:paraId="2D9D3163">
            <w:pPr>
              <w:pStyle w:val="102"/>
              <w:ind w:firstLine="0" w:firstLineChars="0"/>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系统业务运营服务</w:t>
            </w:r>
          </w:p>
        </w:tc>
        <w:tc>
          <w:tcPr>
            <w:tcW w:w="2037" w:type="dxa"/>
            <w:shd w:val="clear" w:color="000000" w:fill="FFFFFF"/>
            <w:vAlign w:val="center"/>
          </w:tcPr>
          <w:p w14:paraId="4AAF9A54">
            <w:pPr>
              <w:pStyle w:val="102"/>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1项</w:t>
            </w:r>
          </w:p>
        </w:tc>
      </w:tr>
      <w:tr w14:paraId="0329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shd w:val="clear" w:color="000000" w:fill="FFFFFF"/>
            <w:vAlign w:val="center"/>
          </w:tcPr>
          <w:p w14:paraId="79406460">
            <w:pPr>
              <w:pStyle w:val="102"/>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5536" w:type="dxa"/>
            <w:shd w:val="clear" w:color="000000" w:fill="FFFFFF"/>
            <w:vAlign w:val="center"/>
          </w:tcPr>
          <w:p w14:paraId="0FE8BE7A">
            <w:pPr>
              <w:jc w:val="cente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系统适配改造服务</w:t>
            </w:r>
          </w:p>
        </w:tc>
        <w:tc>
          <w:tcPr>
            <w:tcW w:w="2037" w:type="dxa"/>
            <w:shd w:val="clear" w:color="000000" w:fill="FFFFFF"/>
            <w:vAlign w:val="center"/>
          </w:tcPr>
          <w:p w14:paraId="4EF0031A">
            <w:pPr>
              <w:pStyle w:val="102"/>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1项</w:t>
            </w:r>
          </w:p>
        </w:tc>
      </w:tr>
      <w:tr w14:paraId="6142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shd w:val="clear" w:color="000000" w:fill="FFFFFF"/>
            <w:vAlign w:val="center"/>
          </w:tcPr>
          <w:p w14:paraId="39C57132">
            <w:pPr>
              <w:pStyle w:val="102"/>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5536" w:type="dxa"/>
            <w:shd w:val="clear" w:color="000000" w:fill="FFFFFF"/>
            <w:vAlign w:val="center"/>
          </w:tcPr>
          <w:p w14:paraId="682D8670">
            <w:pPr>
              <w:pStyle w:val="102"/>
              <w:ind w:firstLine="0" w:firstLineChars="0"/>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运行维护服务</w:t>
            </w:r>
          </w:p>
        </w:tc>
        <w:tc>
          <w:tcPr>
            <w:tcW w:w="2037" w:type="dxa"/>
            <w:shd w:val="clear" w:color="000000" w:fill="FFFFFF"/>
            <w:vAlign w:val="center"/>
          </w:tcPr>
          <w:p w14:paraId="5AD38CD4">
            <w:pPr>
              <w:pStyle w:val="102"/>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1项</w:t>
            </w:r>
          </w:p>
        </w:tc>
      </w:tr>
      <w:tr w14:paraId="62BD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shd w:val="clear" w:color="000000" w:fill="FFFFFF"/>
            <w:vAlign w:val="center"/>
          </w:tcPr>
          <w:p w14:paraId="654A769C">
            <w:pPr>
              <w:pStyle w:val="102"/>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5536" w:type="dxa"/>
            <w:shd w:val="clear" w:color="000000" w:fill="FFFFFF"/>
            <w:vAlign w:val="center"/>
          </w:tcPr>
          <w:p w14:paraId="0AEF7C11">
            <w:pPr>
              <w:pStyle w:val="102"/>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信创符合性测试服务</w:t>
            </w:r>
          </w:p>
        </w:tc>
        <w:tc>
          <w:tcPr>
            <w:tcW w:w="2037" w:type="dxa"/>
            <w:shd w:val="clear" w:color="000000" w:fill="FFFFFF"/>
            <w:vAlign w:val="center"/>
          </w:tcPr>
          <w:p w14:paraId="40891200">
            <w:pPr>
              <w:pStyle w:val="102"/>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1项</w:t>
            </w:r>
          </w:p>
        </w:tc>
      </w:tr>
    </w:tbl>
    <w:p w14:paraId="37ECCA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三、</w:t>
      </w:r>
      <w:bookmarkStart w:id="80" w:name="_Toc231548989"/>
      <w:bookmarkStart w:id="81" w:name="_Toc2095522873"/>
      <w:r>
        <w:rPr>
          <w:rFonts w:hint="eastAsia" w:ascii="宋体" w:hAnsi="宋体" w:eastAsia="宋体" w:cs="宋体"/>
          <w:b/>
          <w:bCs/>
          <w:color w:val="000000" w:themeColor="text1"/>
          <w:szCs w:val="21"/>
          <w:highlight w:val="none"/>
          <w:lang w:val="en-US" w:eastAsia="zh-CN"/>
          <w14:textFill>
            <w14:solidFill>
              <w14:schemeClr w14:val="tx1"/>
            </w14:solidFill>
          </w14:textFill>
        </w:rPr>
        <w:t>服务内容</w:t>
      </w:r>
      <w:bookmarkEnd w:id="80"/>
      <w:bookmarkEnd w:id="81"/>
      <w:bookmarkStart w:id="82" w:name="_Toc231548990"/>
    </w:p>
    <w:bookmarkEnd w:id="82"/>
    <w:p w14:paraId="7FCE680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（一）基础设施服务</w:t>
      </w:r>
    </w:p>
    <w:p w14:paraId="16D000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项目阳江市智慧人社系统国产化适配改造后将部署于阳江市政务云（国产部分），系统部署于政务云政务外网区，由阳江市政务云（国产部分）提供国产计算、国产操作系统、国产数据库、网络和信息安全等服务，所涉及国产政务云资源基础设施已完善，本次项目系统所需资源申报使用。</w:t>
      </w:r>
    </w:p>
    <w:p w14:paraId="5D7F57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阳江市政务云（国产化部分）可提供国产化资源如下：</w:t>
      </w:r>
    </w:p>
    <w:p w14:paraId="0E63DC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服务器芯片：ARM架构等；</w:t>
      </w:r>
    </w:p>
    <w:p w14:paraId="2FE658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操作系统：银河麒麟等；</w:t>
      </w:r>
    </w:p>
    <w:p w14:paraId="346EB8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数据库：达梦、人大金仓等；</w:t>
      </w:r>
    </w:p>
    <w:p w14:paraId="64F925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中间件：金蝶、东方通等。</w:t>
      </w:r>
    </w:p>
    <w:p w14:paraId="083EE6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本次申请资源总体按原系统资源申请，并减少应用服务器1、数据库资源利用率低的资源申请量，现有存储可满足未来3个月业务增长存储需求。公共基础设施服务需求如下表：</w:t>
      </w:r>
    </w:p>
    <w:tbl>
      <w:tblPr>
        <w:tblStyle w:val="43"/>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721"/>
        <w:gridCol w:w="1179"/>
        <w:gridCol w:w="964"/>
        <w:gridCol w:w="819"/>
        <w:gridCol w:w="771"/>
        <w:gridCol w:w="900"/>
        <w:gridCol w:w="1200"/>
        <w:gridCol w:w="870"/>
        <w:gridCol w:w="999"/>
        <w:gridCol w:w="1098"/>
      </w:tblGrid>
      <w:tr w14:paraId="028C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blHeader/>
          <w:jc w:val="center"/>
        </w:trPr>
        <w:tc>
          <w:tcPr>
            <w:tcW w:w="721" w:type="dxa"/>
            <w:shd w:val="clear" w:color="auto" w:fill="FFFFFF" w:themeFill="background1"/>
            <w:noWrap/>
            <w:vAlign w:val="center"/>
          </w:tcPr>
          <w:p w14:paraId="0ED14A13">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序号</w:t>
            </w:r>
          </w:p>
        </w:tc>
        <w:tc>
          <w:tcPr>
            <w:tcW w:w="1179" w:type="dxa"/>
            <w:shd w:val="clear" w:color="auto" w:fill="FFFFFF" w:themeFill="background1"/>
            <w:noWrap/>
            <w:vAlign w:val="center"/>
          </w:tcPr>
          <w:p w14:paraId="2589FFE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服务名称</w:t>
            </w:r>
          </w:p>
        </w:tc>
        <w:tc>
          <w:tcPr>
            <w:tcW w:w="964" w:type="dxa"/>
            <w:shd w:val="clear" w:color="auto" w:fill="FFFFFF" w:themeFill="background1"/>
            <w:vAlign w:val="center"/>
          </w:tcPr>
          <w:p w14:paraId="0D7D151C">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云主机</w:t>
            </w:r>
          </w:p>
        </w:tc>
        <w:tc>
          <w:tcPr>
            <w:tcW w:w="819" w:type="dxa"/>
            <w:shd w:val="clear" w:color="auto" w:fill="FFFFFF" w:themeFill="background1"/>
            <w:vAlign w:val="center"/>
          </w:tcPr>
          <w:p w14:paraId="147446E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vCPU</w:t>
            </w:r>
          </w:p>
        </w:tc>
        <w:tc>
          <w:tcPr>
            <w:tcW w:w="771" w:type="dxa"/>
            <w:shd w:val="clear" w:color="auto" w:fill="FFFFFF" w:themeFill="background1"/>
            <w:vAlign w:val="center"/>
          </w:tcPr>
          <w:p w14:paraId="2357F04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内存</w:t>
            </w:r>
          </w:p>
        </w:tc>
        <w:tc>
          <w:tcPr>
            <w:tcW w:w="900" w:type="dxa"/>
            <w:shd w:val="clear" w:color="auto" w:fill="FFFFFF" w:themeFill="background1"/>
            <w:vAlign w:val="center"/>
          </w:tcPr>
          <w:p w14:paraId="592F6DB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存储</w:t>
            </w:r>
          </w:p>
        </w:tc>
        <w:tc>
          <w:tcPr>
            <w:tcW w:w="1200" w:type="dxa"/>
            <w:shd w:val="clear" w:color="auto" w:fill="FFFFFF" w:themeFill="background1"/>
            <w:noWrap/>
            <w:vAlign w:val="center"/>
          </w:tcPr>
          <w:p w14:paraId="3E03FFA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操作系统</w:t>
            </w:r>
          </w:p>
        </w:tc>
        <w:tc>
          <w:tcPr>
            <w:tcW w:w="870" w:type="dxa"/>
            <w:shd w:val="clear" w:color="auto" w:fill="FFFFFF" w:themeFill="background1"/>
            <w:vAlign w:val="center"/>
          </w:tcPr>
          <w:p w14:paraId="4BA7F01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数据库</w:t>
            </w:r>
          </w:p>
        </w:tc>
        <w:tc>
          <w:tcPr>
            <w:tcW w:w="999" w:type="dxa"/>
            <w:shd w:val="clear" w:color="auto" w:fill="FFFFFF" w:themeFill="background1"/>
            <w:vAlign w:val="center"/>
          </w:tcPr>
          <w:p w14:paraId="0AA4A68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中间件</w:t>
            </w:r>
          </w:p>
        </w:tc>
        <w:tc>
          <w:tcPr>
            <w:tcW w:w="1098" w:type="dxa"/>
            <w:shd w:val="clear" w:color="auto" w:fill="FFFFFF" w:themeFill="background1"/>
            <w:vAlign w:val="center"/>
          </w:tcPr>
          <w:p w14:paraId="6BBB923C">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服务器（云主机）用途</w:t>
            </w:r>
          </w:p>
        </w:tc>
      </w:tr>
      <w:tr w14:paraId="2048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1" w:type="dxa"/>
            <w:shd w:val="clear" w:color="auto" w:fill="FFFFFF" w:themeFill="background1"/>
            <w:noWrap/>
            <w:vAlign w:val="center"/>
          </w:tcPr>
          <w:p w14:paraId="7FBDF16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w:t>
            </w:r>
          </w:p>
        </w:tc>
        <w:tc>
          <w:tcPr>
            <w:tcW w:w="1179" w:type="dxa"/>
            <w:shd w:val="clear" w:color="auto" w:fill="FFFFFF" w:themeFill="background1"/>
            <w:vAlign w:val="center"/>
          </w:tcPr>
          <w:p w14:paraId="7BD02AE4">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代理服务器</w:t>
            </w:r>
          </w:p>
        </w:tc>
        <w:tc>
          <w:tcPr>
            <w:tcW w:w="964" w:type="dxa"/>
            <w:shd w:val="clear" w:color="auto" w:fill="FFFFFF" w:themeFill="background1"/>
            <w:vAlign w:val="center"/>
          </w:tcPr>
          <w:p w14:paraId="4B206DB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2118F0CE">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16核</w:t>
            </w:r>
          </w:p>
        </w:tc>
        <w:tc>
          <w:tcPr>
            <w:tcW w:w="771" w:type="dxa"/>
            <w:shd w:val="clear" w:color="auto" w:fill="FFFFFF" w:themeFill="background1"/>
            <w:vAlign w:val="center"/>
          </w:tcPr>
          <w:p w14:paraId="524DEE7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32GB</w:t>
            </w:r>
          </w:p>
        </w:tc>
        <w:tc>
          <w:tcPr>
            <w:tcW w:w="900" w:type="dxa"/>
            <w:shd w:val="clear" w:color="auto" w:fill="FFFFFF" w:themeFill="background1"/>
            <w:vAlign w:val="center"/>
          </w:tcPr>
          <w:p w14:paraId="03CFB5F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763B97B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5A36FA58">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noWrap/>
            <w:vAlign w:val="center"/>
          </w:tcPr>
          <w:p w14:paraId="0F168F1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999" w:type="dxa"/>
            <w:shd w:val="clear" w:color="auto" w:fill="FFFFFF" w:themeFill="background1"/>
            <w:noWrap/>
            <w:vAlign w:val="center"/>
          </w:tcPr>
          <w:p w14:paraId="7535267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1098" w:type="dxa"/>
            <w:shd w:val="clear" w:color="auto" w:fill="FFFFFF" w:themeFill="background1"/>
            <w:vAlign w:val="center"/>
          </w:tcPr>
          <w:p w14:paraId="5586AB4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代理</w:t>
            </w:r>
          </w:p>
        </w:tc>
      </w:tr>
      <w:tr w14:paraId="1A6F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21" w:type="dxa"/>
            <w:shd w:val="clear" w:color="auto" w:fill="FFFFFF" w:themeFill="background1"/>
            <w:noWrap/>
            <w:vAlign w:val="center"/>
          </w:tcPr>
          <w:p w14:paraId="5C9221E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w:t>
            </w:r>
          </w:p>
        </w:tc>
        <w:tc>
          <w:tcPr>
            <w:tcW w:w="1179" w:type="dxa"/>
            <w:shd w:val="clear" w:color="auto" w:fill="FFFFFF" w:themeFill="background1"/>
            <w:vAlign w:val="center"/>
          </w:tcPr>
          <w:p w14:paraId="216CF9CC">
            <w:pPr>
              <w:pStyle w:val="102"/>
              <w:rPr>
                <w:rFonts w:hint="eastAsia" w:ascii="宋体" w:hAnsi="宋体" w:eastAsia="宋体" w:cs="宋体"/>
                <w:b w:val="0"/>
                <w:bCs w:val="0"/>
                <w:color w:val="000000" w:themeColor="text1"/>
                <w:sz w:val="21"/>
                <w:highlight w:val="none"/>
                <w14:textFill>
                  <w14:solidFill>
                    <w14:schemeClr w14:val="tx1"/>
                  </w14:solidFill>
                </w14:textFill>
              </w:rPr>
            </w:pPr>
            <w:bookmarkStart w:id="83" w:name="OLE_LINK81"/>
            <w:r>
              <w:rPr>
                <w:rFonts w:hint="eastAsia" w:ascii="宋体" w:hAnsi="宋体" w:eastAsia="宋体" w:cs="宋体"/>
                <w:b w:val="0"/>
                <w:bCs w:val="0"/>
                <w:color w:val="000000" w:themeColor="text1"/>
                <w:sz w:val="21"/>
                <w:highlight w:val="none"/>
                <w14:textFill>
                  <w14:solidFill>
                    <w14:schemeClr w14:val="tx1"/>
                  </w14:solidFill>
                </w14:textFill>
              </w:rPr>
              <w:t>应用服务器1</w:t>
            </w:r>
            <w:bookmarkEnd w:id="83"/>
          </w:p>
        </w:tc>
        <w:tc>
          <w:tcPr>
            <w:tcW w:w="964" w:type="dxa"/>
            <w:shd w:val="clear" w:color="auto" w:fill="FFFFFF" w:themeFill="background1"/>
            <w:vAlign w:val="center"/>
          </w:tcPr>
          <w:p w14:paraId="0A6CB21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6479E719">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4核</w:t>
            </w:r>
          </w:p>
        </w:tc>
        <w:tc>
          <w:tcPr>
            <w:tcW w:w="771" w:type="dxa"/>
            <w:shd w:val="clear" w:color="auto" w:fill="FFFFFF" w:themeFill="background1"/>
            <w:vAlign w:val="center"/>
          </w:tcPr>
          <w:p w14:paraId="433259E6">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8GB</w:t>
            </w:r>
          </w:p>
        </w:tc>
        <w:tc>
          <w:tcPr>
            <w:tcW w:w="900" w:type="dxa"/>
            <w:shd w:val="clear" w:color="auto" w:fill="FFFFFF" w:themeFill="background1"/>
            <w:vAlign w:val="center"/>
          </w:tcPr>
          <w:p w14:paraId="2CA2A689">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23C1F3E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2BE44186">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noWrap/>
            <w:vAlign w:val="center"/>
          </w:tcPr>
          <w:p w14:paraId="162624B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999" w:type="dxa"/>
            <w:shd w:val="clear" w:color="auto" w:fill="FFFFFF" w:themeFill="background1"/>
            <w:vAlign w:val="center"/>
          </w:tcPr>
          <w:p w14:paraId="28391002">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264F875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东方通</w:t>
            </w:r>
          </w:p>
        </w:tc>
        <w:tc>
          <w:tcPr>
            <w:tcW w:w="1098" w:type="dxa"/>
            <w:shd w:val="clear" w:color="auto" w:fill="FFFFFF" w:themeFill="background1"/>
            <w:vAlign w:val="center"/>
          </w:tcPr>
          <w:p w14:paraId="3869D9D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运行应用程序、中间件</w:t>
            </w:r>
          </w:p>
        </w:tc>
      </w:tr>
      <w:tr w14:paraId="7497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1" w:type="dxa"/>
            <w:shd w:val="clear" w:color="auto" w:fill="FFFFFF" w:themeFill="background1"/>
            <w:noWrap/>
            <w:vAlign w:val="center"/>
          </w:tcPr>
          <w:p w14:paraId="4FDAF12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3</w:t>
            </w:r>
          </w:p>
        </w:tc>
        <w:tc>
          <w:tcPr>
            <w:tcW w:w="1179" w:type="dxa"/>
            <w:shd w:val="clear" w:color="auto" w:fill="FFFFFF" w:themeFill="background1"/>
            <w:vAlign w:val="center"/>
          </w:tcPr>
          <w:p w14:paraId="4F10B50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应用服务器2</w:t>
            </w:r>
          </w:p>
        </w:tc>
        <w:tc>
          <w:tcPr>
            <w:tcW w:w="964" w:type="dxa"/>
            <w:shd w:val="clear" w:color="auto" w:fill="FFFFFF" w:themeFill="background1"/>
            <w:vAlign w:val="center"/>
          </w:tcPr>
          <w:p w14:paraId="6CA33D93">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7A8C80F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16核</w:t>
            </w:r>
          </w:p>
        </w:tc>
        <w:tc>
          <w:tcPr>
            <w:tcW w:w="771" w:type="dxa"/>
            <w:shd w:val="clear" w:color="auto" w:fill="FFFFFF" w:themeFill="background1"/>
            <w:vAlign w:val="center"/>
          </w:tcPr>
          <w:p w14:paraId="32FB31D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32GB</w:t>
            </w:r>
          </w:p>
        </w:tc>
        <w:tc>
          <w:tcPr>
            <w:tcW w:w="900" w:type="dxa"/>
            <w:shd w:val="clear" w:color="auto" w:fill="FFFFFF" w:themeFill="background1"/>
            <w:vAlign w:val="center"/>
          </w:tcPr>
          <w:p w14:paraId="6CA812B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3E77193E">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2395C3F2">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vAlign w:val="center"/>
          </w:tcPr>
          <w:p w14:paraId="1EEE94C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999" w:type="dxa"/>
            <w:shd w:val="clear" w:color="auto" w:fill="FFFFFF" w:themeFill="background1"/>
            <w:noWrap/>
            <w:vAlign w:val="center"/>
          </w:tcPr>
          <w:p w14:paraId="2CE5048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375FEE1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东方通</w:t>
            </w:r>
          </w:p>
        </w:tc>
        <w:tc>
          <w:tcPr>
            <w:tcW w:w="1098" w:type="dxa"/>
            <w:shd w:val="clear" w:color="auto" w:fill="FFFFFF" w:themeFill="background1"/>
            <w:vAlign w:val="center"/>
          </w:tcPr>
          <w:p w14:paraId="13876A1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运行应用程序、中间件</w:t>
            </w:r>
          </w:p>
        </w:tc>
      </w:tr>
      <w:tr w14:paraId="3DAB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1" w:type="dxa"/>
            <w:shd w:val="clear" w:color="auto" w:fill="FFFFFF" w:themeFill="background1"/>
            <w:noWrap/>
            <w:vAlign w:val="center"/>
          </w:tcPr>
          <w:p w14:paraId="45159D8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4</w:t>
            </w:r>
          </w:p>
        </w:tc>
        <w:tc>
          <w:tcPr>
            <w:tcW w:w="1179" w:type="dxa"/>
            <w:shd w:val="clear" w:color="auto" w:fill="FFFFFF" w:themeFill="background1"/>
            <w:vAlign w:val="center"/>
          </w:tcPr>
          <w:p w14:paraId="20AA0EF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数据库服务器</w:t>
            </w:r>
          </w:p>
        </w:tc>
        <w:tc>
          <w:tcPr>
            <w:tcW w:w="964" w:type="dxa"/>
            <w:shd w:val="clear" w:color="auto" w:fill="FFFFFF" w:themeFill="background1"/>
            <w:vAlign w:val="center"/>
          </w:tcPr>
          <w:p w14:paraId="5E5A7CF2">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08AC39F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4核</w:t>
            </w:r>
          </w:p>
        </w:tc>
        <w:tc>
          <w:tcPr>
            <w:tcW w:w="771" w:type="dxa"/>
            <w:shd w:val="clear" w:color="auto" w:fill="FFFFFF" w:themeFill="background1"/>
            <w:vAlign w:val="center"/>
          </w:tcPr>
          <w:p w14:paraId="4C58CC2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16GB</w:t>
            </w:r>
          </w:p>
        </w:tc>
        <w:tc>
          <w:tcPr>
            <w:tcW w:w="900" w:type="dxa"/>
            <w:shd w:val="clear" w:color="auto" w:fill="FFFFFF" w:themeFill="background1"/>
            <w:vAlign w:val="center"/>
          </w:tcPr>
          <w:p w14:paraId="315084F8">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372B94F9">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002610A3">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vAlign w:val="center"/>
          </w:tcPr>
          <w:p w14:paraId="76E769D4">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245AB5E6">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达梦</w:t>
            </w:r>
          </w:p>
        </w:tc>
        <w:tc>
          <w:tcPr>
            <w:tcW w:w="999" w:type="dxa"/>
            <w:shd w:val="clear" w:color="auto" w:fill="FFFFFF" w:themeFill="background1"/>
            <w:noWrap/>
            <w:vAlign w:val="center"/>
          </w:tcPr>
          <w:p w14:paraId="2092A4A2">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1098" w:type="dxa"/>
            <w:shd w:val="clear" w:color="auto" w:fill="FFFFFF" w:themeFill="background1"/>
            <w:vAlign w:val="center"/>
          </w:tcPr>
          <w:p w14:paraId="7EDB967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运行数据库</w:t>
            </w:r>
          </w:p>
        </w:tc>
      </w:tr>
      <w:tr w14:paraId="60F3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1" w:type="dxa"/>
            <w:shd w:val="clear" w:color="auto" w:fill="FFFFFF" w:themeFill="background1"/>
            <w:noWrap/>
            <w:vAlign w:val="center"/>
          </w:tcPr>
          <w:p w14:paraId="61AD0A7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5</w:t>
            </w:r>
          </w:p>
        </w:tc>
        <w:tc>
          <w:tcPr>
            <w:tcW w:w="1179" w:type="dxa"/>
            <w:shd w:val="clear" w:color="auto" w:fill="FFFFFF" w:themeFill="background1"/>
            <w:vAlign w:val="center"/>
          </w:tcPr>
          <w:p w14:paraId="2FC8E00E">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缓存服务器群</w:t>
            </w:r>
          </w:p>
        </w:tc>
        <w:tc>
          <w:tcPr>
            <w:tcW w:w="964" w:type="dxa"/>
            <w:shd w:val="clear" w:color="auto" w:fill="FFFFFF" w:themeFill="background1"/>
            <w:vAlign w:val="center"/>
          </w:tcPr>
          <w:p w14:paraId="2C87A4E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124F2FB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32核</w:t>
            </w:r>
          </w:p>
        </w:tc>
        <w:tc>
          <w:tcPr>
            <w:tcW w:w="771" w:type="dxa"/>
            <w:shd w:val="clear" w:color="auto" w:fill="FFFFFF" w:themeFill="background1"/>
            <w:vAlign w:val="center"/>
          </w:tcPr>
          <w:p w14:paraId="42BED86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64GB</w:t>
            </w:r>
          </w:p>
        </w:tc>
        <w:tc>
          <w:tcPr>
            <w:tcW w:w="900" w:type="dxa"/>
            <w:shd w:val="clear" w:color="auto" w:fill="FFFFFF" w:themeFill="background1"/>
            <w:vAlign w:val="center"/>
          </w:tcPr>
          <w:p w14:paraId="63B4FE0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52DEAB1C">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4BC9D4E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noWrap/>
            <w:vAlign w:val="center"/>
          </w:tcPr>
          <w:p w14:paraId="23EEDAB3">
            <w:pPr>
              <w:jc w:val="center"/>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w:t>
            </w:r>
          </w:p>
        </w:tc>
        <w:tc>
          <w:tcPr>
            <w:tcW w:w="999" w:type="dxa"/>
            <w:shd w:val="clear" w:color="auto" w:fill="FFFFFF" w:themeFill="background1"/>
            <w:noWrap/>
            <w:vAlign w:val="center"/>
          </w:tcPr>
          <w:p w14:paraId="745330C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1098" w:type="dxa"/>
            <w:shd w:val="clear" w:color="auto" w:fill="FFFFFF" w:themeFill="background1"/>
            <w:vAlign w:val="center"/>
          </w:tcPr>
          <w:p w14:paraId="607A395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数据缓存</w:t>
            </w:r>
          </w:p>
        </w:tc>
      </w:tr>
      <w:tr w14:paraId="6B35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1" w:type="dxa"/>
            <w:shd w:val="clear" w:color="auto" w:fill="FFFFFF" w:themeFill="background1"/>
            <w:noWrap/>
            <w:vAlign w:val="center"/>
          </w:tcPr>
          <w:p w14:paraId="541D782D">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6</w:t>
            </w:r>
          </w:p>
        </w:tc>
        <w:tc>
          <w:tcPr>
            <w:tcW w:w="1179" w:type="dxa"/>
            <w:shd w:val="clear" w:color="auto" w:fill="FFFFFF" w:themeFill="background1"/>
            <w:vAlign w:val="center"/>
          </w:tcPr>
          <w:p w14:paraId="652C3D4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文件服务器</w:t>
            </w:r>
          </w:p>
        </w:tc>
        <w:tc>
          <w:tcPr>
            <w:tcW w:w="964" w:type="dxa"/>
            <w:shd w:val="clear" w:color="auto" w:fill="FFFFFF" w:themeFill="background1"/>
            <w:vAlign w:val="center"/>
          </w:tcPr>
          <w:p w14:paraId="3F27292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1台</w:t>
            </w:r>
          </w:p>
        </w:tc>
        <w:tc>
          <w:tcPr>
            <w:tcW w:w="819" w:type="dxa"/>
            <w:shd w:val="clear" w:color="auto" w:fill="FFFFFF" w:themeFill="background1"/>
            <w:vAlign w:val="center"/>
          </w:tcPr>
          <w:p w14:paraId="1C367E1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16核</w:t>
            </w:r>
          </w:p>
        </w:tc>
        <w:tc>
          <w:tcPr>
            <w:tcW w:w="771" w:type="dxa"/>
            <w:shd w:val="clear" w:color="auto" w:fill="FFFFFF" w:themeFill="background1"/>
            <w:vAlign w:val="center"/>
          </w:tcPr>
          <w:p w14:paraId="07ECE386">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32GB</w:t>
            </w:r>
          </w:p>
        </w:tc>
        <w:tc>
          <w:tcPr>
            <w:tcW w:w="900" w:type="dxa"/>
            <w:shd w:val="clear" w:color="auto" w:fill="FFFFFF" w:themeFill="background1"/>
            <w:vAlign w:val="center"/>
          </w:tcPr>
          <w:p w14:paraId="489C275C">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200GB</w:t>
            </w:r>
          </w:p>
        </w:tc>
        <w:tc>
          <w:tcPr>
            <w:tcW w:w="1200" w:type="dxa"/>
            <w:shd w:val="clear" w:color="auto" w:fill="FFFFFF" w:themeFill="background1"/>
            <w:vAlign w:val="center"/>
          </w:tcPr>
          <w:p w14:paraId="32E720F8">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1套</w:t>
            </w:r>
          </w:p>
          <w:p w14:paraId="7C0B8580">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银河麒麟</w:t>
            </w:r>
          </w:p>
        </w:tc>
        <w:tc>
          <w:tcPr>
            <w:tcW w:w="870" w:type="dxa"/>
            <w:shd w:val="clear" w:color="auto" w:fill="FFFFFF" w:themeFill="background1"/>
            <w:noWrap/>
            <w:vAlign w:val="center"/>
          </w:tcPr>
          <w:p w14:paraId="3B1B3CC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999" w:type="dxa"/>
            <w:shd w:val="clear" w:color="auto" w:fill="FFFFFF" w:themeFill="background1"/>
            <w:noWrap/>
            <w:vAlign w:val="center"/>
          </w:tcPr>
          <w:p w14:paraId="311D09A8">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w:t>
            </w:r>
          </w:p>
        </w:tc>
        <w:tc>
          <w:tcPr>
            <w:tcW w:w="1098" w:type="dxa"/>
            <w:shd w:val="clear" w:color="auto" w:fill="FFFFFF" w:themeFill="background1"/>
            <w:vAlign w:val="center"/>
          </w:tcPr>
          <w:p w14:paraId="22B5BD2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文件服务</w:t>
            </w:r>
          </w:p>
        </w:tc>
      </w:tr>
    </w:tbl>
    <w:p w14:paraId="2473942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（二）系统业务运营服务</w:t>
      </w:r>
    </w:p>
    <w:p w14:paraId="56F53F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1.概述</w:t>
      </w:r>
    </w:p>
    <w:p w14:paraId="46380F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系统业务运营服务完成阳江市智慧人社系统国产化适配改造，包括提供前端页面适配改造、中间件适配改造、数据库适配改造、适配功能测试验证、适配性能测试与调优等服务，并提供系统信息技术应用创新符合性测试报告。</w:t>
      </w:r>
    </w:p>
    <w:p w14:paraId="14A635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2.服务人员要求</w:t>
      </w:r>
    </w:p>
    <w:p w14:paraId="03C041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提供不少于5人的运营团队，要求运营工程师不低于中级职称。人员资质职称包括但不限于信息系统项目管理师、系统分析师、系统集成项目管理工程师等。</w:t>
      </w:r>
    </w:p>
    <w:p w14:paraId="3CA46E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3.服务周期</w:t>
      </w:r>
    </w:p>
    <w:p w14:paraId="29A48B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系统运营服务在签订合同后，系统业务运营实施服务期为8个月（含系统试运行及验收），系统运维12个月。</w:t>
      </w:r>
    </w:p>
    <w:p w14:paraId="7B2B9B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4.服务质量要求</w:t>
      </w:r>
    </w:p>
    <w:p w14:paraId="5EDB0F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系统国产化适配改造后，功能完整、性能达标、运行稳定、安全合规，确保与国产化运行环境深度兼容，业务逻辑与改造前完全一致，无功能缺失、数据错误、操作卡顿、安全漏洞等问题。</w:t>
      </w:r>
    </w:p>
    <w:p w14:paraId="078A3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5.交付物</w:t>
      </w:r>
    </w:p>
    <w:p w14:paraId="661834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完成阳江市智慧人社系统的国产化适配改造，改造后各系统能与阳江市政务云国产化运行环境兼容并稳定运行，并通过第三方信息技术应用创新符合性测试，由第三方测试单位出具《信息技术应用创新符合性测试报告》。</w:t>
      </w:r>
    </w:p>
    <w:p w14:paraId="1EC8E4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国产化适配改造运营服务交付物提供《系统适配改造实施方案》、《数据迁移方案》、《数据库迁移一致性校验报告》、《阳江市智慧人社系统适配功能测试报告》、《缺陷统计分析报告》、《阳江市智慧人社系统适配性能测试及调优报告》等。</w:t>
      </w:r>
    </w:p>
    <w:p w14:paraId="6ED78D7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（三）阳江市智慧人社系统适配改造服务</w:t>
      </w:r>
    </w:p>
    <w:p w14:paraId="7721BF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1.国产化适配改造概述</w:t>
      </w:r>
    </w:p>
    <w:p w14:paraId="4900FC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阳江市智慧人社系统基于阳江市政务云国产化环境进行系统适配改造，国产化运行环境包括国产芯片、国产操作系统、国产数据库、国产中间件、国产浏览器等，需对原系统进行操作系统适配改造、前端页面适配改造、中间件适配改造、数据库适配改造、适配功能测试验证、适配性能测试与调优等。</w:t>
      </w:r>
    </w:p>
    <w:p w14:paraId="726897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系统国产化适配改造后，要求通过第三方信息技术应用创新符合性测试。</w:t>
      </w:r>
    </w:p>
    <w:p w14:paraId="131582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2.国产化适配改造服务内容</w:t>
      </w:r>
    </w:p>
    <w:p w14:paraId="00DE6E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（1）与广东省统一身份认证平台对接</w:t>
      </w:r>
    </w:p>
    <w:p w14:paraId="799605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集成广东省统一身份认证平台，市民、企业用户可凭已注册的省统一身份认证账号直接登录阳江市智慧人社系统，无需重复注册。登录后系统获取用户基本信息及实名认证状态，实现“一次认证、全网通办”。</w:t>
      </w:r>
    </w:p>
    <w:p w14:paraId="520CEB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3.智慧人社系统国产化改造实施</w:t>
      </w:r>
    </w:p>
    <w:p w14:paraId="3DC864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（1）操作系统适配改造</w:t>
      </w:r>
    </w:p>
    <w:p w14:paraId="739547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原系统运行于CentOS 7环境。目标国产操作系统（银河麒麟 V10）虽然兼容主流Linux生态，但仍需对应用运行环境进行全面验证。主要工作包括：1.依赖库验证，检查应用依赖的动态链接库（.so文件）是否齐全、版本是否兼容。2.系统命令适配，排查脚本中调用的特定Linux命令或参数在麒麟系统下的行为差异。3.服务管理适配，将基于init.d的服务管理脚本改造为兼容systemd的标准unit文件。4.安全策略适配，调整SELinux或AppArmor策略，确保应用进程的权限访问策略正确。</w:t>
      </w:r>
    </w:p>
    <w:p w14:paraId="77524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（2）前端页面适配改造</w:t>
      </w:r>
    </w:p>
    <w:p w14:paraId="5EE7A7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适配国产浏览器，主要为系统前端交互、页面展示编译规则等内容进行适配，使系统前端交互、页面展示等正常运行显示，操作正常反馈给服务端。主要针对国产浏览器（奇安信、统信、360等）的渲染引擎差异进行适配。</w:t>
      </w:r>
    </w:p>
    <w:p w14:paraId="4B5DB3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（3）中间件适配改造</w:t>
      </w:r>
    </w:p>
    <w:p w14:paraId="79AB8B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原系统生产环境中涉及到使用非信创中间件。本服务将采用国产应用中间件、消息中间件、FTP中间件、应用中间件进行替换旧系统中的非信创产品，经相关改造和测试后保障系统整体业务持续稳定运行。</w:t>
      </w:r>
    </w:p>
    <w:p w14:paraId="70558B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程序接口层开发标准统一遵循金蝶、东方通等国产中间件相应的规范和API进行开发适配改造，保证接口输入和输出的数据格式不变。系统部署的方式更换为国产中间件的部署规范来进行部署，同时保证并发性能不受影响。</w:t>
      </w:r>
    </w:p>
    <w:p w14:paraId="61FA58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（4）数据库迁移与适配改造</w:t>
      </w:r>
    </w:p>
    <w:p w14:paraId="6E3481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国产数据库适配主要采用一次适配的策略进行，即通过国产数据库迁移适配工具，将需要迁移的数据对象和数据结构一次性适配到新的国产数据库系统中，如：表的列名、数据类型、长度、精度、约束、外键、索引等。</w:t>
      </w:r>
    </w:p>
    <w:p w14:paraId="4A1FA8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原数据库和目标国产数据库之间的使用方式差异很大，存在一些不兼容的语法(主要包括一些SQL语句的书写方式和一些特有的系统函数、系统表，以及部分不兼容的接口函数)，则需要进行手动的数据迁移，对于这部分不兼容的代码，可以由国产数据库支撑人员指出，由应用程序的开发人员进行修改。</w:t>
      </w:r>
    </w:p>
    <w:p w14:paraId="68F657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本项工作将把原MySQL数据库中的123张业务数据表0张视图，共计约288万条数据记录迁移至新的国产数据库。数据总量与拆分统计如下：</w:t>
      </w:r>
    </w:p>
    <w:p w14:paraId="215E62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业务数据总记录数：288万条；</w:t>
      </w:r>
    </w:p>
    <w:p w14:paraId="4002A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个人基础信息类：约5万条；</w:t>
      </w:r>
    </w:p>
    <w:p w14:paraId="572622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企业单位信息类：约1200条；</w:t>
      </w:r>
    </w:p>
    <w:p w14:paraId="30381E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业务类：约83万条；</w:t>
      </w:r>
    </w:p>
    <w:p w14:paraId="25E448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数据总容量：约2.9GB。</w:t>
      </w:r>
    </w:p>
    <w:p w14:paraId="791BB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索引/约束/外键总数：730项</w:t>
      </w:r>
    </w:p>
    <w:p w14:paraId="74B662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数据库用户/角色/权限：63项。</w:t>
      </w:r>
    </w:p>
    <w:p w14:paraId="0CC4D5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为保障数据成功的迁移，需先编制《数据迁移方案和实施计划》，并对方案的技术可行性和实施计划进行严格的评审。</w:t>
      </w:r>
    </w:p>
    <w:p w14:paraId="6A1E16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由于原MySQL数据库与非信创数据库厂商在SQL92/ SQL99/ SQL2003/ SQL2011规范和字符集实现方面存在不一致，导致数据库间存在着各种各样差异，如表字段类型、长度限制，SQL语法和关键词等。首先需要参照原数据库表设计，针对123张表分别编制数据表创建和数据迁移脚本，同时对新旧表共计1872个字段类型进行全面核对并做一一映射，对于部分存在差异的字段通过脚本程序实行自动转换。数据迁移完成后，通过编写数据验证脚本，对新库上的数据进行全面的数据验证。</w:t>
      </w:r>
    </w:p>
    <w:p w14:paraId="2E432B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(5)适配功能测试验证</w:t>
      </w:r>
    </w:p>
    <w:p w14:paraId="00877E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系统适配改造好在上线之前，需要通过单元测试、每个模块业务功能测试、实际产生的业务数据校对是否有误，检查每个模块的功能稳定性。完成后输出《阳江市智慧人社系统国产化适配功能测试报告》。</w:t>
      </w:r>
    </w:p>
    <w:p w14:paraId="61622D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测试范围</w:t>
      </w:r>
    </w:p>
    <w:p w14:paraId="47CBC7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覆盖阳江市智慧人社系统全业务模块，包括：公共支撑平台、智慧服务、微信小程序应用、自主服务终端系统、电子档案管理系统、南粤家政、粤菜师傅、广东技工等应用模块。</w:t>
      </w:r>
    </w:p>
    <w:p w14:paraId="30CBB9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测试依据</w:t>
      </w:r>
    </w:p>
    <w:p w14:paraId="0A71F4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原系统需求规格说明书、业务流程手册；</w:t>
      </w:r>
    </w:p>
    <w:p w14:paraId="410E8A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国产化适配改造实施方案；</w:t>
      </w:r>
    </w:p>
    <w:p w14:paraId="159772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GB/T 25000.51-2016《系统与软件质量要求和评价》；</w:t>
      </w:r>
    </w:p>
    <w:p w14:paraId="6DB6CF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阳江市政务信息化项目验收相关规范。</w:t>
      </w:r>
    </w:p>
    <w:p w14:paraId="1AF027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测试内容</w:t>
      </w:r>
    </w:p>
    <w:p w14:paraId="45F646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A</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.功能完整性测试</w:t>
      </w:r>
    </w:p>
    <w:p w14:paraId="0AFECF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验证所有模块、菜单、按钮、表单、查询、导出、打印、审核流程等功能全部可用，与改造前保持一致。</w:t>
      </w:r>
    </w:p>
    <w:p w14:paraId="388771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B</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.业务流程正确性测试</w:t>
      </w:r>
    </w:p>
    <w:p w14:paraId="6E6043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对个人求职、企业用工申报、社保查询、档案管理、补贴申领、资格认证等全流程进行闭环测试。</w:t>
      </w:r>
    </w:p>
    <w:p w14:paraId="066214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C</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.数据准确性测试</w:t>
      </w:r>
    </w:p>
    <w:p w14:paraId="396434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对个人信息、企业信息、参保数据、就业信息、档案数据等进行迁移前后校对，确保数据无丢失、无错乱、无偏差。</w:t>
      </w:r>
    </w:p>
    <w:p w14:paraId="7BE916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D</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.界面兼容性测试</w:t>
      </w:r>
    </w:p>
    <w:p w14:paraId="620356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验证系统在国产浏览器下页面显示正常、无错位、无乱码、无控件失效。</w:t>
      </w:r>
    </w:p>
    <w:p w14:paraId="1E236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5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E</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.权限与安全测试</w:t>
      </w:r>
    </w:p>
    <w:p w14:paraId="0E06E0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验证角色权限、菜单权限、数据权限、登录认证、操作日志等功能正常，无越权访问。</w:t>
      </w:r>
    </w:p>
    <w:p w14:paraId="1DC8EF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6 \* ALPHABETIC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F</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.接口可用性测试</w:t>
      </w:r>
    </w:p>
    <w:p w14:paraId="62B2C5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验证系统内部接口及与广东省政务服务网、粤省事、省人社业务系统、省社保卡系统、省统一身份认证平台的对外数据接口调用正常、返回正确、无报错。</w:t>
      </w:r>
    </w:p>
    <w:p w14:paraId="15FAB5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测试标准与量化指标</w:t>
      </w:r>
    </w:p>
    <w:p w14:paraId="4E3E7C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核心功能测试通过率：100%；业务流程执行成功率：100%；数据校对准确率：100%；页面显示正确率：≥99.9%；操作响应正常率：100%；接口调用成功率：100%；遗留高危缺陷：0 个；所有缺陷整改率：100%；复测通过率：100%。</w:t>
      </w:r>
    </w:p>
    <w:p w14:paraId="6F8041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5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⑤</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测试方法</w:t>
      </w:r>
    </w:p>
    <w:p w14:paraId="336123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采用黑盒测试为主，结合业务场景开展场景化测试。</w:t>
      </w:r>
    </w:p>
    <w:p w14:paraId="046A2C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执行全量功能用例测试+关键数据抽样复核+边界条件测试。</w:t>
      </w:r>
    </w:p>
    <w:p w14:paraId="50B8E8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测试环境采用与生产环境一致的国产化政务云环境（ARM芯片、麒麟操作系统、国产达梦数据库、国产东方通中间件）。</w:t>
      </w:r>
    </w:p>
    <w:p w14:paraId="0011BB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6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⑥</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缺陷管理流程（提交—整改—复测—关闭）</w:t>
      </w:r>
    </w:p>
    <w:p w14:paraId="787329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A.缺陷提交</w:t>
      </w:r>
    </w:p>
    <w:p w14:paraId="67D468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测试人员发现问题后，在测试管理工具中记录缺陷信息，包括：模块、功能点、问题描述、前置条件、操作步骤、预期结果、实际结果、截图 / 日志，按严重程度分级：</w:t>
      </w:r>
    </w:p>
    <w:p w14:paraId="525E59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致命（P1）：系统崩溃、无法登录、核心流程中断、数据错误；</w:t>
      </w:r>
    </w:p>
    <w:p w14:paraId="30CC4B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严重（P2）：主要功能不可用、流程阻塞、数据异常；</w:t>
      </w:r>
    </w:p>
    <w:p w14:paraId="0AB0D4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一般（P3）：界面显示异常、小功能异常、不影响主流程；</w:t>
      </w:r>
    </w:p>
    <w:p w14:paraId="17ECB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建议（P4）：优化建议、体验类问题。</w:t>
      </w:r>
    </w:p>
    <w:p w14:paraId="02E879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B.缺陷确认与分配</w:t>
      </w:r>
    </w:p>
    <w:p w14:paraId="17B7C5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项目负责人对缺陷进行确认，确认后分配给对应适配运营人员整改。P1、P2 级缺陷立即处理。</w:t>
      </w:r>
    </w:p>
    <w:p w14:paraId="358D27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C.缺陷整改</w:t>
      </w:r>
    </w:p>
    <w:p w14:paraId="2CEBFA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运营人员按优先级修复缺陷：</w:t>
      </w:r>
    </w:p>
    <w:p w14:paraId="7A0F7D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P1/P2：24小时内完成修复</w:t>
      </w:r>
    </w:p>
    <w:p w14:paraId="56A675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P3：48小时内完成修复</w:t>
      </w:r>
    </w:p>
    <w:p w14:paraId="0ACDDD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P4：统一纳入优化计划，在上线前完成</w:t>
      </w:r>
    </w:p>
    <w:p w14:paraId="485CC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修复后提交复测，并注明修复说明。</w:t>
      </w:r>
    </w:p>
    <w:p w14:paraId="25C36D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D.缺陷复测</w:t>
      </w:r>
    </w:p>
    <w:p w14:paraId="0CFD4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测试人员对已修复缺陷进行回归测试，验证问题是否彻底解决，同时验证关联功能不受影响。</w:t>
      </w:r>
    </w:p>
    <w:p w14:paraId="236E41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复测通过：标记为“已关闭”；</w:t>
      </w:r>
    </w:p>
    <w:p w14:paraId="258901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复测不通过：打回重新修复，重新进入整改流程；</w:t>
      </w:r>
    </w:p>
    <w:p w14:paraId="69B402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F.缺陷关闭与统计</w:t>
      </w:r>
    </w:p>
    <w:p w14:paraId="1CF33E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所有缺陷关闭后，形成《缺陷统计分析报告》，确保无遗留 P1/P2 缺陷，所有问题闭环。</w:t>
      </w:r>
    </w:p>
    <w:p w14:paraId="202BD7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7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⑦</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交付物</w:t>
      </w:r>
    </w:p>
    <w:p w14:paraId="397C79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提交《缺陷统计分析报告》、《阳江市智慧人社系统适配功能测试报告》（含测试结论、通过率、数据准确率、功能完整性结论）。</w:t>
      </w:r>
    </w:p>
    <w:p w14:paraId="282E81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(6)适配性能测试与调优</w:t>
      </w:r>
    </w:p>
    <w:p w14:paraId="1E4B0F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改造完成后，使用兼容信创操作系统的性能测试工具进行测试。优先选用已适配国产环境的测试工具。改造完成之后，优先采用国产化测试工具进行性能测试，场景包括负载测试、压力测试、并发测试及稳定性测试等，检测系统的性能是否满足用户的需求和适配改造制定的相关标准要求。</w:t>
      </w:r>
    </w:p>
    <w:p w14:paraId="441399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根据测试结果进行调优，调优点从数据库、中间件、应用代码、前端代码几大方面进行考虑。测试与调优完成后输出《阳江市智慧人社系统国产化适配性能测试及调优报告》。</w:t>
      </w:r>
    </w:p>
    <w:p w14:paraId="0734567A">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(四)运行维护服务</w:t>
      </w:r>
    </w:p>
    <w:p w14:paraId="1F0A8F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1.服务年限</w:t>
      </w:r>
    </w:p>
    <w:p w14:paraId="14BA78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自本项目系统完成国产化适配改造后，在通过交付验收并正式运行之日起，提供12个月系统运维服务。</w:t>
      </w:r>
    </w:p>
    <w:p w14:paraId="4E91D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2.运行维护目标</w:t>
      </w:r>
    </w:p>
    <w:p w14:paraId="4E1D51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（1）通过采取主动的系统运行维护，确保系统的安全、稳定运行，尽量减少运行故障。</w:t>
      </w:r>
    </w:p>
    <w:p w14:paraId="0CA368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对运维范围内的系统软件及软硬件基础设施存在的问题及突发故障提供及时高效的技术支持服务、完善的解决方案和事后防范机制，最大程度上降低故障对系统的影响，使设备及系统保持或迅速恢复其良好的工作状态，消除产生故障的薄弱环节，使系统更趋于稳定、安全、合理和高效。</w:t>
      </w:r>
    </w:p>
    <w:p w14:paraId="57FF47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（3）适时地对系统软件数据库、业务系统进行更新或性能调优，以保证数据的准确性和业务系统的可用性。</w:t>
      </w:r>
    </w:p>
    <w:p w14:paraId="496F44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（4）在约定时间内持续保障设备、系统或业务可靠运行，并达到约定的服务质量要求。</w:t>
      </w:r>
    </w:p>
    <w:p w14:paraId="79FA27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3.运维内容或范围</w:t>
      </w:r>
    </w:p>
    <w:p w14:paraId="499B2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本次项目软件开发、运营服务相关系统所有内容均在运行维护范围内，包括各系统的应用软件日常监控、故障处理、系统优化、安全运维等内容。</w:t>
      </w:r>
    </w:p>
    <w:p w14:paraId="6ECACC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4.服务人员要求和服务方式</w:t>
      </w:r>
    </w:p>
    <w:p w14:paraId="18A9C9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（1）服务人员</w:t>
      </w:r>
    </w:p>
    <w:p w14:paraId="5E79AC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项目适配改造后，承建方应组建运维团队，提供不少于1个运维经理、2个熟悉运维业务的运维工程师提供服务，运维工程师不低于中级职称。</w:t>
      </w:r>
    </w:p>
    <w:p w14:paraId="394EF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（2）服务方式</w:t>
      </w:r>
    </w:p>
    <w:p w14:paraId="00E825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服务方式要求提供远程支持为主的运维服务。</w:t>
      </w:r>
    </w:p>
    <w:p w14:paraId="51B254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（3）服务要求</w:t>
      </w:r>
    </w:p>
    <w:p w14:paraId="68890F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运维工程师服从建设单位领导及工作人员，直接服务于用户，满足用户对系统应用软件、软硬件基础设施等各项服务需求。</w:t>
      </w:r>
    </w:p>
    <w:p w14:paraId="68383D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（4）服务内容</w:t>
      </w:r>
    </w:p>
    <w:p w14:paraId="12A6DD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针对本次项目建设范围和运维需求，承建单位需建立专门的运维服务体系。通过运维服务体系提供以下形式的服务：</w:t>
      </w:r>
    </w:p>
    <w:p w14:paraId="31B45F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 xml:space="preserve">日常监控 </w:t>
      </w:r>
    </w:p>
    <w:p w14:paraId="550D3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这是运维的基础工作，目的是提前发现潜在问题，避免故障发生。</w:t>
      </w:r>
    </w:p>
    <w:p w14:paraId="586EE4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监控对象：应用软件（服务可用性、响应时间、错误率）、操作系统（进程、端口、日志）、涵盖服务器硬件（CPU、内存、磁盘、网络）。</w:t>
      </w:r>
    </w:p>
    <w:p w14:paraId="6B5830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监控手段：通过运维工具设置实时告警，定期查看系统日志，形成监控报表。</w:t>
      </w:r>
    </w:p>
    <w:p w14:paraId="471E92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 xml:space="preserve">故障处理 </w:t>
      </w:r>
    </w:p>
    <w:p w14:paraId="2B0876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当系统出现异常时，需按流程高效解决，减少业务影响。</w:t>
      </w:r>
    </w:p>
    <w:p w14:paraId="0DC006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故障定位：通过日志分析、监控数据排查问题根源，比如服务宕机、数据库连接失败、网络中断等。</w:t>
      </w:r>
    </w:p>
    <w:p w14:paraId="3AE00D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故障解决：根据问题类型执行修复操作，如重启服务、恢复数据、替换故障软硬件。</w:t>
      </w:r>
    </w:p>
    <w:p w14:paraId="185F7A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系统优化</w:t>
      </w:r>
    </w:p>
    <w:p w14:paraId="048130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随着业务增长，需持续优化系统，满足更高的运行需求。</w:t>
      </w:r>
    </w:p>
    <w:p w14:paraId="32019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软件优化：对应用软件进行版本更新、代码调优，对数据库进行索引优化、查询优化，减少资源占用。</w:t>
      </w:r>
    </w:p>
    <w:p w14:paraId="17C812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架构优化：当单节点性能不足时，引入集群、负载均衡等架构，提升系统并发能力和稳定性。</w:t>
      </w:r>
    </w:p>
    <w:p w14:paraId="756EBE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 xml:space="preserve">安全运维 </w:t>
      </w:r>
    </w:p>
    <w:p w14:paraId="64DC5B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防范外部攻击和内部风险，保护系统和数据不被泄露、篡改。</w:t>
      </w:r>
    </w:p>
    <w:p w14:paraId="7E6BAB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访问控制：设置账号权限（如最小权限原则）。</w:t>
      </w:r>
    </w:p>
    <w:p w14:paraId="52EA6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漏洞管理：及时安装系统补丁和软件漏洞修复，高危漏洞：1个工作日内完成修复，中危漏洞：3 个工作日内完成修复，低危漏洞：7 个工作日内完成修复。漏洞修复服务包括备份数据、配置、代码；在测试环境先验证补丁/修复方案【包括打官方补丁，升级版本、替换组件，修改配置（关闭危险端口、禁用不必要服务、加固权限）、修改代码（SQL 注入、XSS、命令注入等）、部署WAF/IDS/IPS 等临时防护等】；按计划执行修复：打补丁、更新、配置加固、代码上线。</w:t>
      </w:r>
    </w:p>
    <w:p w14:paraId="178F5B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应急响应：制定安全事件处理流程，如遭遇黑客攻击、数据泄露时，快速隔离风险、恢复数据，并追溯攻击源头。</w:t>
      </w:r>
    </w:p>
    <w:p w14:paraId="22AA77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5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⑤</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应用数据备份</w:t>
      </w:r>
    </w:p>
    <w:p w14:paraId="709DE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数据库备份和恢复：对数据库进行备份，定时或按需备份数据库，建立完善的数据备份和恢复机制，定期检查数据的备份和恢复机制的有效性。</w:t>
      </w:r>
    </w:p>
    <w:p w14:paraId="17DCC9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数据文件备份和恢复：对数据文件进行备份，建立完善的数据备份和恢复机制。定期检查数据备份和恢复份机制是否有效。</w:t>
      </w:r>
    </w:p>
    <w:p w14:paraId="065955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6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⑥</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远程支持服务</w:t>
      </w:r>
    </w:p>
    <w:p w14:paraId="1AD27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需提供远程服务专线和热线，不间断的为系统用户提供远程电话服务。</w:t>
      </w:r>
    </w:p>
    <w:p w14:paraId="64211B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5.运维服务指标要求</w:t>
      </w:r>
    </w:p>
    <w:p w14:paraId="01B4CF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系统运行维护目标是为了保证本项目的建设内容相关系统软件及设备的安全有序良好运转。</w:t>
      </w:r>
    </w:p>
    <w:p w14:paraId="600ED5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（1）系统软件运维指标：</w:t>
      </w:r>
    </w:p>
    <w:p w14:paraId="7BE2D8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系统可用性≥99.9%</w:t>
      </w:r>
    </w:p>
    <w:p w14:paraId="3D9854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系统正一定时间范围内可用的百分比，计算方式：（总时间-不可用时间）/ 总时间 * 100%。</w:t>
      </w:r>
    </w:p>
    <w:p w14:paraId="11564F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平均故障间隔时间≥1000小时</w:t>
      </w:r>
    </w:p>
    <w:p w14:paraId="40DD94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设备或系统正常运行的平均时间。计算方式：总运行时间 / 总故障次数。</w:t>
      </w:r>
    </w:p>
    <w:p w14:paraId="41BB73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系统故障响应时间和处理时效指标</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5723"/>
        <w:gridCol w:w="1257"/>
        <w:gridCol w:w="1256"/>
      </w:tblGrid>
      <w:tr w14:paraId="7CD7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blHeader/>
          <w:jc w:val="center"/>
        </w:trPr>
        <w:tc>
          <w:tcPr>
            <w:tcW w:w="723" w:type="pct"/>
            <w:shd w:val="clear" w:color="000000" w:fill="FFFFFF"/>
            <w:vAlign w:val="center"/>
          </w:tcPr>
          <w:p w14:paraId="647BEE5C">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指标</w:t>
            </w:r>
          </w:p>
        </w:tc>
        <w:tc>
          <w:tcPr>
            <w:tcW w:w="2972" w:type="pct"/>
            <w:vAlign w:val="center"/>
          </w:tcPr>
          <w:p w14:paraId="32C1B289">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故障定义</w:t>
            </w:r>
          </w:p>
        </w:tc>
        <w:tc>
          <w:tcPr>
            <w:tcW w:w="653" w:type="pct"/>
            <w:shd w:val="clear" w:color="000000" w:fill="FFFFFF"/>
            <w:vAlign w:val="center"/>
          </w:tcPr>
          <w:p w14:paraId="65FC1DCA">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响应时间</w:t>
            </w:r>
          </w:p>
        </w:tc>
        <w:tc>
          <w:tcPr>
            <w:tcW w:w="652" w:type="pct"/>
            <w:shd w:val="clear" w:color="000000" w:fill="FFFFFF"/>
            <w:vAlign w:val="center"/>
          </w:tcPr>
          <w:p w14:paraId="6D5B5FD2">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处理时效指标值</w:t>
            </w:r>
          </w:p>
        </w:tc>
      </w:tr>
      <w:tr w14:paraId="4A65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pct"/>
            <w:shd w:val="clear" w:color="000000" w:fill="FFFFFF"/>
            <w:vAlign w:val="center"/>
          </w:tcPr>
          <w:p w14:paraId="78339B39">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一级故障</w:t>
            </w:r>
          </w:p>
        </w:tc>
        <w:tc>
          <w:tcPr>
            <w:tcW w:w="2972" w:type="pct"/>
            <w:vAlign w:val="center"/>
          </w:tcPr>
          <w:p w14:paraId="52FF535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全市人社服务全局性中断：系统整体宕机、无法登录、核心服务全面瘫痪；Web 端、小程序、自助终端全渠道不可用；数据库 / 中间件 / 认证服务崩溃；导致社保查询、养老认证、失业申领、用工备案、档案管理等全部高频业务无法办理，影响全市群众与企业办事，可能引发重大投诉或舆情。</w:t>
            </w:r>
          </w:p>
        </w:tc>
        <w:tc>
          <w:tcPr>
            <w:tcW w:w="653" w:type="pct"/>
            <w:shd w:val="clear" w:color="000000" w:fill="FFFFFF"/>
            <w:vAlign w:val="center"/>
          </w:tcPr>
          <w:p w14:paraId="1B022391">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立即响应</w:t>
            </w:r>
          </w:p>
        </w:tc>
        <w:tc>
          <w:tcPr>
            <w:tcW w:w="652" w:type="pct"/>
            <w:shd w:val="clear" w:color="000000" w:fill="FFFFFF"/>
            <w:vAlign w:val="center"/>
          </w:tcPr>
          <w:p w14:paraId="4760A6B8">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≤4h</w:t>
            </w:r>
          </w:p>
        </w:tc>
      </w:tr>
      <w:tr w14:paraId="547D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pct"/>
            <w:shd w:val="clear" w:color="000000" w:fill="FFFFFF"/>
            <w:vAlign w:val="center"/>
          </w:tcPr>
          <w:p w14:paraId="5E91627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二级故障</w:t>
            </w:r>
          </w:p>
        </w:tc>
        <w:tc>
          <w:tcPr>
            <w:tcW w:w="2972" w:type="pct"/>
            <w:vAlign w:val="center"/>
          </w:tcPr>
          <w:p w14:paraId="11390B4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核心业务大面积不可用：单个或多个核心人社业务模块中断（如养老、失业、工伤、参保缴费、用工申报）；省级对接接口（粤省事、省人社、省社保卡、统一身份认证）大面积失败；政务服务大厅窗口业务批量无法办理；影响跨区域、批量企业或大量群众。</w:t>
            </w:r>
          </w:p>
        </w:tc>
        <w:tc>
          <w:tcPr>
            <w:tcW w:w="653" w:type="pct"/>
            <w:shd w:val="clear" w:color="000000" w:fill="FFFFFF"/>
            <w:vAlign w:val="center"/>
          </w:tcPr>
          <w:p w14:paraId="68091EA9">
            <w:pPr>
              <w:pStyle w:val="102"/>
              <w:rPr>
                <w:rFonts w:hint="eastAsia" w:ascii="宋体" w:hAnsi="宋体" w:eastAsia="宋体" w:cs="宋体"/>
                <w:b w:val="0"/>
                <w:bCs w:val="0"/>
                <w:color w:val="000000" w:themeColor="text1"/>
                <w:sz w:val="21"/>
                <w:highlight w:val="none"/>
                <w14:textFill>
                  <w14:solidFill>
                    <w14:schemeClr w14:val="tx1"/>
                  </w14:solidFill>
                </w14:textFill>
              </w:rPr>
            </w:pPr>
            <w:bookmarkStart w:id="84" w:name="OLE_LINK54"/>
            <w:r>
              <w:rPr>
                <w:rFonts w:hint="eastAsia" w:ascii="宋体" w:hAnsi="宋体" w:eastAsia="宋体" w:cs="宋体"/>
                <w:b w:val="0"/>
                <w:bCs w:val="0"/>
                <w:color w:val="000000" w:themeColor="text1"/>
                <w:sz w:val="21"/>
                <w:highlight w:val="none"/>
                <w14:textFill>
                  <w14:solidFill>
                    <w14:schemeClr w14:val="tx1"/>
                  </w14:solidFill>
                </w14:textFill>
              </w:rPr>
              <w:t>≤</w:t>
            </w:r>
            <w:bookmarkEnd w:id="84"/>
            <w:r>
              <w:rPr>
                <w:rFonts w:hint="eastAsia" w:ascii="宋体" w:hAnsi="宋体" w:eastAsia="宋体" w:cs="宋体"/>
                <w:b w:val="0"/>
                <w:bCs w:val="0"/>
                <w:color w:val="000000" w:themeColor="text1"/>
                <w:sz w:val="21"/>
                <w:highlight w:val="none"/>
                <w14:textFill>
                  <w14:solidFill>
                    <w14:schemeClr w14:val="tx1"/>
                  </w14:solidFill>
                </w14:textFill>
              </w:rPr>
              <w:t>30min</w:t>
            </w:r>
          </w:p>
        </w:tc>
        <w:tc>
          <w:tcPr>
            <w:tcW w:w="652" w:type="pct"/>
            <w:shd w:val="clear" w:color="000000" w:fill="FFFFFF"/>
            <w:vAlign w:val="center"/>
          </w:tcPr>
          <w:p w14:paraId="618C002F">
            <w:pPr>
              <w:pStyle w:val="102"/>
              <w:rPr>
                <w:rFonts w:hint="eastAsia" w:ascii="宋体" w:hAnsi="宋体" w:eastAsia="宋体" w:cs="宋体"/>
                <w:b w:val="0"/>
                <w:bCs w:val="0"/>
                <w:color w:val="000000" w:themeColor="text1"/>
                <w:sz w:val="21"/>
                <w:highlight w:val="none"/>
                <w14:textFill>
                  <w14:solidFill>
                    <w14:schemeClr w14:val="tx1"/>
                  </w14:solidFill>
                </w14:textFill>
              </w:rPr>
            </w:pPr>
            <w:bookmarkStart w:id="85" w:name="OLE_LINK216"/>
            <w:r>
              <w:rPr>
                <w:rFonts w:hint="eastAsia" w:ascii="宋体" w:hAnsi="宋体" w:eastAsia="宋体" w:cs="宋体"/>
                <w:b w:val="0"/>
                <w:bCs w:val="0"/>
                <w:color w:val="000000" w:themeColor="text1"/>
                <w:sz w:val="21"/>
                <w:highlight w:val="none"/>
                <w14:textFill>
                  <w14:solidFill>
                    <w14:schemeClr w14:val="tx1"/>
                  </w14:solidFill>
                </w14:textFill>
              </w:rPr>
              <w:t>≤</w:t>
            </w:r>
            <w:bookmarkEnd w:id="85"/>
            <w:r>
              <w:rPr>
                <w:rFonts w:hint="eastAsia" w:ascii="宋体" w:hAnsi="宋体" w:eastAsia="宋体" w:cs="宋体"/>
                <w:b w:val="0"/>
                <w:bCs w:val="0"/>
                <w:color w:val="000000" w:themeColor="text1"/>
                <w:sz w:val="21"/>
                <w:highlight w:val="none"/>
                <w14:textFill>
                  <w14:solidFill>
                    <w14:schemeClr w14:val="tx1"/>
                  </w14:solidFill>
                </w14:textFill>
              </w:rPr>
              <w:t>8h</w:t>
            </w:r>
          </w:p>
        </w:tc>
      </w:tr>
      <w:tr w14:paraId="4F77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pct"/>
            <w:shd w:val="clear" w:color="000000" w:fill="FFFFFF"/>
            <w:vAlign w:val="center"/>
          </w:tcPr>
          <w:p w14:paraId="6E5DD66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三级故障</w:t>
            </w:r>
          </w:p>
        </w:tc>
        <w:tc>
          <w:tcPr>
            <w:tcW w:w="2972" w:type="pct"/>
            <w:vAlign w:val="center"/>
          </w:tcPr>
          <w:p w14:paraId="0C450B05">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局部业务 / 单渠道异常：某一分支功能、单一区县、单一渠道异常；少量业务无法办理（如补贴查询、培训报名、家政 / 粤菜师傅 / 广东技工子模块）；页面偶现报错、部分查询缓慢；不影响大厅主业务与核心民生服务。</w:t>
            </w:r>
          </w:p>
        </w:tc>
        <w:tc>
          <w:tcPr>
            <w:tcW w:w="653" w:type="pct"/>
            <w:shd w:val="clear" w:color="000000" w:fill="FFFFFF"/>
            <w:vAlign w:val="center"/>
          </w:tcPr>
          <w:p w14:paraId="780BB980">
            <w:pPr>
              <w:pStyle w:val="102"/>
              <w:rPr>
                <w:rFonts w:hint="eastAsia" w:ascii="宋体" w:hAnsi="宋体" w:eastAsia="宋体" w:cs="宋体"/>
                <w:b w:val="0"/>
                <w:bCs w:val="0"/>
                <w:color w:val="000000" w:themeColor="text1"/>
                <w:sz w:val="21"/>
                <w:highlight w:val="none"/>
                <w14:textFill>
                  <w14:solidFill>
                    <w14:schemeClr w14:val="tx1"/>
                  </w14:solidFill>
                </w14:textFill>
              </w:rPr>
            </w:pPr>
            <w:bookmarkStart w:id="86" w:name="OLE_LINK51"/>
            <w:r>
              <w:rPr>
                <w:rFonts w:hint="eastAsia" w:ascii="宋体" w:hAnsi="宋体" w:eastAsia="宋体" w:cs="宋体"/>
                <w:b w:val="0"/>
                <w:bCs w:val="0"/>
                <w:color w:val="000000" w:themeColor="text1"/>
                <w:sz w:val="21"/>
                <w:highlight w:val="none"/>
                <w14:textFill>
                  <w14:solidFill>
                    <w14:schemeClr w14:val="tx1"/>
                  </w14:solidFill>
                </w14:textFill>
              </w:rPr>
              <w:t>≤</w:t>
            </w:r>
            <w:bookmarkEnd w:id="86"/>
            <w:r>
              <w:rPr>
                <w:rFonts w:hint="eastAsia" w:ascii="宋体" w:hAnsi="宋体" w:eastAsia="宋体" w:cs="宋体"/>
                <w:b w:val="0"/>
                <w:bCs w:val="0"/>
                <w:color w:val="000000" w:themeColor="text1"/>
                <w:sz w:val="21"/>
                <w:highlight w:val="none"/>
                <w14:textFill>
                  <w14:solidFill>
                    <w14:schemeClr w14:val="tx1"/>
                  </w14:solidFill>
                </w14:textFill>
              </w:rPr>
              <w:t>1h</w:t>
            </w:r>
          </w:p>
        </w:tc>
        <w:tc>
          <w:tcPr>
            <w:tcW w:w="652" w:type="pct"/>
            <w:shd w:val="clear" w:color="000000" w:fill="FFFFFF"/>
            <w:vAlign w:val="center"/>
          </w:tcPr>
          <w:p w14:paraId="766AAB06">
            <w:pPr>
              <w:pStyle w:val="102"/>
              <w:rPr>
                <w:rFonts w:hint="eastAsia" w:ascii="宋体" w:hAnsi="宋体" w:eastAsia="宋体" w:cs="宋体"/>
                <w:b w:val="0"/>
                <w:bCs w:val="0"/>
                <w:color w:val="000000" w:themeColor="text1"/>
                <w:sz w:val="21"/>
                <w:highlight w:val="none"/>
                <w14:textFill>
                  <w14:solidFill>
                    <w14:schemeClr w14:val="tx1"/>
                  </w14:solidFill>
                </w14:textFill>
              </w:rPr>
            </w:pPr>
            <w:bookmarkStart w:id="87" w:name="OLE_LINK53"/>
            <w:r>
              <w:rPr>
                <w:rFonts w:hint="eastAsia" w:ascii="宋体" w:hAnsi="宋体" w:eastAsia="宋体" w:cs="宋体"/>
                <w:b w:val="0"/>
                <w:bCs w:val="0"/>
                <w:color w:val="000000" w:themeColor="text1"/>
                <w:sz w:val="21"/>
                <w:highlight w:val="none"/>
                <w14:textFill>
                  <w14:solidFill>
                    <w14:schemeClr w14:val="tx1"/>
                  </w14:solidFill>
                </w14:textFill>
              </w:rPr>
              <w:t>≤</w:t>
            </w:r>
            <w:bookmarkEnd w:id="87"/>
            <w:r>
              <w:rPr>
                <w:rFonts w:hint="eastAsia" w:ascii="宋体" w:hAnsi="宋体" w:eastAsia="宋体" w:cs="宋体"/>
                <w:b w:val="0"/>
                <w:bCs w:val="0"/>
                <w:color w:val="000000" w:themeColor="text1"/>
                <w:sz w:val="21"/>
                <w:highlight w:val="none"/>
                <w14:textFill>
                  <w14:solidFill>
                    <w14:schemeClr w14:val="tx1"/>
                  </w14:solidFill>
                </w14:textFill>
              </w:rPr>
              <w:t>12h</w:t>
            </w:r>
          </w:p>
        </w:tc>
      </w:tr>
      <w:tr w14:paraId="44C6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pct"/>
            <w:shd w:val="clear" w:color="000000" w:fill="FFFFFF"/>
            <w:vAlign w:val="center"/>
          </w:tcPr>
          <w:p w14:paraId="61A9A5A6">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四级故障</w:t>
            </w:r>
          </w:p>
        </w:tc>
        <w:tc>
          <w:tcPr>
            <w:tcW w:w="2972" w:type="pct"/>
            <w:vAlign w:val="center"/>
          </w:tcPr>
          <w:p w14:paraId="187DD2CB">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轻微体验 / 非核心异常：仅界面显示、文字提示、菜单名称、日志、统计报表等非功能类问题；个别用户偶发卡顿、提示错误；不影响任何业务办理、无数据风险、无需紧急处理。</w:t>
            </w:r>
          </w:p>
        </w:tc>
        <w:tc>
          <w:tcPr>
            <w:tcW w:w="653" w:type="pct"/>
            <w:shd w:val="clear" w:color="000000" w:fill="FFFFFF"/>
            <w:vAlign w:val="center"/>
          </w:tcPr>
          <w:p w14:paraId="38112F07">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≤2h</w:t>
            </w:r>
          </w:p>
        </w:tc>
        <w:tc>
          <w:tcPr>
            <w:tcW w:w="652" w:type="pct"/>
            <w:shd w:val="clear" w:color="000000" w:fill="FFFFFF"/>
            <w:vAlign w:val="center"/>
          </w:tcPr>
          <w:p w14:paraId="165E539F">
            <w:pPr>
              <w:pStyle w:val="102"/>
              <w:rPr>
                <w:rFonts w:hint="eastAsia" w:ascii="宋体" w:hAnsi="宋体" w:eastAsia="宋体" w:cs="宋体"/>
                <w:b w:val="0"/>
                <w:bCs w:val="0"/>
                <w:color w:val="000000" w:themeColor="text1"/>
                <w:sz w:val="21"/>
                <w:highlight w:val="none"/>
                <w14:textFill>
                  <w14:solidFill>
                    <w14:schemeClr w14:val="tx1"/>
                  </w14:solidFill>
                </w14:textFill>
              </w:rPr>
            </w:pPr>
            <w:r>
              <w:rPr>
                <w:rFonts w:hint="eastAsia" w:ascii="宋体" w:hAnsi="宋体" w:eastAsia="宋体" w:cs="宋体"/>
                <w:b w:val="0"/>
                <w:bCs w:val="0"/>
                <w:color w:val="000000" w:themeColor="text1"/>
                <w:sz w:val="21"/>
                <w:highlight w:val="none"/>
                <w14:textFill>
                  <w14:solidFill>
                    <w14:schemeClr w14:val="tx1"/>
                  </w14:solidFill>
                </w14:textFill>
              </w:rPr>
              <w:t>≤24h</w:t>
            </w:r>
          </w:p>
        </w:tc>
      </w:tr>
    </w:tbl>
    <w:p w14:paraId="191CBC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（2）相关软硬件设备运维指标</w:t>
      </w:r>
    </w:p>
    <w:p w14:paraId="4BF626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服务器、数据库、中间件等软硬件运维指标：</w:t>
      </w:r>
    </w:p>
    <w:p w14:paraId="3686E0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A.系统可用性≥99.9%</w:t>
      </w:r>
    </w:p>
    <w:p w14:paraId="35E43D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系统正一定时间范围内可用的百分比，计算方式：（总时间-不可用时间）/ 总时间 * 100%。</w:t>
      </w:r>
    </w:p>
    <w:p w14:paraId="1D9A1C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B.平均故障间隔时间≥1000小时</w:t>
      </w:r>
    </w:p>
    <w:p w14:paraId="0FE8DD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设备或系统正常运行的平均时间。计算方式：总运行时间 / 总故障次数。</w:t>
      </w:r>
    </w:p>
    <w:p w14:paraId="5345AB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C.平均修复时间≤12小时</w:t>
      </w:r>
    </w:p>
    <w:p w14:paraId="02F779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从故障发生到恢复正常所需的平均时间,计算方式：修复总时间/故障次数。</w:t>
      </w:r>
    </w:p>
    <w:p w14:paraId="39B654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 xml:space="preserve">6.重要时刻保障 </w:t>
      </w:r>
    </w:p>
    <w:p w14:paraId="7B8B14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对重要时刻，包括但不限于重大政治活动、重要会议、节假日等，制定重要时刻运维保障方案。进行预防性健康检查和深度巡检，落实监控部署措施，主动发现系统异常、业务风险、安全隐患等情况，及时进行干预和处理。</w:t>
      </w:r>
    </w:p>
    <w:p w14:paraId="6DB850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特殊时期和节假日期间值守。在特殊时期和节假日期间，按系统建设单位要求，安排人员进行值守，针对重保范围内服务总线的服务总线业务量、服务总线状态、性能状态、磁盘空间、服务状态、错误日志等方面进行7×24重点监控，并每天加强巡检及监控工作，发现问题及时协调和处理；每天以微信、邮件等形式告警信息实时推送相关负责人员。</w:t>
      </w:r>
    </w:p>
    <w:p w14:paraId="29CF2D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7.应急保障</w:t>
      </w:r>
    </w:p>
    <w:p w14:paraId="7EF7BB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(1)制定应急预案</w:t>
      </w:r>
    </w:p>
    <w:p w14:paraId="7F3552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结合阳江市智慧人社系统国产化适配改造后的运行环境、技术架构与安全风险，针对性制定软件故障、国产化环境兼容故障、数据异常、安全事件、系统整体宕机等专项应急预案，确保国产化环境下系统突发问题可快速闭环、业务不中断。</w:t>
      </w:r>
    </w:p>
    <w:p w14:paraId="2D6C9B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(2)开展应急演练</w:t>
      </w:r>
    </w:p>
    <w:p w14:paraId="73C1B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为提高系统安全及信息安全突发事件应急响应水平，各系统建设单位主管部门按照制定好的应急预案定期或不定期组织应急演练；并对演练情况进行评估，对预案中存在的问题和不足及时补充、完善。针对演练中发现的问题，补充修订应急预案。项目周期内，每年不少于1次应急演练。</w:t>
      </w:r>
    </w:p>
    <w:p w14:paraId="5FC63B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8.系统培训</w:t>
      </w:r>
    </w:p>
    <w:p w14:paraId="720F88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由承建单位组织成立培训小组实施适配改造后的系统培训工作。系统培训计划至少安排2场，按需进行增加。为保证项目能够顺利进行，确保项目建设得以顺利实施、正常运行和使用，计划分阶段让管理员、操作人员、各级领导等参加不同的培训课程，培训形式分为课程培训、现场操作培训两种。</w:t>
      </w:r>
    </w:p>
    <w:p w14:paraId="34A156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（1）培训对象分类：</w:t>
      </w:r>
    </w:p>
    <w:p w14:paraId="2C5E65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建设单位相关领导、管理员、系统操作人员。</w:t>
      </w:r>
    </w:p>
    <w:p w14:paraId="623176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（2）课程培训内容包括：</w:t>
      </w:r>
    </w:p>
    <w:p w14:paraId="238035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网络架构、功能及特点、系统使用及标准等内容的介绍，面向对象为阳江市人社局网络管理员、操作人员、各级领导等。</w:t>
      </w:r>
    </w:p>
    <w:p w14:paraId="57D3B2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（3）现场操作培训内容包括：</w:t>
      </w:r>
    </w:p>
    <w:p w14:paraId="20CDB4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由技术人员向用户网络管理员、操作人员示范讲解网络环境，设备操作及维护，数据备份，故障排除、安全培训等。由技术人员向阳江市人社局各级相关领导、操作人员、管理员现场演示系统各项设备的功能、注意事项、操作技巧等，并进行咨询和解答。</w:t>
      </w:r>
    </w:p>
    <w:p w14:paraId="58C5BE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9.运维服务交付物</w:t>
      </w:r>
    </w:p>
    <w:p w14:paraId="4FDE3B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针对本项目运维服务工作，运维服务提供商需通过服务报告和服务日志两种机制向提供服务交付文档，并且作为检验运维服务工作的根本依据。</w:t>
      </w:r>
    </w:p>
    <w:p w14:paraId="03FF4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（1）服务报告机制</w:t>
      </w:r>
    </w:p>
    <w:p w14:paraId="63AC20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在各个阶段（月、季）的运维服务报告中，针对当期遇到的各类问题及时进行分析、总结，整理编写运维服务报告，在当前运维周期结束一周内完成并提交相关部门审核通过后，向相关业务部门以会议或文件的形式进行对本月运维工作进行汇报，让业务部门能够及时了解各个系统的运维情况。</w:t>
      </w:r>
    </w:p>
    <w:p w14:paraId="6FBB01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（2）服务日志机制</w:t>
      </w:r>
    </w:p>
    <w:p w14:paraId="5B8880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通过热线电话以及其他服务方式，对提出的服务申请以及问题反馈，逐一记录、整理，形成工作日志，作为服务交付成果组成部分。</w:t>
      </w:r>
    </w:p>
    <w:p w14:paraId="6FAF16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（3）系统故障处理报告</w:t>
      </w:r>
    </w:p>
    <w:p w14:paraId="3757D1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对运维期间发生的各级系统故障，应在故障处置结束后48小时内编制专项处理报告。所有故障处理报告应归档留存，作为运维服务质量考核的重要依据。</w:t>
      </w:r>
    </w:p>
    <w:p w14:paraId="59EC49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（4）国产化兼容巡检报告</w:t>
      </w:r>
    </w:p>
    <w:p w14:paraId="7D7B31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每季度至少开展一次国产化环境专项巡检，并出具巡检报告。报告应记录巡检项、检查结果、发现的问题及处理建议，确保系统与国产化运行环境的持续深度兼容。</w:t>
      </w:r>
    </w:p>
    <w:p w14:paraId="088EB4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（5）业务运行分析报表</w:t>
      </w:r>
    </w:p>
    <w:p w14:paraId="79B12C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每月编制业务运行分析报表，从业务视角反映系统运行情况。报表应便于业务管理人员快速掌握系统运行健康度，为业务决策和资源调配提供数据支撑。</w:t>
      </w:r>
    </w:p>
    <w:p w14:paraId="29760EC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(五)信创符合性测试服务</w:t>
      </w:r>
    </w:p>
    <w:p w14:paraId="2BEBEA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由中标单位委托具有相关资格的信创适配测试中心对信创工程项目内容进行测试，并出具信创产品符合性测试报告。</w:t>
      </w:r>
    </w:p>
    <w:p w14:paraId="194F8B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1.测试目标</w:t>
      </w:r>
    </w:p>
    <w:p w14:paraId="01B4D6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信创符合性测试是指在信息技术应用创新过程中，对信创工程项目中的产品、系统或环境的兼容性、适配性进行的测试和验证，这种测试旨在确保信创产品能够在不同的系统、硬件和软件环境下稳定运行，以确保其符合预期要求和性能表现，满足用户的需求。</w:t>
      </w:r>
    </w:p>
    <w:p w14:paraId="58460B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2.测试依据</w:t>
      </w:r>
    </w:p>
    <w:p w14:paraId="605FB7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（1）GB/T 25000.51-2016《系统与软件工程系统与软件质量要求和评价（SQuaRE）第51部分》；</w:t>
      </w:r>
    </w:p>
    <w:p w14:paraId="3C74BB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（2）T/AIA 016—2023《信创产品测评通用要求》</w:t>
      </w:r>
    </w:p>
    <w:p w14:paraId="78AC8C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3.测试内容</w:t>
      </w:r>
    </w:p>
    <w:p w14:paraId="5AD79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信创测试的主要内容包括：</w:t>
      </w:r>
    </w:p>
    <w:p w14:paraId="483C4C5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（1）适配测试：测试产品或系统与信创环境、应用系统的适配程度，确保其能够在信创环境中正常运行。</w:t>
      </w:r>
    </w:p>
    <w:p w14:paraId="1CEA78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基础适配要求：支持阳江市政务云信创硬件（鲲鹏 + 麒麟操作系统等），无依赖库缺失或权限适配报错；</w:t>
      </w:r>
    </w:p>
    <w:p w14:paraId="1C48FF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交互适配指标：与国产数据库（达梦 / 人大金仓）、中间件（东方通 / 金蝶天燕）数据读写成功率100%，事务处理无异常，接口调用响应延迟≤500ms；</w:t>
      </w:r>
    </w:p>
    <w:p w14:paraId="1E2827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合规性指标：通过安全可靠测评，国产化核心组件适配率≥95%。</w:t>
      </w:r>
    </w:p>
    <w:p w14:paraId="6F467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稳定性指标：72小时连续运行无闪退、卡死，进程存活率 100%，内存泄漏≤5MB /24小时。</w:t>
      </w:r>
    </w:p>
    <w:p w14:paraId="2E0C54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（2）功能测试：测试产品或系统的各项功能是否符合设计要求，是否能正确实现。</w:t>
      </w:r>
    </w:p>
    <w:p w14:paraId="13673D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功能覆盖率：核心业务功能（如登录/数据提交/流程审批）测试覆盖率100%，次要功能覆盖率≥80%（抽样比例 30%-50%）；</w:t>
      </w:r>
    </w:p>
    <w:p w14:paraId="643C1B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功能正确性：核心功能执行成功率 100%，无逻辑错误；次要功能故障率≤5%，且不影响主流程运行；</w:t>
      </w:r>
    </w:p>
    <w:p w14:paraId="7E6858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边界场景指标：异常输入（如超长字符、非法格式）处理成功率100%，报错信息明确无歧义；</w:t>
      </w:r>
    </w:p>
    <w:p w14:paraId="59A320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文档一致性：功能实现与设计文档、需求规格说明书一致性≥98%，偏差项需有合规说明。</w:t>
      </w:r>
    </w:p>
    <w:p w14:paraId="7CA75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（3）性能测试：测试产品或系统的性能表现，包括响应时间、吞吐量、稳定性等指标是否满足预期要求。响应时间、吞吐量、稳定性等指标原则上应不低于原系统指标。</w:t>
      </w:r>
    </w:p>
    <w:p w14:paraId="05E4D7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（4）安全测试：测试产品或系统的安全性，包括漏洞扫描、代码审计、安全策略是否合理等。</w:t>
      </w:r>
    </w:p>
    <w:p w14:paraId="700641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漏洞扫描：高危漏洞数量= 0，中危漏洞≤2个且需在3个工作日内修复，低危漏洞≤5个且需在7个工作日内完成修复；</w:t>
      </w:r>
    </w:p>
    <w:p w14:paraId="28CAA0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代码审计：无 SQL 注入、XSS 跨站脚本等高危代码缺陷，开源组件合规率100%（符合 GB/T 43698-2024 供应链安全要求）；</w:t>
      </w:r>
    </w:p>
    <w:p w14:paraId="17C8CF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合规性指标：符合等保2.0三级要求；</w:t>
      </w:r>
    </w:p>
    <w:p w14:paraId="4296DC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安全策略：身份认证成功率100%，权限最小化原则落实到位，日志审计覆盖率100%（含敏感操作溯源）。</w:t>
      </w:r>
    </w:p>
    <w:p w14:paraId="500F96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（5）兼容性测试：测试产品或系统在不同操作系统、浏览器、数据库等不同平台和环境中的兼容性。</w:t>
      </w:r>
    </w:p>
    <w:p w14:paraId="422C30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操作系统兼容：支持麒麟V10等主流版本，不同版本功能一致性≥98%，无界面错乱、控件遮挡问题；</w:t>
      </w:r>
    </w:p>
    <w:p w14:paraId="0DE3F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数据库兼容：适配达梦、人大金仓等主流版本，数据迁移成功率100%，查询性能无偏差；</w:t>
      </w:r>
    </w:p>
    <w:p w14:paraId="70EC4F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浏览器兼容：支持360安全浏览器（国产版）、火狐（信创适配版）等，页面加载成功率100%，交互功能无异常；</w:t>
      </w:r>
    </w:p>
    <w:p w14:paraId="4EA788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外设兼容：与国产打印机、扫描仪等外设连接成功率≥95%，数据传输无丢失、格式无错乱。</w:t>
      </w:r>
    </w:p>
    <w:p w14:paraId="1C6402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（6）压力测试：测试产品或系统在大量用户并发访问时是否能够保持稳定性和可靠性。</w:t>
      </w:r>
    </w:p>
    <w:p w14:paraId="6F4626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并发用户数：支持并发用户数≥1000，无请求超时；</w:t>
      </w:r>
    </w:p>
    <w:p w14:paraId="1B69D4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稳定性指标：峰值并发下持续运行24小时，服务可用率≥99.9%，无内存泄漏、线程阻塞问题；</w:t>
      </w:r>
    </w:p>
    <w:p w14:paraId="3A90B8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恢复能力：压力卸载后3分钟内，系统性能恢复至正常水平（偏差≤10%）。</w:t>
      </w:r>
    </w:p>
    <w:p w14:paraId="440D33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（7）用户验收测试：邀请最终用户进行验收测试，以确认产品或系统是否满足用户需求和业务要求。</w:t>
      </w:r>
    </w:p>
    <w:p w14:paraId="444B42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业务满足度：业务需求满足率100%，用户签字确认通过率100%；</w:t>
      </w:r>
    </w:p>
    <w:p w14:paraId="440297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易用性指标：平均操作学习时间≤8小时，关键任务完成时间≤规定阈值（按业务场景定义），用户满意度＞95%；</w:t>
      </w:r>
    </w:p>
    <w:p w14:paraId="769591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问题整改率：测试发现的问题整改率100%，回归测试通过率100%，无遗留高危问题；</w:t>
      </w:r>
    </w:p>
    <w:p w14:paraId="56670E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文档完整性：用户手册、运维手册等文档齐全，与系统实际功能一致性≥98%。</w:t>
      </w:r>
    </w:p>
    <w:p w14:paraId="56D89F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信创测试通常采用自动化测试工具和测试框架，以提高测试效率和准确性。同时，信创测试也需要关注测试数据的分析和处理，以便更好地发现和解决潜在问题。</w:t>
      </w:r>
    </w:p>
    <w:p w14:paraId="37D261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4.信创适配性测试的实施步骤</w:t>
      </w:r>
    </w:p>
    <w:p w14:paraId="5BF465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1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①</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确定测试目标: 明确测试的目的、范围和重点，为测试提供指导。</w:t>
      </w:r>
    </w:p>
    <w:p w14:paraId="742B16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2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②</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选择测试环境:根据产品特性和测试需求，选择合适的系统、硬件和软件环境进行测试。</w:t>
      </w:r>
    </w:p>
    <w:p w14:paraId="6791BF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3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③</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设计测试用例: 根据测试目标和环境选择，设计涵盖各种场景和条件的测试用例。</w:t>
      </w:r>
    </w:p>
    <w:p w14:paraId="30E983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4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④</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执行测试:按照测试用例进行实际测试，记录测试结果和数据。</w:t>
      </w:r>
    </w:p>
    <w:p w14:paraId="445007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5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⑤</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分析测试结果:对测试结果进行分析，找出潜在的问题和改进点。</w:t>
      </w:r>
    </w:p>
    <w:p w14:paraId="4B64FE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6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⑥</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制定改进措施:根据分析结果，制定相应的改进措施，为产品的优化和升级提供依据。</w:t>
      </w:r>
    </w:p>
    <w:p w14:paraId="320CB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instrText xml:space="preserve"> = 7 \* GB3 \* MERGEFORMAT </w:instrTex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highlight w:val="none"/>
          <w14:textFill>
            <w14:solidFill>
              <w14:schemeClr w14:val="tx1"/>
            </w14:solidFill>
          </w14:textFill>
        </w:rPr>
        <w:t>⑦</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重复执行测试:改进后的产品需再次进行适配性测试，确保问题得到有效解决。</w:t>
      </w:r>
    </w:p>
    <w:p w14:paraId="709DF2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5.交付成果</w:t>
      </w:r>
    </w:p>
    <w:p w14:paraId="6B86CF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olor w:val="000000" w:themeColor="text1"/>
          <w:kern w:val="0"/>
          <w:sz w:val="2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测试结论交付物：《信息技术应用创新符合性测试报告》。</w:t>
      </w:r>
      <w:r>
        <w:rPr>
          <w:rFonts w:hint="eastAsia" w:ascii="宋体" w:hAnsi="宋体" w:eastAsia="宋体"/>
          <w:color w:val="000000" w:themeColor="text1"/>
          <w:kern w:val="0"/>
          <w:sz w:val="21"/>
          <w:szCs w:val="21"/>
          <w:highlight w:val="none"/>
          <w14:textFill>
            <w14:solidFill>
              <w14:schemeClr w14:val="tx1"/>
            </w14:solidFill>
          </w14:textFill>
        </w:rPr>
        <w:br w:type="page"/>
      </w:r>
    </w:p>
    <w:p w14:paraId="5A4D5E18">
      <w:pPr>
        <w:pStyle w:val="4"/>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r>
        <w:rPr>
          <w:rFonts w:hint="eastAsia" w:ascii="宋体" w:hAnsi="宋体" w:eastAsia="宋体"/>
          <w:color w:val="000000" w:themeColor="text1"/>
          <w:kern w:val="0"/>
          <w:sz w:val="21"/>
          <w:szCs w:val="21"/>
          <w:highlight w:val="none"/>
          <w14:textFill>
            <w14:solidFill>
              <w14:schemeClr w14:val="tx1"/>
            </w14:solidFill>
          </w14:textFill>
        </w:rPr>
        <w:t>第三部分 报价须知</w:t>
      </w:r>
      <w:bookmarkEnd w:id="77"/>
    </w:p>
    <w:p w14:paraId="3053BB19">
      <w:pPr>
        <w:pStyle w:val="4"/>
        <w:numPr>
          <w:ilvl w:val="1"/>
          <w:numId w:val="0"/>
        </w:numPr>
        <w:spacing w:line="360" w:lineRule="auto"/>
        <w:jc w:val="center"/>
        <w:rPr>
          <w:rFonts w:ascii="宋体" w:hAnsi="宋体" w:eastAsia="宋体"/>
          <w:color w:val="000000" w:themeColor="text1"/>
          <w:sz w:val="21"/>
          <w:szCs w:val="21"/>
          <w:highlight w:val="none"/>
          <w14:textFill>
            <w14:solidFill>
              <w14:schemeClr w14:val="tx1"/>
            </w14:solidFill>
          </w14:textFill>
        </w:rPr>
      </w:pPr>
      <w:bookmarkStart w:id="88" w:name="_Toc434832495"/>
      <w:bookmarkStart w:id="89" w:name="_Toc30394"/>
      <w:r>
        <w:rPr>
          <w:rFonts w:hint="eastAsia" w:ascii="宋体" w:hAnsi="宋体" w:eastAsia="宋体"/>
          <w:color w:val="000000" w:themeColor="text1"/>
          <w:sz w:val="21"/>
          <w:szCs w:val="21"/>
          <w:highlight w:val="none"/>
          <w14:textFill>
            <w14:solidFill>
              <w14:schemeClr w14:val="tx1"/>
            </w14:solidFill>
          </w14:textFill>
        </w:rPr>
        <w:t>投标人须知前附表</w:t>
      </w:r>
      <w:bookmarkEnd w:id="88"/>
      <w:bookmarkEnd w:id="89"/>
    </w:p>
    <w:tbl>
      <w:tblPr>
        <w:tblStyle w:val="43"/>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3005"/>
        <w:gridCol w:w="3573"/>
      </w:tblGrid>
      <w:tr w14:paraId="4B72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F92F5CF">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76CEEB8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A44ADEF">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569D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252C5D">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12AC0DC">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谈判小组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5C490EA">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ascii="宋体"/>
                <w:b/>
                <w:bCs/>
                <w:color w:val="000000" w:themeColor="text1"/>
                <w:highlight w:val="none"/>
                <w:u w:val="single"/>
                <w14:textFill>
                  <w14:solidFill>
                    <w14:schemeClr w14:val="tx1"/>
                  </w14:solidFill>
                </w14:textFill>
              </w:rPr>
              <w:t>3</w:t>
            </w:r>
            <w:r>
              <w:rPr>
                <w:rFonts w:hint="eastAsia" w:ascii="宋体"/>
                <w:b/>
                <w:bCs/>
                <w:color w:val="000000" w:themeColor="text1"/>
                <w:highlight w:val="none"/>
                <w14:textFill>
                  <w14:solidFill>
                    <w14:schemeClr w14:val="tx1"/>
                  </w14:solidFill>
                </w14:textFill>
              </w:rPr>
              <w:t>名。</w:t>
            </w:r>
          </w:p>
        </w:tc>
      </w:tr>
      <w:tr w14:paraId="7583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79E75A05">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7962920">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68AC4F1E">
            <w:pPr>
              <w:spacing w:line="36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投标人在每一份谈判文件上明确标明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封面需按谈判文件封面格式要求标注并加盖公章。电子文件单独密封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，在封面上注明“（公司名称）投标电子版”，</w:t>
            </w:r>
            <w:r>
              <w:rPr>
                <w:color w:val="000000" w:themeColor="text1"/>
                <w:szCs w:val="21"/>
                <w:highlight w:val="none"/>
                <w14:textFill>
                  <w14:solidFill>
                    <w14:schemeClr w14:val="tx1"/>
                  </w14:solidFill>
                </w14:textFill>
              </w:rPr>
              <w:t>所有</w:t>
            </w:r>
            <w:r>
              <w:rPr>
                <w:rFonts w:hint="eastAsia"/>
                <w:color w:val="000000" w:themeColor="text1"/>
                <w:szCs w:val="21"/>
                <w:highlight w:val="none"/>
                <w14:textFill>
                  <w14:solidFill>
                    <w14:schemeClr w14:val="tx1"/>
                  </w14:solidFill>
                </w14:textFill>
              </w:rPr>
              <w:t>谈判</w:t>
            </w:r>
            <w:r>
              <w:rPr>
                <w:color w:val="000000" w:themeColor="text1"/>
                <w:szCs w:val="21"/>
                <w:highlight w:val="none"/>
                <w14:textFill>
                  <w14:solidFill>
                    <w14:schemeClr w14:val="tx1"/>
                  </w14:solidFill>
                </w14:textFill>
              </w:rPr>
              <w:t>文件密封袋的封口处应加盖投标人</w:t>
            </w:r>
            <w:r>
              <w:rPr>
                <w:rFonts w:hint="eastAsia"/>
                <w:color w:val="000000" w:themeColor="text1"/>
                <w:szCs w:val="21"/>
                <w:highlight w:val="none"/>
                <w14:textFill>
                  <w14:solidFill>
                    <w14:schemeClr w14:val="tx1"/>
                  </w14:solidFill>
                </w14:textFill>
              </w:rPr>
              <w:t>公章或密封章。</w:t>
            </w:r>
          </w:p>
          <w:p w14:paraId="377200EA">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0F10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B538A63">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65B933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37B7192">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为了方便唱标，投标人在递交谈判文件的同时，向代理采购机构提交包含“第一次报价一览表”、“分项报价表”</w:t>
            </w:r>
            <w:r>
              <w:rPr>
                <w:rFonts w:hint="eastAsia"/>
                <w:color w:val="000000" w:themeColor="text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在封面上注明“开标信封”。</w:t>
            </w:r>
          </w:p>
        </w:tc>
      </w:tr>
      <w:tr w14:paraId="4E6B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8323A55">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130C04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50CDE853">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（谈判截止时间）   </w:t>
            </w:r>
            <w:r>
              <w:rPr>
                <w:rFonts w:hint="eastAsia" w:ascii="宋体"/>
                <w:bCs/>
                <w:color w:val="000000" w:themeColor="text1"/>
                <w:highlight w:val="none"/>
                <w14:textFill>
                  <w14:solidFill>
                    <w14:schemeClr w14:val="tx1"/>
                  </w14:solidFill>
                </w14:textFill>
              </w:rPr>
              <w:t>之前不准启封”的字样。</w:t>
            </w:r>
          </w:p>
        </w:tc>
      </w:tr>
      <w:tr w14:paraId="7AD2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592EB40">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6B5C40E">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0C88727D">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投标人未按上述规定对谈判文件进行密封和加写标记，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p>
        </w:tc>
      </w:tr>
      <w:tr w14:paraId="2E4F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Merge w:val="restart"/>
            <w:tcBorders>
              <w:top w:val="single" w:color="auto" w:sz="4" w:space="0"/>
              <w:left w:val="single" w:color="auto" w:sz="4" w:space="0"/>
              <w:right w:val="single" w:color="auto" w:sz="4" w:space="0"/>
            </w:tcBorders>
            <w:vAlign w:val="center"/>
          </w:tcPr>
          <w:p w14:paraId="3F25B894">
            <w:pPr>
              <w:widowControl/>
              <w:spacing w:line="360" w:lineRule="exact"/>
              <w:jc w:val="center"/>
              <w:rPr>
                <w:rFonts w:hint="eastAsia" w:ascii="宋体" w:hAnsi="宋体" w:eastAsia="宋体"/>
                <w:b/>
                <w:color w:val="000000" w:themeColor="text1"/>
                <w:szCs w:val="21"/>
                <w:highlight w:val="none"/>
                <w:lang w:eastAsia="zh-CN"/>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3</w:t>
            </w:r>
          </w:p>
        </w:tc>
        <w:tc>
          <w:tcPr>
            <w:tcW w:w="2127" w:type="dxa"/>
            <w:vMerge w:val="restart"/>
            <w:tcBorders>
              <w:top w:val="single" w:color="auto" w:sz="4" w:space="0"/>
              <w:left w:val="single" w:color="auto" w:sz="4" w:space="0"/>
              <w:right w:val="single" w:color="auto" w:sz="4" w:space="0"/>
            </w:tcBorders>
            <w:vAlign w:val="center"/>
          </w:tcPr>
          <w:p w14:paraId="0CED291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005" w:type="dxa"/>
            <w:tcBorders>
              <w:top w:val="single" w:color="auto" w:sz="4" w:space="0"/>
              <w:left w:val="single" w:color="auto" w:sz="4" w:space="0"/>
              <w:bottom w:val="single" w:color="auto" w:sz="4" w:space="0"/>
              <w:right w:val="single" w:color="auto" w:sz="4" w:space="0"/>
            </w:tcBorders>
            <w:vAlign w:val="center"/>
          </w:tcPr>
          <w:p w14:paraId="305438D4">
            <w:pPr>
              <w:spacing w:line="340" w:lineRule="exact"/>
              <w:rPr>
                <w:rFonts w:ascii="宋体"/>
                <w:bCs/>
                <w:color w:val="000000" w:themeColor="text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573" w:type="dxa"/>
            <w:tcBorders>
              <w:top w:val="single" w:color="auto" w:sz="4" w:space="0"/>
              <w:left w:val="single" w:color="auto" w:sz="4" w:space="0"/>
              <w:bottom w:val="single" w:color="auto" w:sz="4" w:space="0"/>
              <w:right w:val="single" w:color="auto" w:sz="4" w:space="0"/>
            </w:tcBorders>
            <w:vAlign w:val="center"/>
          </w:tcPr>
          <w:p w14:paraId="0A6CD0E1">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0664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Merge w:val="continue"/>
            <w:tcBorders>
              <w:left w:val="single" w:color="auto" w:sz="4" w:space="0"/>
              <w:right w:val="single" w:color="auto" w:sz="4" w:space="0"/>
            </w:tcBorders>
            <w:vAlign w:val="center"/>
          </w:tcPr>
          <w:p w14:paraId="10AA046E">
            <w:pPr>
              <w:widowControl/>
              <w:spacing w:line="360" w:lineRule="exact"/>
              <w:jc w:val="center"/>
              <w:rPr>
                <w:rFonts w:hint="eastAsia" w:ascii="宋体" w:hAnsi="宋体"/>
                <w:b/>
                <w:color w:val="000000" w:themeColor="text1"/>
                <w:szCs w:val="21"/>
                <w:highlight w:val="none"/>
                <w:lang w:val="en-US" w:eastAsia="zh-CN"/>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70698C6">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3005" w:type="dxa"/>
            <w:tcBorders>
              <w:top w:val="single" w:color="auto" w:sz="4" w:space="0"/>
              <w:left w:val="single" w:color="auto" w:sz="4" w:space="0"/>
              <w:right w:val="single" w:color="auto" w:sz="4" w:space="0"/>
            </w:tcBorders>
            <w:shd w:val="clear" w:color="auto" w:fill="auto"/>
            <w:vAlign w:val="center"/>
          </w:tcPr>
          <w:p w14:paraId="144C2DBF">
            <w:pPr>
              <w:spacing w:line="400" w:lineRule="exact"/>
              <w:rPr>
                <w:rFonts w:hint="eastAsia" w:ascii="宋体" w:hAnsi="Times New Roman" w:eastAsia="宋体" w:cs="Times New Roman"/>
                <w:bCs/>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73" w:type="dxa"/>
            <w:tcBorders>
              <w:top w:val="single" w:color="auto" w:sz="4" w:space="0"/>
              <w:left w:val="single" w:color="auto" w:sz="4" w:space="0"/>
              <w:right w:val="single" w:color="auto" w:sz="4" w:space="0"/>
            </w:tcBorders>
            <w:shd w:val="clear" w:color="auto" w:fill="auto"/>
            <w:vAlign w:val="center"/>
          </w:tcPr>
          <w:p w14:paraId="5F61277A">
            <w:pPr>
              <w:spacing w:line="400" w:lineRule="exact"/>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http://www.gdgpo.com.cn/</w:t>
            </w:r>
          </w:p>
        </w:tc>
      </w:tr>
    </w:tbl>
    <w:p w14:paraId="1CCBF765">
      <w:pPr>
        <w:rPr>
          <w:color w:val="000000" w:themeColor="text1"/>
          <w:highlight w:val="none"/>
          <w14:textFill>
            <w14:solidFill>
              <w14:schemeClr w14:val="tx1"/>
            </w14:solidFill>
          </w14:textFill>
        </w:rPr>
      </w:pPr>
    </w:p>
    <w:bookmarkEnd w:id="1"/>
    <w:bookmarkEnd w:id="2"/>
    <w:bookmarkEnd w:id="3"/>
    <w:bookmarkEnd w:id="4"/>
    <w:bookmarkEnd w:id="5"/>
    <w:bookmarkEnd w:id="6"/>
    <w:bookmarkEnd w:id="7"/>
    <w:p w14:paraId="6B3EAC3D">
      <w:pPr>
        <w:spacing w:line="360" w:lineRule="auto"/>
        <w:rPr>
          <w:rFonts w:ascii="宋体" w:hAnsi="宋体"/>
          <w:b/>
          <w:color w:val="000000" w:themeColor="text1"/>
          <w:szCs w:val="21"/>
          <w:highlight w:val="none"/>
          <w14:textFill>
            <w14:solidFill>
              <w14:schemeClr w14:val="tx1"/>
            </w14:solidFill>
          </w14:textFill>
        </w:rPr>
      </w:pPr>
      <w:bookmarkStart w:id="90" w:name="_Toc367780303"/>
    </w:p>
    <w:p w14:paraId="7AFFF249">
      <w:pPr>
        <w:spacing w:line="360" w:lineRule="auto"/>
        <w:rPr>
          <w:rFonts w:ascii="宋体" w:hAnsi="宋体"/>
          <w:b/>
          <w:color w:val="000000" w:themeColor="text1"/>
          <w:szCs w:val="21"/>
          <w:highlight w:val="none"/>
          <w14:textFill>
            <w14:solidFill>
              <w14:schemeClr w14:val="tx1"/>
            </w14:solidFill>
          </w14:textFill>
        </w:rPr>
      </w:pPr>
    </w:p>
    <w:p w14:paraId="3F20DDEB">
      <w:pPr>
        <w:spacing w:line="360" w:lineRule="auto"/>
        <w:rPr>
          <w:rFonts w:ascii="宋体" w:hAnsi="宋体"/>
          <w:b/>
          <w:color w:val="000000" w:themeColor="text1"/>
          <w:szCs w:val="21"/>
          <w:highlight w:val="none"/>
          <w14:textFill>
            <w14:solidFill>
              <w14:schemeClr w14:val="tx1"/>
            </w14:solidFill>
          </w14:textFill>
        </w:rPr>
      </w:pPr>
    </w:p>
    <w:p w14:paraId="4B269177">
      <w:pPr>
        <w:spacing w:line="360" w:lineRule="auto"/>
        <w:rPr>
          <w:rFonts w:ascii="宋体" w:hAnsi="宋体"/>
          <w:b/>
          <w:color w:val="000000" w:themeColor="text1"/>
          <w:szCs w:val="21"/>
          <w:highlight w:val="none"/>
          <w14:textFill>
            <w14:solidFill>
              <w14:schemeClr w14:val="tx1"/>
            </w14:solidFill>
          </w14:textFill>
        </w:rPr>
      </w:pPr>
    </w:p>
    <w:p w14:paraId="3378517F">
      <w:pPr>
        <w:spacing w:line="360" w:lineRule="auto"/>
        <w:rPr>
          <w:rFonts w:ascii="宋体" w:hAnsi="宋体"/>
          <w:b/>
          <w:color w:val="000000" w:themeColor="text1"/>
          <w:szCs w:val="21"/>
          <w:highlight w:val="none"/>
          <w14:textFill>
            <w14:solidFill>
              <w14:schemeClr w14:val="tx1"/>
            </w14:solidFill>
          </w14:textFill>
        </w:rPr>
      </w:pPr>
    </w:p>
    <w:p w14:paraId="20A4D83B">
      <w:pPr>
        <w:spacing w:line="360" w:lineRule="auto"/>
        <w:rPr>
          <w:rFonts w:ascii="宋体" w:hAnsi="宋体"/>
          <w:b/>
          <w:color w:val="000000" w:themeColor="text1"/>
          <w:szCs w:val="21"/>
          <w:highlight w:val="none"/>
          <w14:textFill>
            <w14:solidFill>
              <w14:schemeClr w14:val="tx1"/>
            </w14:solidFill>
          </w14:textFill>
        </w:rPr>
      </w:pPr>
    </w:p>
    <w:p w14:paraId="1B5D3DD5">
      <w:pPr>
        <w:spacing w:line="360" w:lineRule="auto"/>
        <w:rPr>
          <w:rFonts w:ascii="宋体" w:hAnsi="宋体"/>
          <w:b/>
          <w:color w:val="000000" w:themeColor="text1"/>
          <w:szCs w:val="21"/>
          <w:highlight w:val="none"/>
          <w14:textFill>
            <w14:solidFill>
              <w14:schemeClr w14:val="tx1"/>
            </w14:solidFill>
          </w14:textFill>
        </w:rPr>
      </w:pPr>
    </w:p>
    <w:p w14:paraId="0F36DA15">
      <w:pPr>
        <w:spacing w:line="360" w:lineRule="auto"/>
        <w:rPr>
          <w:rFonts w:ascii="宋体" w:hAnsi="宋体"/>
          <w:b/>
          <w:color w:val="000000" w:themeColor="text1"/>
          <w:szCs w:val="21"/>
          <w:highlight w:val="none"/>
          <w14:textFill>
            <w14:solidFill>
              <w14:schemeClr w14:val="tx1"/>
            </w14:solidFill>
          </w14:textFill>
        </w:rPr>
      </w:pPr>
    </w:p>
    <w:p w14:paraId="3A59C15C">
      <w:pPr>
        <w:spacing w:line="360" w:lineRule="auto"/>
        <w:rPr>
          <w:rFonts w:ascii="宋体" w:hAnsi="宋体"/>
          <w:b/>
          <w:color w:val="000000" w:themeColor="text1"/>
          <w:szCs w:val="21"/>
          <w:highlight w:val="none"/>
          <w14:textFill>
            <w14:solidFill>
              <w14:schemeClr w14:val="tx1"/>
            </w14:solidFill>
          </w14:textFill>
        </w:rPr>
      </w:pPr>
    </w:p>
    <w:p w14:paraId="1698E371">
      <w:pPr>
        <w:spacing w:line="360" w:lineRule="auto"/>
        <w:rPr>
          <w:rFonts w:ascii="宋体" w:hAnsi="宋体"/>
          <w:b/>
          <w:color w:val="000000" w:themeColor="text1"/>
          <w:szCs w:val="21"/>
          <w:highlight w:val="none"/>
          <w14:textFill>
            <w14:solidFill>
              <w14:schemeClr w14:val="tx1"/>
            </w14:solidFill>
          </w14:textFill>
        </w:rPr>
      </w:pPr>
    </w:p>
    <w:p w14:paraId="1BA26A54">
      <w:pP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br w:type="page"/>
      </w:r>
    </w:p>
    <w:p w14:paraId="03A00E1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Ａ  说  明</w:t>
      </w:r>
      <w:bookmarkEnd w:id="90"/>
    </w:p>
    <w:p w14:paraId="76EAFFDE">
      <w:pPr>
        <w:pStyle w:val="5"/>
        <w:spacing w:line="360" w:lineRule="auto"/>
        <w:rPr>
          <w:rFonts w:ascii="宋体" w:hAnsi="宋体"/>
          <w:color w:val="000000" w:themeColor="text1"/>
          <w:sz w:val="21"/>
          <w:szCs w:val="21"/>
          <w:highlight w:val="none"/>
          <w14:textFill>
            <w14:solidFill>
              <w14:schemeClr w14:val="tx1"/>
            </w14:solidFill>
          </w14:textFill>
        </w:rPr>
      </w:pPr>
      <w:bookmarkStart w:id="91" w:name="_Toc367780304"/>
      <w:bookmarkStart w:id="92" w:name="_Toc25258"/>
      <w:r>
        <w:rPr>
          <w:rFonts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适用范围和资金来源</w:t>
      </w:r>
      <w:bookmarkEnd w:id="91"/>
      <w:bookmarkEnd w:id="92"/>
    </w:p>
    <w:p w14:paraId="067ABD5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本谈判文件仅适用于本次竞争性谈判邀请函中所叙述的</w:t>
      </w:r>
      <w:r>
        <w:rPr>
          <w:rFonts w:hint="eastAsia" w:ascii="宋体" w:hAnsi="宋体"/>
          <w:color w:val="000000" w:themeColor="text1"/>
          <w:szCs w:val="21"/>
          <w:highlight w:val="none"/>
          <w:lang w:eastAsia="zh-CN"/>
          <w14:textFill>
            <w14:solidFill>
              <w14:schemeClr w14:val="tx1"/>
            </w14:solidFill>
          </w14:textFill>
        </w:rPr>
        <w:t>阳江市智慧人社系统适配改造（2026年）项目</w:t>
      </w:r>
      <w:r>
        <w:rPr>
          <w:rFonts w:hint="eastAsia" w:ascii="宋体" w:hAnsi="宋体"/>
          <w:bCs/>
          <w:color w:val="000000" w:themeColor="text1"/>
          <w:szCs w:val="21"/>
          <w:highlight w:val="none"/>
          <w14:textFill>
            <w14:solidFill>
              <w14:schemeClr w14:val="tx1"/>
            </w14:solidFill>
          </w14:textFill>
        </w:rPr>
        <w:t>。</w:t>
      </w:r>
    </w:p>
    <w:p w14:paraId="1E8EF9C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本谈判文件有关条款由</w:t>
      </w:r>
      <w:r>
        <w:rPr>
          <w:rFonts w:hint="eastAsia" w:ascii="宋体" w:hAnsi="宋体" w:cs="Tahoma"/>
          <w:color w:val="000000" w:themeColor="text1"/>
          <w:szCs w:val="21"/>
          <w:highlight w:val="none"/>
          <w14:textFill>
            <w14:solidFill>
              <w14:schemeClr w14:val="tx1"/>
            </w14:solidFill>
          </w14:textFill>
        </w:rPr>
        <w:t>代理采购机构</w:t>
      </w:r>
      <w:r>
        <w:rPr>
          <w:rFonts w:hint="eastAsia" w:ascii="宋体" w:hAnsi="宋体"/>
          <w:bCs/>
          <w:color w:val="000000" w:themeColor="text1"/>
          <w:szCs w:val="21"/>
          <w:highlight w:val="none"/>
          <w14:textFill>
            <w14:solidFill>
              <w14:schemeClr w14:val="tx1"/>
            </w14:solidFill>
          </w14:textFill>
        </w:rPr>
        <w:t>负责解释。</w:t>
      </w:r>
    </w:p>
    <w:p w14:paraId="009153CF">
      <w:pPr>
        <w:pStyle w:val="5"/>
        <w:spacing w:line="360" w:lineRule="auto"/>
        <w:rPr>
          <w:rFonts w:ascii="宋体" w:hAnsi="宋体"/>
          <w:color w:val="000000" w:themeColor="text1"/>
          <w:sz w:val="21"/>
          <w:szCs w:val="21"/>
          <w:highlight w:val="none"/>
          <w14:textFill>
            <w14:solidFill>
              <w14:schemeClr w14:val="tx1"/>
            </w14:solidFill>
          </w14:textFill>
        </w:rPr>
      </w:pPr>
      <w:bookmarkStart w:id="93" w:name="_Toc14605"/>
      <w:bookmarkStart w:id="94" w:name="_Toc367780305"/>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定义</w:t>
      </w:r>
      <w:bookmarkEnd w:id="93"/>
      <w:bookmarkEnd w:id="94"/>
    </w:p>
    <w:p w14:paraId="123F1A0B">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“代理采购机构”系指广东业信采购招标有限公司。</w:t>
      </w:r>
    </w:p>
    <w:p w14:paraId="30807F2A">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“供应商”系指符合谈判文件合格供应商资格要求，并按谈判文件规定提交谈判响应文件的供应商。</w:t>
      </w:r>
    </w:p>
    <w:p w14:paraId="346AF260">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“采购人”系指</w:t>
      </w:r>
      <w:r>
        <w:rPr>
          <w:rFonts w:hint="eastAsia" w:ascii="宋体" w:hAnsi="宋体"/>
          <w:bCs/>
          <w:color w:val="000000" w:themeColor="text1"/>
          <w:szCs w:val="21"/>
          <w:highlight w:val="none"/>
          <w:lang w:eastAsia="zh-CN"/>
          <w14:textFill>
            <w14:solidFill>
              <w14:schemeClr w14:val="tx1"/>
            </w14:solidFill>
          </w14:textFill>
        </w:rPr>
        <w:t>阳江市人力资源和社会保障局</w:t>
      </w:r>
      <w:r>
        <w:rPr>
          <w:rFonts w:hint="eastAsia" w:ascii="宋体" w:hAnsi="宋体"/>
          <w:bCs/>
          <w:color w:val="000000" w:themeColor="text1"/>
          <w:szCs w:val="21"/>
          <w:highlight w:val="none"/>
          <w14:textFill>
            <w14:solidFill>
              <w14:schemeClr w14:val="tx1"/>
            </w14:solidFill>
          </w14:textFill>
        </w:rPr>
        <w:t>，即项目采购用户方。</w:t>
      </w:r>
    </w:p>
    <w:p w14:paraId="27015900">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货物</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系指投标供应商根据谈判文件规定，须向采购人提供的货物、材料、备品备件、工具、使用手册及有关技术资料等。</w:t>
      </w:r>
    </w:p>
    <w:p w14:paraId="7AFC0842">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“服务”系指谈判文件规定卖方须承担与实施本项目有关的伴随服务，包括但不限于运输、设计、装卸、安装、调试、技术支持、售后服务等义务和合同中规定卖方应承担的其它义务。</w:t>
      </w:r>
    </w:p>
    <w:p w14:paraId="4165DFB1">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“天”是指日历天。</w:t>
      </w:r>
    </w:p>
    <w:p w14:paraId="2B647C9D">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“工作日”系指国家规定除法定节假日以外的以日</w:t>
      </w:r>
      <w:r>
        <w:rPr>
          <w:rFonts w:ascii="宋体" w:hAnsi="宋体"/>
          <w:bCs/>
          <w:color w:val="000000" w:themeColor="text1"/>
          <w:szCs w:val="21"/>
          <w:highlight w:val="none"/>
          <w14:textFill>
            <w14:solidFill>
              <w14:schemeClr w14:val="tx1"/>
            </w14:solidFill>
          </w14:textFill>
        </w:rPr>
        <w:t>为计算单位的工作时间</w:t>
      </w:r>
      <w:r>
        <w:rPr>
          <w:rFonts w:hint="eastAsia" w:ascii="宋体" w:hAnsi="宋体"/>
          <w:bCs/>
          <w:color w:val="000000" w:themeColor="text1"/>
          <w:szCs w:val="21"/>
          <w:highlight w:val="none"/>
          <w14:textFill>
            <w14:solidFill>
              <w14:schemeClr w14:val="tx1"/>
            </w14:solidFill>
          </w14:textFill>
        </w:rPr>
        <w:t>。</w:t>
      </w:r>
    </w:p>
    <w:p w14:paraId="4075910C">
      <w:pPr>
        <w:pStyle w:val="5"/>
        <w:spacing w:line="360" w:lineRule="auto"/>
        <w:rPr>
          <w:rFonts w:ascii="宋体" w:hAnsi="宋体"/>
          <w:color w:val="000000" w:themeColor="text1"/>
          <w:sz w:val="21"/>
          <w:szCs w:val="21"/>
          <w:highlight w:val="none"/>
          <w14:textFill>
            <w14:solidFill>
              <w14:schemeClr w14:val="tx1"/>
            </w14:solidFill>
          </w14:textFill>
        </w:rPr>
      </w:pPr>
      <w:bookmarkStart w:id="95" w:name="_Toc14139"/>
      <w:bookmarkStart w:id="96" w:name="_Toc367780306"/>
      <w:r>
        <w:rPr>
          <w:rFonts w:ascii="宋体" w:hAnsi="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合格的供应商</w:t>
      </w:r>
      <w:bookmarkEnd w:id="95"/>
      <w:bookmarkEnd w:id="96"/>
    </w:p>
    <w:p w14:paraId="354E2ED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凡具有供应能力，符合并承认和履行本谈判文件中各项规定者为合格的供应商。</w:t>
      </w:r>
    </w:p>
    <w:p w14:paraId="7293F0F9">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供应商必须遵守国家有关规定和其他相关的法律、法规、规章、条例及谈判文件中的规定。</w:t>
      </w:r>
    </w:p>
    <w:p w14:paraId="006E2FA8">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3.3    </w:t>
      </w:r>
      <w:r>
        <w:rPr>
          <w:rFonts w:ascii="宋体" w:hAnsi="宋体"/>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p>
    <w:p w14:paraId="604FEC4B">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3.4     </w:t>
      </w:r>
      <w:r>
        <w:rPr>
          <w:rFonts w:ascii="宋体" w:hAnsi="宋体"/>
          <w:bCs/>
          <w:color w:val="000000" w:themeColor="text1"/>
          <w:szCs w:val="21"/>
          <w:highlight w:val="none"/>
          <w14:textFill>
            <w14:solidFill>
              <w14:schemeClr w14:val="tx1"/>
            </w14:solidFill>
          </w14:textFill>
        </w:rPr>
        <w:t>除单一来源采购项目外，为采购项目提供整体设计、规范编制或者项目管理、监理、检测等服务的供应商，不得再参加该政府采购项目的采购活动。</w:t>
      </w:r>
    </w:p>
    <w:p w14:paraId="2AB83182">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3.5    </w:t>
      </w:r>
      <w:r>
        <w:rPr>
          <w:rFonts w:ascii="宋体" w:hAnsi="宋体"/>
          <w:bCs/>
          <w:color w:val="000000" w:themeColor="text1"/>
          <w:szCs w:val="21"/>
          <w:highlight w:val="none"/>
          <w14:textFill>
            <w14:solidFill>
              <w14:schemeClr w14:val="tx1"/>
            </w14:solidFill>
          </w14:textFill>
        </w:rPr>
        <w:t>联合体各方不得再单独参加或者与其他供应商另外组成联合体参加同一合同项下的政府采购活动。</w:t>
      </w:r>
    </w:p>
    <w:p w14:paraId="27AA42B0">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3.6    </w:t>
      </w:r>
      <w:r>
        <w:rPr>
          <w:rFonts w:ascii="宋体" w:hAnsi="宋体"/>
          <w:bCs/>
          <w:color w:val="000000" w:themeColor="text1"/>
          <w:szCs w:val="21"/>
          <w:highlight w:val="none"/>
          <w14:textFill>
            <w14:solidFill>
              <w14:schemeClr w14:val="tx1"/>
            </w14:solidFill>
          </w14:textFill>
        </w:rPr>
        <w:t>专门面向中小微企业采购的项目，只能由中小企业或微型企业参加。</w:t>
      </w:r>
    </w:p>
    <w:p w14:paraId="69D22E94">
      <w:pPr>
        <w:pStyle w:val="5"/>
        <w:spacing w:line="360" w:lineRule="auto"/>
        <w:rPr>
          <w:rFonts w:ascii="宋体" w:hAnsi="宋体"/>
          <w:color w:val="000000" w:themeColor="text1"/>
          <w:sz w:val="21"/>
          <w:szCs w:val="21"/>
          <w:highlight w:val="none"/>
          <w14:textFill>
            <w14:solidFill>
              <w14:schemeClr w14:val="tx1"/>
            </w14:solidFill>
          </w14:textFill>
        </w:rPr>
      </w:pPr>
      <w:bookmarkStart w:id="97" w:name="_Toc2271"/>
      <w:bookmarkStart w:id="98" w:name="_Toc367780307"/>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谈判费用</w:t>
      </w:r>
      <w:bookmarkEnd w:id="97"/>
      <w:bookmarkEnd w:id="98"/>
    </w:p>
    <w:p w14:paraId="069F6A9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4.1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自行承担所有与准备和参加谈判有关的费用。无论谈判结果如何，响应谈判的投标供应商自行承担参与本项目投标有关的所有费用，代理采购机构和采购人均无义务和责任承担这些费用。供应商所提供的谈判文件等在接收谈判文件截止时间后概不退回。</w:t>
      </w:r>
    </w:p>
    <w:p w14:paraId="58DD1A78">
      <w:pPr>
        <w:pStyle w:val="4"/>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99" w:name="_Toc32475"/>
      <w:bookmarkStart w:id="100" w:name="_Toc367780308"/>
      <w:r>
        <w:rPr>
          <w:rFonts w:hint="eastAsia" w:ascii="宋体" w:hAnsi="宋体" w:eastAsia="宋体"/>
          <w:color w:val="000000" w:themeColor="text1"/>
          <w:sz w:val="21"/>
          <w:szCs w:val="21"/>
          <w:highlight w:val="none"/>
          <w14:textFill>
            <w14:solidFill>
              <w14:schemeClr w14:val="tx1"/>
            </w14:solidFill>
          </w14:textFill>
        </w:rPr>
        <w:t>Ｂ谈判文件说明</w:t>
      </w:r>
      <w:bookmarkEnd w:id="99"/>
      <w:bookmarkEnd w:id="100"/>
    </w:p>
    <w:p w14:paraId="5AE6BA64">
      <w:pPr>
        <w:pStyle w:val="5"/>
        <w:spacing w:line="360" w:lineRule="auto"/>
        <w:rPr>
          <w:rFonts w:ascii="宋体" w:hAnsi="宋体"/>
          <w:color w:val="000000" w:themeColor="text1"/>
          <w:sz w:val="21"/>
          <w:szCs w:val="21"/>
          <w:highlight w:val="none"/>
          <w14:textFill>
            <w14:solidFill>
              <w14:schemeClr w14:val="tx1"/>
            </w14:solidFill>
          </w14:textFill>
        </w:rPr>
      </w:pPr>
      <w:bookmarkStart w:id="101" w:name="_Toc367780309"/>
      <w:bookmarkStart w:id="102" w:name="_Toc11742"/>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谈判文件的构成</w:t>
      </w:r>
      <w:bookmarkEnd w:id="101"/>
      <w:bookmarkEnd w:id="102"/>
    </w:p>
    <w:p w14:paraId="36E7373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5.1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谈判文件用以阐明所需货物及服务、谈判程序、合同条款及相关附件。谈判文件由下述部分组成：</w:t>
      </w:r>
    </w:p>
    <w:p w14:paraId="5DB6E5AF">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第一部分  竞争性谈判邀请函</w:t>
      </w:r>
    </w:p>
    <w:p w14:paraId="0BDC4490">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第二部分  采购项目内容</w:t>
      </w:r>
    </w:p>
    <w:p w14:paraId="1D315B7E">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第三部分  报价须知</w:t>
      </w:r>
    </w:p>
    <w:p w14:paraId="52B38D71">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第四部分  合同书格式（参考范本）</w:t>
      </w:r>
    </w:p>
    <w:p w14:paraId="1EDA0A67">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第五部分  谈判文件格式</w:t>
      </w:r>
    </w:p>
    <w:p w14:paraId="65AAB31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5.2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谈判文件以中文编印。</w:t>
      </w:r>
    </w:p>
    <w:p w14:paraId="143710FC">
      <w:pPr>
        <w:pStyle w:val="5"/>
        <w:spacing w:line="360" w:lineRule="auto"/>
        <w:rPr>
          <w:rFonts w:ascii="宋体" w:hAnsi="宋体"/>
          <w:color w:val="000000" w:themeColor="text1"/>
          <w:sz w:val="21"/>
          <w:szCs w:val="21"/>
          <w:highlight w:val="none"/>
          <w14:textFill>
            <w14:solidFill>
              <w14:schemeClr w14:val="tx1"/>
            </w14:solidFill>
          </w14:textFill>
        </w:rPr>
      </w:pPr>
      <w:bookmarkStart w:id="103" w:name="_Toc14561"/>
      <w:bookmarkStart w:id="104" w:name="_Toc367780310"/>
      <w:r>
        <w:rPr>
          <w:rFonts w:ascii="宋体" w:hAnsi="宋体"/>
          <w:color w:val="000000" w:themeColor="text1"/>
          <w:sz w:val="21"/>
          <w:szCs w:val="21"/>
          <w:highlight w:val="none"/>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谈判文件的澄清</w:t>
      </w:r>
      <w:bookmarkEnd w:id="103"/>
      <w:bookmarkEnd w:id="104"/>
    </w:p>
    <w:p w14:paraId="7299C62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6.1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澄清是指代理采购机构对谈判文件中的遗漏、词义表述不清或对比较复杂的事项进行说明，回答供应商提出的各种问题。</w:t>
      </w:r>
    </w:p>
    <w:p w14:paraId="53BF4625">
      <w:pPr>
        <w:widowControl/>
        <w:numPr>
          <w:ilvl w:val="1"/>
          <w:numId w:val="8"/>
        </w:numPr>
        <w:tabs>
          <w:tab w:val="left" w:pos="753"/>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对谈判文件如有疑点，可要求澄清。供应商应在投标截止日三（3）个日历日前按竞争性谈判邀请书中载明的地址以书面形式（包括信函、传真、电子邮件等，下同）通知到代理采购机构。代理采购机构将视情况确定采用适当方式予以澄清，或以书面形式予以答复，并在其认为必要时，将不标明查询来源的书面答复发给已购买谈判文件的每一供应商，供应商在收到通知后应立即以传真或其他书面形式予以确认收到。</w:t>
      </w:r>
    </w:p>
    <w:p w14:paraId="112632EE">
      <w:pPr>
        <w:widowControl/>
        <w:numPr>
          <w:ilvl w:val="1"/>
          <w:numId w:val="8"/>
        </w:numPr>
        <w:tabs>
          <w:tab w:val="left" w:pos="753"/>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代理采购机构对澄清要求的书面答复是谈判文件的组成部分。</w:t>
      </w:r>
    </w:p>
    <w:p w14:paraId="57E12B28">
      <w:pPr>
        <w:pStyle w:val="5"/>
        <w:spacing w:line="360" w:lineRule="auto"/>
        <w:rPr>
          <w:rFonts w:ascii="宋体" w:hAnsi="宋体"/>
          <w:color w:val="000000" w:themeColor="text1"/>
          <w:sz w:val="21"/>
          <w:szCs w:val="21"/>
          <w:highlight w:val="none"/>
          <w14:textFill>
            <w14:solidFill>
              <w14:schemeClr w14:val="tx1"/>
            </w14:solidFill>
          </w14:textFill>
        </w:rPr>
      </w:pPr>
      <w:bookmarkStart w:id="105" w:name="_Toc11998"/>
      <w:bookmarkStart w:id="106" w:name="_Toc367780311"/>
      <w:r>
        <w:rPr>
          <w:rFonts w:ascii="宋体" w:hAnsi="宋体"/>
          <w:color w:val="000000" w:themeColor="text1"/>
          <w:sz w:val="21"/>
          <w:szCs w:val="21"/>
          <w:highlight w:val="none"/>
          <w14:textFill>
            <w14:solidFill>
              <w14:schemeClr w14:val="tx1"/>
            </w14:solidFill>
          </w14:textFill>
        </w:rPr>
        <w:t>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谈判文件的修改</w:t>
      </w:r>
      <w:bookmarkEnd w:id="105"/>
      <w:bookmarkEnd w:id="106"/>
    </w:p>
    <w:p w14:paraId="4AC7AE78">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7.1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在谈判截止日期前，代理采购机构可主动地或依据供应商要求澄清的问题而修改谈判文件，并以书面形式通知已购买谈判文件的每一供应商，供应商在收到该通知后应立即以传真或其他书面形式予以确认。</w:t>
      </w:r>
    </w:p>
    <w:p w14:paraId="50E10D0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7.2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为使供应商在准备谈判文件时有合理的时间考虑谈判文件的修改，代理采购机构可酌情推迟谈判时间，并以书面形式通知已购买谈判文件的每一供应商。</w:t>
      </w:r>
    </w:p>
    <w:p w14:paraId="5197C4D7">
      <w:pPr>
        <w:widowControl/>
        <w:numPr>
          <w:ilvl w:val="1"/>
          <w:numId w:val="9"/>
        </w:numPr>
        <w:tabs>
          <w:tab w:val="left" w:pos="753"/>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谈判文件的修改书将构成谈判文件的一部分，对供应商有约束力。</w:t>
      </w:r>
    </w:p>
    <w:p w14:paraId="161D5209">
      <w:pPr>
        <w:pStyle w:val="4"/>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07" w:name="_Toc10822"/>
      <w:bookmarkStart w:id="108" w:name="_Toc367780312"/>
      <w:r>
        <w:rPr>
          <w:rFonts w:hint="eastAsia" w:ascii="宋体" w:hAnsi="宋体" w:eastAsia="宋体"/>
          <w:color w:val="000000" w:themeColor="text1"/>
          <w:sz w:val="21"/>
          <w:szCs w:val="21"/>
          <w:highlight w:val="none"/>
          <w14:textFill>
            <w14:solidFill>
              <w14:schemeClr w14:val="tx1"/>
            </w14:solidFill>
          </w14:textFill>
        </w:rPr>
        <w:t>Ｃ谈判文件的编制</w:t>
      </w:r>
      <w:bookmarkEnd w:id="107"/>
      <w:bookmarkEnd w:id="108"/>
    </w:p>
    <w:p w14:paraId="29AD217C">
      <w:pPr>
        <w:pStyle w:val="5"/>
        <w:spacing w:line="360" w:lineRule="auto"/>
        <w:rPr>
          <w:rFonts w:ascii="宋体" w:hAnsi="宋体"/>
          <w:color w:val="000000" w:themeColor="text1"/>
          <w:sz w:val="21"/>
          <w:szCs w:val="21"/>
          <w:highlight w:val="none"/>
          <w14:textFill>
            <w14:solidFill>
              <w14:schemeClr w14:val="tx1"/>
            </w14:solidFill>
          </w14:textFill>
        </w:rPr>
      </w:pPr>
      <w:bookmarkStart w:id="109" w:name="_Toc30885"/>
      <w:bookmarkStart w:id="110" w:name="_Toc367780313"/>
      <w:r>
        <w:rPr>
          <w:rFonts w:hint="eastAsia" w:ascii="宋体" w:hAnsi="宋体"/>
          <w:color w:val="000000" w:themeColor="text1"/>
          <w:sz w:val="21"/>
          <w:szCs w:val="21"/>
          <w:highlight w:val="none"/>
          <w14:textFill>
            <w14:solidFill>
              <w14:schemeClr w14:val="tx1"/>
            </w14:solidFill>
          </w14:textFill>
        </w:rPr>
        <w:t>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要求</w:t>
      </w:r>
      <w:bookmarkEnd w:id="109"/>
      <w:bookmarkEnd w:id="110"/>
    </w:p>
    <w:p w14:paraId="28C9EBC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8.1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供应商应仔细阅读谈判文件的所有内容，按谈判文件的要求编制谈判文件，并保证所提供的全部资料的真实性，以使其投标对谈判文件提出的要求和条件做出实质性响应，否则，其投标将被拒绝。</w:t>
      </w:r>
    </w:p>
    <w:p w14:paraId="5408BFA8">
      <w:pPr>
        <w:pStyle w:val="5"/>
        <w:spacing w:line="360" w:lineRule="auto"/>
        <w:rPr>
          <w:rFonts w:ascii="宋体" w:hAnsi="宋体"/>
          <w:color w:val="000000" w:themeColor="text1"/>
          <w:sz w:val="21"/>
          <w:szCs w:val="21"/>
          <w:highlight w:val="none"/>
          <w14:textFill>
            <w14:solidFill>
              <w14:schemeClr w14:val="tx1"/>
            </w14:solidFill>
          </w14:textFill>
        </w:rPr>
      </w:pPr>
      <w:bookmarkStart w:id="111" w:name="_Toc442"/>
      <w:bookmarkStart w:id="112" w:name="_Toc367780314"/>
      <w:r>
        <w:rPr>
          <w:rFonts w:ascii="宋体" w:hAnsi="宋体"/>
          <w:color w:val="000000" w:themeColor="text1"/>
          <w:sz w:val="21"/>
          <w:szCs w:val="21"/>
          <w:highlight w:val="none"/>
          <w14:textFill>
            <w14:solidFill>
              <w14:schemeClr w14:val="tx1"/>
            </w14:solidFill>
          </w14:textFill>
        </w:rPr>
        <w:t>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投标语言及计量单位</w:t>
      </w:r>
      <w:bookmarkEnd w:id="111"/>
      <w:bookmarkEnd w:id="112"/>
    </w:p>
    <w:p w14:paraId="248E9E2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9.1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供应商提交的谈判文件（包括资格证明文件）以及供应商与代理采购机构就有关谈判的所有往来函电均应使用中文。供应商可以提交用其它语言打印的资料，但有关段落必须译成中文。</w:t>
      </w:r>
    </w:p>
    <w:p w14:paraId="28C3036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9.2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除在谈判文件的技术规格中另有规定外，计量单位应使用中华人民共和国法定计量单位（国际单位制和国家选定的其他计量单位）。</w:t>
      </w:r>
    </w:p>
    <w:p w14:paraId="28908234">
      <w:pPr>
        <w:pStyle w:val="5"/>
        <w:spacing w:line="360" w:lineRule="auto"/>
        <w:rPr>
          <w:rFonts w:ascii="宋体" w:hAnsi="宋体"/>
          <w:color w:val="000000" w:themeColor="text1"/>
          <w:sz w:val="21"/>
          <w:szCs w:val="21"/>
          <w:highlight w:val="none"/>
          <w14:textFill>
            <w14:solidFill>
              <w14:schemeClr w14:val="tx1"/>
            </w14:solidFill>
          </w14:textFill>
        </w:rPr>
      </w:pPr>
      <w:bookmarkStart w:id="113" w:name="_Toc10261"/>
      <w:bookmarkStart w:id="114" w:name="_Toc367780315"/>
      <w:r>
        <w:rPr>
          <w:rFonts w:ascii="宋体" w:hAnsi="宋体"/>
          <w:color w:val="000000" w:themeColor="text1"/>
          <w:sz w:val="21"/>
          <w:szCs w:val="21"/>
          <w:highlight w:val="none"/>
          <w14:textFill>
            <w14:solidFill>
              <w14:schemeClr w14:val="tx1"/>
            </w14:solidFill>
          </w14:textFill>
        </w:rPr>
        <w:t>10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谈判文件的构成</w:t>
      </w:r>
      <w:bookmarkEnd w:id="113"/>
      <w:bookmarkEnd w:id="114"/>
    </w:p>
    <w:p w14:paraId="4874745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10.1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谈判文件包括：</w:t>
      </w:r>
    </w:p>
    <w:p w14:paraId="6A345579">
      <w:pPr>
        <w:widowControl/>
        <w:numPr>
          <w:ilvl w:val="0"/>
          <w:numId w:val="10"/>
        </w:numPr>
        <w:adjustRightInd w:val="0"/>
        <w:snapToGrid w:val="0"/>
        <w:spacing w:line="360" w:lineRule="auto"/>
        <w:ind w:left="0"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资格审查文件（含附件）</w:t>
      </w:r>
    </w:p>
    <w:p w14:paraId="6F28CCC2">
      <w:pPr>
        <w:widowControl/>
        <w:numPr>
          <w:ilvl w:val="0"/>
          <w:numId w:val="10"/>
        </w:numPr>
        <w:adjustRightInd w:val="0"/>
        <w:snapToGrid w:val="0"/>
        <w:spacing w:line="360" w:lineRule="auto"/>
        <w:ind w:left="0"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谈判响应文件商务及技术部分</w:t>
      </w:r>
    </w:p>
    <w:p w14:paraId="182EE279">
      <w:pPr>
        <w:widowControl/>
        <w:adjustRightInd w:val="0"/>
        <w:snapToGrid w:val="0"/>
        <w:spacing w:line="360" w:lineRule="auto"/>
        <w:ind w:left="565" w:leftChars="269" w:firstLine="315" w:firstLineChars="15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上述文件及表格为供应商必须提交的文件，各供应商可以根据实际情况增加内容，但不得擅自减少有关内容。</w:t>
      </w:r>
    </w:p>
    <w:p w14:paraId="3D84FFE2">
      <w:pPr>
        <w:pStyle w:val="5"/>
        <w:spacing w:line="360" w:lineRule="auto"/>
        <w:rPr>
          <w:rFonts w:ascii="宋体" w:hAnsi="宋体"/>
          <w:color w:val="000000" w:themeColor="text1"/>
          <w:sz w:val="21"/>
          <w:szCs w:val="21"/>
          <w:highlight w:val="none"/>
          <w14:textFill>
            <w14:solidFill>
              <w14:schemeClr w14:val="tx1"/>
            </w14:solidFill>
          </w14:textFill>
        </w:rPr>
      </w:pPr>
      <w:bookmarkStart w:id="115" w:name="_Toc367780316"/>
      <w:bookmarkStart w:id="116" w:name="_Toc21923"/>
      <w:r>
        <w:rPr>
          <w:rFonts w:ascii="宋体" w:hAnsi="宋体"/>
          <w:color w:val="000000" w:themeColor="text1"/>
          <w:sz w:val="21"/>
          <w:szCs w:val="21"/>
          <w:highlight w:val="none"/>
          <w14:textFill>
            <w14:solidFill>
              <w14:schemeClr w14:val="tx1"/>
            </w14:solidFill>
          </w14:textFill>
        </w:rPr>
        <w:t>11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谈判响应文件格式</w:t>
      </w:r>
      <w:bookmarkEnd w:id="115"/>
      <w:bookmarkEnd w:id="116"/>
    </w:p>
    <w:p w14:paraId="42EC3B7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11.1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供应商应按照谈判文件中提供的谈判响应文件格式编制谈判响应文件（详见第五部分）。</w:t>
      </w:r>
    </w:p>
    <w:p w14:paraId="67100D9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11.2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供应商应完整地填写谈判文件提供的各种表格，若谈判为工程类或服务类项目的，谈判响应文件中涉及货物的技术参数等可不填写。</w:t>
      </w:r>
    </w:p>
    <w:p w14:paraId="21DB99BD">
      <w:pPr>
        <w:pStyle w:val="5"/>
        <w:spacing w:line="360" w:lineRule="auto"/>
        <w:rPr>
          <w:rFonts w:ascii="宋体" w:hAnsi="宋体"/>
          <w:color w:val="000000" w:themeColor="text1"/>
          <w:sz w:val="21"/>
          <w:szCs w:val="21"/>
          <w:highlight w:val="none"/>
          <w14:textFill>
            <w14:solidFill>
              <w14:schemeClr w14:val="tx1"/>
            </w14:solidFill>
          </w14:textFill>
        </w:rPr>
      </w:pPr>
      <w:bookmarkStart w:id="117" w:name="_Toc367780317"/>
      <w:bookmarkStart w:id="118" w:name="_Toc31433"/>
      <w:r>
        <w:rPr>
          <w:rFonts w:hint="eastAsia" w:ascii="宋体" w:hAnsi="宋体"/>
          <w:color w:val="000000" w:themeColor="text1"/>
          <w:sz w:val="21"/>
          <w:szCs w:val="21"/>
          <w:highlight w:val="none"/>
          <w14:textFill>
            <w14:solidFill>
              <w14:schemeClr w14:val="tx1"/>
            </w14:solidFill>
          </w14:textFill>
        </w:rPr>
        <w:t>12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资格证明文件</w:t>
      </w:r>
      <w:bookmarkEnd w:id="117"/>
      <w:bookmarkEnd w:id="118"/>
    </w:p>
    <w:p w14:paraId="03AEFFAA">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12.1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供应商应当提供的资格证明文件包括:</w:t>
      </w:r>
    </w:p>
    <w:p w14:paraId="7C079460">
      <w:pPr>
        <w:tabs>
          <w:tab w:val="left" w:pos="753"/>
          <w:tab w:val="left" w:pos="1113"/>
        </w:tabs>
        <w:adjustRightInd w:val="0"/>
        <w:snapToGrid w:val="0"/>
        <w:spacing w:line="360" w:lineRule="auto"/>
        <w:ind w:left="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1)营业执照副本复印件（加盖公章）；</w:t>
      </w:r>
    </w:p>
    <w:p w14:paraId="5EDDA0F5">
      <w:pPr>
        <w:tabs>
          <w:tab w:val="left" w:pos="753"/>
          <w:tab w:val="left" w:pos="1113"/>
        </w:tabs>
        <w:adjustRightInd w:val="0"/>
        <w:snapToGrid w:val="0"/>
        <w:spacing w:line="360" w:lineRule="auto"/>
        <w:ind w:left="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2)如果项目有特殊要求，供应商还应当提供商务要求中列明的其他资格证明文件。</w:t>
      </w:r>
    </w:p>
    <w:p w14:paraId="064A4B0A">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12.2   供应商提交的资格证明文件应能够证明其有资格参加谈判，并说明被确定为成交供应商后的合同履行能力：</w:t>
      </w:r>
    </w:p>
    <w:p w14:paraId="1C68453F">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1)供应商满足谈判文件商务要求中列出的资格要求；</w:t>
      </w:r>
    </w:p>
    <w:p w14:paraId="57327BB4">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2)供应商已具备履行合同所需的财务、技术和服务能力；</w:t>
      </w:r>
    </w:p>
    <w:p w14:paraId="7AB9B4E4">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3)供应商有能力按谈判文件中合同条款和技术要求所规定履行的由卖方应履行的义务。</w:t>
      </w:r>
    </w:p>
    <w:p w14:paraId="30FCE49C">
      <w:pPr>
        <w:numPr>
          <w:ilvl w:val="1"/>
          <w:numId w:val="11"/>
        </w:numPr>
        <w:adjustRightInd w:val="0"/>
        <w:snapToGrid w:val="0"/>
        <w:spacing w:line="360" w:lineRule="auto"/>
        <w:ind w:left="709" w:hanging="709"/>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供应商提交的资格证明文件不齐全，由此造成的谈判被拒绝的后果由供应商自负。</w:t>
      </w:r>
    </w:p>
    <w:p w14:paraId="7E815E42">
      <w:pPr>
        <w:numPr>
          <w:ilvl w:val="1"/>
          <w:numId w:val="11"/>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供应商对所提供的资格证明文件的真实性负全部责任。即使供应商提交的资格证明文件通过了</w:t>
      </w:r>
    </w:p>
    <w:p w14:paraId="779852E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审核，在谈判过程中乃至定标后，如发现供应商所提供的资格证明文件不合法或不真实，代理</w:t>
      </w:r>
    </w:p>
    <w:p w14:paraId="13F58D8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采购机构仍可追究供应商的法律责任。</w:t>
      </w:r>
    </w:p>
    <w:p w14:paraId="2CF949BA">
      <w:pPr>
        <w:numPr>
          <w:ilvl w:val="1"/>
          <w:numId w:val="11"/>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如果供应商为联合体，则联合体各方应分别提交资格文件，并提供联合体协议书，以一个供应</w:t>
      </w:r>
    </w:p>
    <w:p w14:paraId="5745E8F2">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商的身份参加谈判。联合体协议须明确各方的权利与义务。由同一专业的单位组成的联合体，</w:t>
      </w:r>
    </w:p>
    <w:p w14:paraId="50E9160C">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按照资质等级较低的单位确定资质等级。联合体成交的联合体各方应当共同与采购人签订合同，</w:t>
      </w:r>
    </w:p>
    <w:p w14:paraId="383D1B0B">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就成交项目向采购人承担共同责任。</w:t>
      </w:r>
    </w:p>
    <w:p w14:paraId="4F14FB78">
      <w:pPr>
        <w:pStyle w:val="5"/>
        <w:spacing w:line="360" w:lineRule="auto"/>
        <w:rPr>
          <w:rFonts w:ascii="宋体" w:hAnsi="宋体"/>
          <w:color w:val="000000" w:themeColor="text1"/>
          <w:sz w:val="21"/>
          <w:szCs w:val="21"/>
          <w:highlight w:val="none"/>
          <w14:textFill>
            <w14:solidFill>
              <w14:schemeClr w14:val="tx1"/>
            </w14:solidFill>
          </w14:textFill>
        </w:rPr>
      </w:pPr>
      <w:bookmarkStart w:id="119" w:name="_Toc367780318"/>
      <w:bookmarkStart w:id="120" w:name="_Toc4824"/>
      <w:r>
        <w:rPr>
          <w:rFonts w:hint="eastAsia" w:ascii="宋体" w:hAnsi="宋体"/>
          <w:color w:val="000000" w:themeColor="text1"/>
          <w:sz w:val="21"/>
          <w:szCs w:val="21"/>
          <w:highlight w:val="none"/>
          <w14:textFill>
            <w14:solidFill>
              <w14:schemeClr w14:val="tx1"/>
            </w14:solidFill>
          </w14:textFill>
        </w:rPr>
        <w:t>13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货物和服务的证明文件</w:t>
      </w:r>
      <w:bookmarkEnd w:id="119"/>
      <w:bookmarkEnd w:id="120"/>
    </w:p>
    <w:p w14:paraId="5DE256A9">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供应商应提交其拟供的合同项下的货物和服务的合格性符合谈判文件规定的证明文件，并作为其谈判文件的一部分。</w:t>
      </w:r>
    </w:p>
    <w:p w14:paraId="5671F2C1">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货物合格性的证明文件包括但不限于授权代理证书、装运货物时出具的运输单据或发票等文件。</w:t>
      </w:r>
    </w:p>
    <w:p w14:paraId="69E1556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供应商提交的货物和服务的证明审核通过后，将成为谈判的重要依据。如供应商提交的证明文件不齐全、不真实、不合法，其将承担被拒绝参加谈判的风险。</w:t>
      </w:r>
    </w:p>
    <w:p w14:paraId="37CC201E">
      <w:pPr>
        <w:pStyle w:val="5"/>
        <w:spacing w:line="360" w:lineRule="auto"/>
        <w:rPr>
          <w:rFonts w:ascii="宋体" w:hAnsi="宋体"/>
          <w:color w:val="000000" w:themeColor="text1"/>
          <w:sz w:val="21"/>
          <w:szCs w:val="21"/>
          <w:highlight w:val="none"/>
          <w14:textFill>
            <w14:solidFill>
              <w14:schemeClr w14:val="tx1"/>
            </w14:solidFill>
          </w14:textFill>
        </w:rPr>
      </w:pPr>
      <w:bookmarkStart w:id="121" w:name="_Toc16725"/>
      <w:bookmarkStart w:id="122" w:name="_Toc367780319"/>
      <w:r>
        <w:rPr>
          <w:rFonts w:ascii="宋体" w:hAnsi="宋体"/>
          <w:color w:val="000000" w:themeColor="text1"/>
          <w:sz w:val="21"/>
          <w:szCs w:val="21"/>
          <w:highlight w:val="none"/>
          <w14:textFill>
            <w14:solidFill>
              <w14:schemeClr w14:val="tx1"/>
            </w14:solidFill>
          </w14:textFill>
        </w:rPr>
        <w:t>14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投报价格与报价货币</w:t>
      </w:r>
      <w:bookmarkEnd w:id="121"/>
      <w:bookmarkEnd w:id="122"/>
    </w:p>
    <w:p w14:paraId="2FBECE68">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投报价格应按谈判文件第一次报价一览表和最终报价表（谈判时提供）格式填写报价清单。</w:t>
      </w:r>
    </w:p>
    <w:p w14:paraId="57EE3988">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w:t>
      </w:r>
      <w:r>
        <w:rPr>
          <w:rFonts w:hint="eastAsia" w:ascii="宋体" w:hAnsi="宋体"/>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供应商所报总价</w:t>
      </w:r>
      <w:r>
        <w:rPr>
          <w:rFonts w:hint="eastAsia" w:ascii="宋体" w:hAnsi="宋体"/>
          <w:color w:val="000000" w:themeColor="text1"/>
          <w:szCs w:val="21"/>
          <w:highlight w:val="none"/>
          <w14:textFill>
            <w14:solidFill>
              <w14:schemeClr w14:val="tx1"/>
            </w14:solidFill>
          </w14:textFill>
        </w:rPr>
        <w:t>应为包括</w:t>
      </w:r>
      <w:r>
        <w:rPr>
          <w:rFonts w:hint="eastAsia" w:ascii="宋体" w:hAnsi="宋体" w:cs="Tahoma"/>
          <w:bCs/>
          <w:color w:val="000000" w:themeColor="text1"/>
          <w:szCs w:val="21"/>
          <w:highlight w:val="none"/>
          <w14:textFill>
            <w14:solidFill>
              <w14:schemeClr w14:val="tx1"/>
            </w14:solidFill>
          </w14:textFill>
        </w:rPr>
        <w:t>完成该项目发生的全部费用（包含高温补贴、岗位津贴、非正常工作时间工资等费用），合同期间内采购人不再另行支付任何费用。</w:t>
      </w:r>
    </w:p>
    <w:p w14:paraId="775DD9E0">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报价的评审以最终报价为准；若大写和小写表示的金额之间有差异，则以大写金额为准，并对小写金额作相应的修正。</w:t>
      </w:r>
    </w:p>
    <w:p w14:paraId="499677D2">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14.4   </w:t>
      </w:r>
      <w:r>
        <w:rPr>
          <w:rFonts w:hint="eastAsia" w:ascii="宋体" w:hAnsi="宋体"/>
          <w:bCs/>
          <w:color w:val="000000" w:themeColor="text1"/>
          <w:szCs w:val="21"/>
          <w:highlight w:val="none"/>
          <w14:textFill>
            <w14:solidFill>
              <w14:schemeClr w14:val="tx1"/>
            </w14:solidFill>
          </w14:textFill>
        </w:rPr>
        <w:t>投报价格一律用人民币填报。</w:t>
      </w:r>
    </w:p>
    <w:p w14:paraId="7A276E1E">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14.5   供应商在谈判响应文件中如有任何遗漏，影响到谈判响应文件中规定的范围、质量、性能或限制了采购人的权利和供应商的义务，由此产生的费用由供应商负责。</w:t>
      </w:r>
    </w:p>
    <w:p w14:paraId="52C2AA5F">
      <w:pPr>
        <w:pStyle w:val="5"/>
        <w:spacing w:line="360" w:lineRule="auto"/>
        <w:rPr>
          <w:rFonts w:ascii="宋体" w:hAnsi="宋体"/>
          <w:color w:val="000000" w:themeColor="text1"/>
          <w:sz w:val="21"/>
          <w:szCs w:val="21"/>
          <w:highlight w:val="none"/>
          <w14:textFill>
            <w14:solidFill>
              <w14:schemeClr w14:val="tx1"/>
            </w14:solidFill>
          </w14:textFill>
        </w:rPr>
      </w:pPr>
      <w:bookmarkStart w:id="123" w:name="_Toc27213"/>
      <w:bookmarkStart w:id="124" w:name="_Toc367780320"/>
      <w:r>
        <w:rPr>
          <w:rFonts w:ascii="宋体" w:hAnsi="宋体"/>
          <w:color w:val="000000" w:themeColor="text1"/>
          <w:sz w:val="21"/>
          <w:szCs w:val="21"/>
          <w:highlight w:val="none"/>
          <w14:textFill>
            <w14:solidFill>
              <w14:schemeClr w14:val="tx1"/>
            </w14:solidFill>
          </w14:textFill>
        </w:rPr>
        <w:t>15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谈判保证金</w:t>
      </w:r>
      <w:bookmarkEnd w:id="123"/>
      <w:bookmarkEnd w:id="124"/>
    </w:p>
    <w:p w14:paraId="37DC5BA3">
      <w:pPr>
        <w:widowControl/>
        <w:numPr>
          <w:ilvl w:val="1"/>
          <w:numId w:val="12"/>
        </w:numPr>
        <w:tabs>
          <w:tab w:val="left" w:pos="753"/>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谈判保证金为谈判响应文件的重要组成部分之一。</w:t>
      </w:r>
    </w:p>
    <w:p w14:paraId="200107E1">
      <w:pPr>
        <w:widowControl/>
        <w:numPr>
          <w:ilvl w:val="1"/>
          <w:numId w:val="12"/>
        </w:numPr>
        <w:tabs>
          <w:tab w:val="left" w:pos="753"/>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投标供应商在投标时应按照谈判文件商务要求中规定的形式和金额提交投标保证金。</w:t>
      </w:r>
    </w:p>
    <w:p w14:paraId="775CB171">
      <w:pPr>
        <w:widowControl/>
        <w:numPr>
          <w:ilvl w:val="1"/>
          <w:numId w:val="12"/>
        </w:numPr>
        <w:tabs>
          <w:tab w:val="left" w:pos="753"/>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凡未按本须知第15.2条规定提交有效谈判保证金的供应商将被拒绝参加谈判。</w:t>
      </w:r>
    </w:p>
    <w:p w14:paraId="3E9963F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未成交的供应商的谈判保证金，采购代理机构</w:t>
      </w:r>
      <w:r>
        <w:rPr>
          <w:rFonts w:hint="eastAsia" w:ascii="宋体" w:hAnsi="宋体"/>
          <w:bCs/>
          <w:color w:val="000000" w:themeColor="text1"/>
          <w:highlight w:val="none"/>
          <w14:textFill>
            <w14:solidFill>
              <w14:schemeClr w14:val="tx1"/>
            </w14:solidFill>
          </w14:textFill>
        </w:rPr>
        <w:t>应当自成交通知书发出之日起5个工作日内无息退还。</w:t>
      </w:r>
    </w:p>
    <w:p w14:paraId="06196F6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5</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成交供应商的谈判保证金</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在签订合同，缴纳采购代理服务费后</w:t>
      </w:r>
      <w:r>
        <w:rPr>
          <w:rFonts w:hint="eastAsia" w:ascii="宋体" w:hAnsi="宋体"/>
          <w:bCs/>
          <w:color w:val="000000" w:themeColor="text1"/>
          <w:highlight w:val="none"/>
          <w14:textFill>
            <w14:solidFill>
              <w14:schemeClr w14:val="tx1"/>
            </w14:solidFill>
          </w14:textFill>
        </w:rPr>
        <w:t>5个工作日内无息退</w:t>
      </w:r>
      <w:r>
        <w:rPr>
          <w:rFonts w:hint="eastAsia" w:ascii="宋体"/>
          <w:bCs/>
          <w:color w:val="000000" w:themeColor="text1"/>
          <w:highlight w:val="none"/>
          <w14:textFill>
            <w14:solidFill>
              <w14:schemeClr w14:val="tx1"/>
            </w14:solidFill>
          </w14:textFill>
        </w:rPr>
        <w:t>还。</w:t>
      </w:r>
    </w:p>
    <w:p w14:paraId="61870096">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6</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谈判保证金用于保护本次谈判免遭因供应商的行为而蒙受的损失。发生以下情况之一，谈判保证金将被没收：</w:t>
      </w:r>
    </w:p>
    <w:p w14:paraId="60997B0C">
      <w:pPr>
        <w:widowControl/>
        <w:numPr>
          <w:ilvl w:val="2"/>
          <w:numId w:val="13"/>
        </w:numPr>
        <w:tabs>
          <w:tab w:val="left" w:pos="753"/>
          <w:tab w:val="left" w:pos="1255"/>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供应商在谈判文件中规定的投标有效期内撤回其报价资料的；</w:t>
      </w:r>
    </w:p>
    <w:p w14:paraId="291EC56E">
      <w:pPr>
        <w:widowControl/>
        <w:numPr>
          <w:ilvl w:val="2"/>
          <w:numId w:val="13"/>
        </w:numPr>
        <w:tabs>
          <w:tab w:val="left" w:pos="753"/>
          <w:tab w:val="left" w:pos="1255"/>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成交供应商未能按谈判文件的有关规定交纳采购代理服务费的；</w:t>
      </w:r>
    </w:p>
    <w:p w14:paraId="55FCB1DA">
      <w:pPr>
        <w:widowControl/>
        <w:numPr>
          <w:ilvl w:val="2"/>
          <w:numId w:val="13"/>
        </w:numPr>
        <w:tabs>
          <w:tab w:val="left" w:pos="753"/>
          <w:tab w:val="left" w:pos="1255"/>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成交供应商未能按谈判文件的规定签订合同的；</w:t>
      </w:r>
    </w:p>
    <w:p w14:paraId="33CCDA9B">
      <w:pPr>
        <w:widowControl/>
        <w:numPr>
          <w:ilvl w:val="2"/>
          <w:numId w:val="13"/>
        </w:numPr>
        <w:tabs>
          <w:tab w:val="left" w:pos="753"/>
          <w:tab w:val="left" w:pos="1255"/>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成交供应商以他人名义参加谈判或者以其他方式弄虚作假，骗取成交的。</w:t>
      </w:r>
    </w:p>
    <w:p w14:paraId="4985D28F">
      <w:pPr>
        <w:pStyle w:val="5"/>
        <w:spacing w:line="360" w:lineRule="auto"/>
        <w:rPr>
          <w:rFonts w:ascii="宋体" w:hAnsi="宋体"/>
          <w:color w:val="000000" w:themeColor="text1"/>
          <w:sz w:val="21"/>
          <w:szCs w:val="21"/>
          <w:highlight w:val="none"/>
          <w14:textFill>
            <w14:solidFill>
              <w14:schemeClr w14:val="tx1"/>
            </w14:solidFill>
          </w14:textFill>
        </w:rPr>
      </w:pPr>
      <w:bookmarkStart w:id="125" w:name="_Toc367780321"/>
      <w:bookmarkStart w:id="126" w:name="_Toc18635"/>
      <w:r>
        <w:rPr>
          <w:rFonts w:ascii="宋体" w:hAnsi="宋体"/>
          <w:color w:val="000000" w:themeColor="text1"/>
          <w:sz w:val="21"/>
          <w:szCs w:val="21"/>
          <w:highlight w:val="none"/>
          <w14:textFill>
            <w14:solidFill>
              <w14:schemeClr w14:val="tx1"/>
            </w14:solidFill>
          </w14:textFill>
        </w:rPr>
        <w:t>16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谈判有效期</w:t>
      </w:r>
      <w:bookmarkEnd w:id="125"/>
      <w:bookmarkEnd w:id="126"/>
    </w:p>
    <w:p w14:paraId="331874E5">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16.1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谈判有效期应从谈判之日起计算，本项目的投标有效期为90天。</w:t>
      </w:r>
    </w:p>
    <w:p w14:paraId="58AC3819">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16.2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特殊情况下，代理采购机构可于原谈判有效期截止之前要求供应商同意延长有效期，要求与答复均应为书面形式。供应商可以拒绝上述要求而其谈判保证金不被没收。有关退还和没收谈判保证金的规定在谈判有效期的延长期内继续有效。</w:t>
      </w:r>
    </w:p>
    <w:p w14:paraId="472670BC">
      <w:pPr>
        <w:pStyle w:val="5"/>
        <w:spacing w:line="360" w:lineRule="auto"/>
        <w:rPr>
          <w:rFonts w:ascii="宋体" w:hAnsi="宋体"/>
          <w:color w:val="000000" w:themeColor="text1"/>
          <w:sz w:val="21"/>
          <w:szCs w:val="21"/>
          <w:highlight w:val="none"/>
          <w14:textFill>
            <w14:solidFill>
              <w14:schemeClr w14:val="tx1"/>
            </w14:solidFill>
          </w14:textFill>
        </w:rPr>
      </w:pPr>
      <w:bookmarkStart w:id="127" w:name="_Toc367780322"/>
      <w:bookmarkStart w:id="128" w:name="_Toc32016"/>
      <w:r>
        <w:rPr>
          <w:rFonts w:ascii="宋体" w:hAnsi="宋体"/>
          <w:color w:val="000000" w:themeColor="text1"/>
          <w:sz w:val="21"/>
          <w:szCs w:val="21"/>
          <w:highlight w:val="none"/>
          <w14:textFill>
            <w14:solidFill>
              <w14:schemeClr w14:val="tx1"/>
            </w14:solidFill>
          </w14:textFill>
        </w:rPr>
        <w:t>17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谈判响应文件的签署及规定</w:t>
      </w:r>
      <w:bookmarkEnd w:id="127"/>
      <w:bookmarkEnd w:id="128"/>
    </w:p>
    <w:p w14:paraId="2F98110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供应商应准备正本和副本，在每一份谈判响应文件上要明确标明“正本”或“副本”。如正本的内容和副本不符，以正本为准</w:t>
      </w:r>
      <w:r>
        <w:rPr>
          <w:rFonts w:hint="eastAsia" w:ascii="宋体"/>
          <w:bCs/>
          <w:color w:val="000000" w:themeColor="text1"/>
          <w:highlight w:val="none"/>
          <w14:textFill>
            <w14:solidFill>
              <w14:schemeClr w14:val="tx1"/>
            </w14:solidFill>
          </w14:textFill>
        </w:rPr>
        <w:t>（注：谈判文件副本可为正本的复印件）。</w:t>
      </w:r>
      <w:r>
        <w:rPr>
          <w:rFonts w:hint="eastAsia" w:ascii="宋体" w:hAnsi="宋体"/>
          <w:bCs/>
          <w:color w:val="000000" w:themeColor="text1"/>
          <w:highlight w:val="none"/>
          <w14:textFill>
            <w14:solidFill>
              <w14:schemeClr w14:val="tx1"/>
            </w14:solidFill>
          </w14:textFill>
        </w:rPr>
        <w:t>电子文件</w:t>
      </w:r>
      <w:r>
        <w:rPr>
          <w:rFonts w:hint="eastAsia" w:ascii="宋体" w:hAnsi="宋体"/>
          <w:color w:val="000000" w:themeColor="text1"/>
          <w:szCs w:val="21"/>
          <w:highlight w:val="none"/>
          <w14:textFill>
            <w14:solidFill>
              <w14:schemeClr w14:val="tx1"/>
            </w14:solidFill>
          </w14:textFill>
        </w:rPr>
        <w:t>只接受PDF格式的电子文件</w:t>
      </w:r>
      <w:r>
        <w:rPr>
          <w:rFonts w:hint="eastAsia"/>
          <w:color w:val="000000" w:themeColor="text1"/>
          <w:szCs w:val="21"/>
          <w:highlight w:val="none"/>
          <w14:textFill>
            <w14:solidFill>
              <w14:schemeClr w14:val="tx1"/>
            </w14:solidFill>
          </w14:textFill>
        </w:rPr>
        <w:t>（电子文件须单独密封，在封皮上注明“（公司名称）投标电子版”并加盖公章）。</w:t>
      </w:r>
    </w:p>
    <w:p w14:paraId="5316898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谈判响应文件正本和副本均须打印或用不褪色书写工具书写，并由供应商的法定代表人（负责人）或经法定代表人（负责人）正式授权并对供应商有约束力的代表签字</w:t>
      </w:r>
      <w:r>
        <w:rPr>
          <w:rFonts w:hint="eastAsia" w:ascii="宋体"/>
          <w:bCs/>
          <w:color w:val="000000" w:themeColor="text1"/>
          <w:highlight w:val="none"/>
          <w:lang w:eastAsia="zh-CN"/>
          <w14:textFill>
            <w14:solidFill>
              <w14:schemeClr w14:val="tx1"/>
            </w14:solidFill>
          </w14:textFill>
        </w:rPr>
        <w:t>，并加盖公章、骑缝章</w:t>
      </w:r>
      <w:r>
        <w:rPr>
          <w:rFonts w:hint="eastAsia" w:ascii="宋体" w:hAnsi="宋体"/>
          <w:bCs/>
          <w:color w:val="000000" w:themeColor="text1"/>
          <w:szCs w:val="21"/>
          <w:highlight w:val="none"/>
          <w14:textFill>
            <w14:solidFill>
              <w14:schemeClr w14:val="tx1"/>
            </w14:solidFill>
          </w14:textFill>
        </w:rPr>
        <w:t>。供应商须将以书面形式出具的“法定代表人（负责人）授权委托书”附在谈判响应文件中。谈判响应文件的副本亦可采用正本的复印件。</w:t>
      </w:r>
    </w:p>
    <w:p w14:paraId="0AE87C3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除供应商对差错处做必要修改外，谈判响应文件中不许有行间插字、涂改或增删，如有修改错漏处，必须由签署谈判响应文件的人签字或盖章</w:t>
      </w:r>
      <w:r>
        <w:rPr>
          <w:rFonts w:hint="eastAsia" w:ascii="宋体"/>
          <w:bCs/>
          <w:color w:val="000000" w:themeColor="text1"/>
          <w:highlight w:val="none"/>
          <w14:textFill>
            <w14:solidFill>
              <w14:schemeClr w14:val="tx1"/>
            </w14:solidFill>
          </w14:textFill>
        </w:rPr>
        <w:t>并在修改错漏处加盖公章</w:t>
      </w:r>
      <w:r>
        <w:rPr>
          <w:rFonts w:hint="eastAsia" w:ascii="宋体" w:hAnsi="宋体"/>
          <w:bCs/>
          <w:color w:val="000000" w:themeColor="text1"/>
          <w:szCs w:val="21"/>
          <w:highlight w:val="none"/>
          <w14:textFill>
            <w14:solidFill>
              <w14:schemeClr w14:val="tx1"/>
            </w14:solidFill>
          </w14:textFill>
        </w:rPr>
        <w:t>，以示负责。</w:t>
      </w:r>
    </w:p>
    <w:p w14:paraId="797479A7">
      <w:pPr>
        <w:pStyle w:val="4"/>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29" w:name="_Toc7480"/>
      <w:bookmarkStart w:id="130" w:name="_Toc367780323"/>
      <w:r>
        <w:rPr>
          <w:rFonts w:hint="eastAsia" w:ascii="宋体" w:hAnsi="宋体" w:eastAsia="宋体"/>
          <w:color w:val="000000" w:themeColor="text1"/>
          <w:sz w:val="21"/>
          <w:szCs w:val="21"/>
          <w:highlight w:val="none"/>
          <w14:textFill>
            <w14:solidFill>
              <w14:schemeClr w14:val="tx1"/>
            </w14:solidFill>
          </w14:textFill>
        </w:rPr>
        <w:t>Ｄ谈判响应文件的递交</w:t>
      </w:r>
      <w:bookmarkEnd w:id="129"/>
      <w:bookmarkEnd w:id="130"/>
    </w:p>
    <w:p w14:paraId="3C572A18">
      <w:pPr>
        <w:pStyle w:val="5"/>
        <w:spacing w:line="360" w:lineRule="auto"/>
        <w:rPr>
          <w:rFonts w:ascii="宋体" w:hAnsi="宋体"/>
          <w:color w:val="000000" w:themeColor="text1"/>
          <w:sz w:val="21"/>
          <w:szCs w:val="21"/>
          <w:highlight w:val="none"/>
          <w14:textFill>
            <w14:solidFill>
              <w14:schemeClr w14:val="tx1"/>
            </w14:solidFill>
          </w14:textFill>
        </w:rPr>
      </w:pPr>
      <w:bookmarkStart w:id="131" w:name="_Toc16711"/>
      <w:bookmarkStart w:id="132" w:name="_Toc367780324"/>
      <w:r>
        <w:rPr>
          <w:rFonts w:ascii="宋体" w:hAnsi="宋体"/>
          <w:color w:val="000000" w:themeColor="text1"/>
          <w:sz w:val="21"/>
          <w:szCs w:val="21"/>
          <w:highlight w:val="none"/>
          <w14:textFill>
            <w14:solidFill>
              <w14:schemeClr w14:val="tx1"/>
            </w14:solidFill>
          </w14:textFill>
        </w:rPr>
        <w:t>18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谈判响应文件的密封和标记</w:t>
      </w:r>
      <w:bookmarkEnd w:id="131"/>
      <w:bookmarkEnd w:id="132"/>
    </w:p>
    <w:p w14:paraId="68B60C57">
      <w:pPr>
        <w:widowControl/>
        <w:tabs>
          <w:tab w:val="left" w:pos="251"/>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ab/>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w:t>
      </w:r>
    </w:p>
    <w:p w14:paraId="5A0E37DC">
      <w:pPr>
        <w:pStyle w:val="5"/>
        <w:spacing w:line="360" w:lineRule="auto"/>
        <w:rPr>
          <w:rFonts w:ascii="宋体" w:hAnsi="宋体"/>
          <w:color w:val="000000" w:themeColor="text1"/>
          <w:sz w:val="21"/>
          <w:szCs w:val="21"/>
          <w:highlight w:val="none"/>
          <w14:textFill>
            <w14:solidFill>
              <w14:schemeClr w14:val="tx1"/>
            </w14:solidFill>
          </w14:textFill>
        </w:rPr>
      </w:pPr>
      <w:bookmarkStart w:id="133" w:name="_Toc367780325"/>
      <w:bookmarkStart w:id="134" w:name="_Toc21811"/>
      <w:r>
        <w:rPr>
          <w:rFonts w:hint="eastAsia" w:ascii="宋体" w:hAnsi="宋体"/>
          <w:color w:val="000000" w:themeColor="text1"/>
          <w:sz w:val="21"/>
          <w:szCs w:val="21"/>
          <w:highlight w:val="none"/>
          <w14:textFill>
            <w14:solidFill>
              <w14:schemeClr w14:val="tx1"/>
            </w14:solidFill>
          </w14:textFill>
        </w:rPr>
        <w:t>19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递交谈判响应文件的时间、地点及截止时间</w:t>
      </w:r>
      <w:bookmarkEnd w:id="133"/>
      <w:bookmarkEnd w:id="134"/>
    </w:p>
    <w:p w14:paraId="4B9884E5">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19.1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递交谈判响应文件的地点与谈判地点为同一地点；谈判响应文件接收截止时间与谈判开始时间为同一时间。</w:t>
      </w:r>
    </w:p>
    <w:p w14:paraId="3DC6E11F">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19.2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代理采购机构于投标截止时间前30分钟开始接收谈判响应文件，并于谈判文件规定的谈判时间和谈判地点进行谈判。提前、逾期递交或递交不符合规定的谈判响应文件恕不接受。</w:t>
      </w:r>
    </w:p>
    <w:p w14:paraId="37F5A138">
      <w:pPr>
        <w:pStyle w:val="5"/>
        <w:spacing w:line="360" w:lineRule="auto"/>
        <w:rPr>
          <w:rFonts w:ascii="宋体" w:hAnsi="宋体"/>
          <w:color w:val="000000" w:themeColor="text1"/>
          <w:sz w:val="21"/>
          <w:szCs w:val="21"/>
          <w:highlight w:val="none"/>
          <w14:textFill>
            <w14:solidFill>
              <w14:schemeClr w14:val="tx1"/>
            </w14:solidFill>
          </w14:textFill>
        </w:rPr>
      </w:pPr>
      <w:bookmarkStart w:id="135" w:name="_Toc12307"/>
      <w:bookmarkStart w:id="136" w:name="_Toc367780326"/>
      <w:r>
        <w:rPr>
          <w:rFonts w:ascii="宋体" w:hAnsi="宋体"/>
          <w:color w:val="000000" w:themeColor="text1"/>
          <w:sz w:val="21"/>
          <w:szCs w:val="21"/>
          <w:highlight w:val="none"/>
          <w14:textFill>
            <w14:solidFill>
              <w14:schemeClr w14:val="tx1"/>
            </w14:solidFill>
          </w14:textFill>
        </w:rPr>
        <w:t>20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迟交的谈判响应文件</w:t>
      </w:r>
      <w:bookmarkEnd w:id="135"/>
      <w:bookmarkEnd w:id="136"/>
    </w:p>
    <w:p w14:paraId="5E740904">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0</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代理采购机构将拒绝在谈判截止时间后送达的谈判响应文件。</w:t>
      </w:r>
    </w:p>
    <w:p w14:paraId="32209B4F">
      <w:pPr>
        <w:pStyle w:val="5"/>
        <w:spacing w:line="360" w:lineRule="auto"/>
        <w:rPr>
          <w:rFonts w:ascii="宋体" w:hAnsi="宋体"/>
          <w:color w:val="000000" w:themeColor="text1"/>
          <w:sz w:val="21"/>
          <w:szCs w:val="21"/>
          <w:highlight w:val="none"/>
          <w14:textFill>
            <w14:solidFill>
              <w14:schemeClr w14:val="tx1"/>
            </w14:solidFill>
          </w14:textFill>
        </w:rPr>
      </w:pPr>
      <w:bookmarkStart w:id="137" w:name="_Toc22197"/>
      <w:bookmarkStart w:id="138" w:name="_Toc367780327"/>
      <w:r>
        <w:rPr>
          <w:rFonts w:ascii="宋体" w:hAnsi="宋体"/>
          <w:color w:val="000000" w:themeColor="text1"/>
          <w:sz w:val="21"/>
          <w:szCs w:val="21"/>
          <w:highlight w:val="none"/>
          <w14:textFill>
            <w14:solidFill>
              <w14:schemeClr w14:val="tx1"/>
            </w14:solidFill>
          </w14:textFill>
        </w:rPr>
        <w:t>21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谈判响应文件的修改和撤回</w:t>
      </w:r>
      <w:bookmarkEnd w:id="137"/>
      <w:bookmarkEnd w:id="138"/>
    </w:p>
    <w:p w14:paraId="0B56C1E5">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在提交谈判响应文件后，可以修改或撤回其谈判响应文件。但代理采购机构必须在规定的递交谈判响应文件截止时间之前收到供应商发出的书面通知，该通知须有供应商法定代表人（负责人）或其授权代表签字。</w:t>
      </w:r>
    </w:p>
    <w:p w14:paraId="7D72436A">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供应商对谈判响应文件修改的书面材料或撤销的通知应注明“修改谈判响应文件”或“撤销谈判”字样。</w:t>
      </w:r>
    </w:p>
    <w:p w14:paraId="0E086AFF">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从谈判截止时间至谈判有效期期满之前，供应商不得撤回其报价资料，否则代理采购机构将按规定没收其谈判保证金。</w:t>
      </w:r>
    </w:p>
    <w:p w14:paraId="6A5E1648">
      <w:pPr>
        <w:pStyle w:val="4"/>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39" w:name="_Toc2941"/>
      <w:bookmarkStart w:id="140" w:name="_Toc367780328"/>
      <w:r>
        <w:rPr>
          <w:rFonts w:hint="eastAsia" w:ascii="宋体" w:hAnsi="宋体" w:eastAsia="宋体"/>
          <w:color w:val="000000" w:themeColor="text1"/>
          <w:sz w:val="21"/>
          <w:szCs w:val="21"/>
          <w:highlight w:val="none"/>
          <w14:textFill>
            <w14:solidFill>
              <w14:schemeClr w14:val="tx1"/>
            </w14:solidFill>
          </w14:textFill>
        </w:rPr>
        <w:t>Ｅ竞争性谈判采购程序</w:t>
      </w:r>
      <w:bookmarkEnd w:id="139"/>
      <w:bookmarkEnd w:id="140"/>
    </w:p>
    <w:p w14:paraId="0A3E1471">
      <w:pPr>
        <w:pStyle w:val="5"/>
        <w:spacing w:line="360" w:lineRule="auto"/>
        <w:rPr>
          <w:rFonts w:ascii="宋体" w:hAnsi="宋体"/>
          <w:color w:val="000000" w:themeColor="text1"/>
          <w:sz w:val="21"/>
          <w:szCs w:val="21"/>
          <w:highlight w:val="none"/>
          <w14:textFill>
            <w14:solidFill>
              <w14:schemeClr w14:val="tx1"/>
            </w14:solidFill>
          </w14:textFill>
        </w:rPr>
      </w:pPr>
      <w:bookmarkStart w:id="141" w:name="_Toc18379"/>
      <w:bookmarkStart w:id="142" w:name="_Toc367780329"/>
      <w:r>
        <w:rPr>
          <w:rFonts w:ascii="宋体" w:hAnsi="宋体"/>
          <w:color w:val="000000" w:themeColor="text1"/>
          <w:sz w:val="21"/>
          <w:szCs w:val="21"/>
          <w:highlight w:val="none"/>
          <w14:textFill>
            <w14:solidFill>
              <w14:schemeClr w14:val="tx1"/>
            </w14:solidFill>
          </w14:textFill>
        </w:rPr>
        <w:t>22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接收谈判响应文件</w:t>
      </w:r>
      <w:bookmarkEnd w:id="141"/>
      <w:bookmarkEnd w:id="142"/>
    </w:p>
    <w:p w14:paraId="4864121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22.1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代理采购机构在谈判文件中规定的时间和地点公开接收谈判响应文件。</w:t>
      </w:r>
    </w:p>
    <w:p w14:paraId="1753855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22.2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竞争性谈判的第一次投报价格不作公开唱标。</w:t>
      </w:r>
    </w:p>
    <w:p w14:paraId="1102223E">
      <w:pPr>
        <w:pStyle w:val="5"/>
        <w:spacing w:line="360" w:lineRule="auto"/>
        <w:rPr>
          <w:rFonts w:ascii="宋体" w:hAnsi="宋体"/>
          <w:color w:val="000000" w:themeColor="text1"/>
          <w:sz w:val="21"/>
          <w:szCs w:val="21"/>
          <w:highlight w:val="none"/>
          <w14:textFill>
            <w14:solidFill>
              <w14:schemeClr w14:val="tx1"/>
            </w14:solidFill>
          </w14:textFill>
        </w:rPr>
      </w:pPr>
      <w:bookmarkStart w:id="143" w:name="_Toc367780330"/>
      <w:bookmarkStart w:id="144" w:name="_Toc17627"/>
      <w:r>
        <w:rPr>
          <w:rFonts w:ascii="宋体" w:hAnsi="宋体"/>
          <w:color w:val="000000" w:themeColor="text1"/>
          <w:sz w:val="21"/>
          <w:szCs w:val="21"/>
          <w:highlight w:val="none"/>
          <w14:textFill>
            <w14:solidFill>
              <w14:schemeClr w14:val="tx1"/>
            </w14:solidFill>
          </w14:textFill>
        </w:rPr>
        <w:t>23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谈判小组</w:t>
      </w:r>
      <w:bookmarkEnd w:id="143"/>
      <w:bookmarkEnd w:id="144"/>
    </w:p>
    <w:p w14:paraId="01FC27A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谈判由代理采购机构依法组建的谈判小组:</w:t>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w:t>
      </w:r>
    </w:p>
    <w:p w14:paraId="29C5DF57">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谈判小组专家由政府采购管理部门在专家库中，按照采购活动的特点和需要随机抽取产生。</w:t>
      </w:r>
    </w:p>
    <w:p w14:paraId="047BA490">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谈判小组专家与供应商有利害关系的不能进入谈判小组，已经进入的将予以更换。谈判小组专家名单在确定成交供应商之前严格保密。</w:t>
      </w:r>
    </w:p>
    <w:p w14:paraId="63D42257">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23.4</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将客观公正地履行职责，遵守职业道德，对所提出的评审意见承担个人责任。谈判小组专家不得私下接触供应商，不得收受供应商的财物或者其他好处。谈判小组和参与评审的有关工作人员不得透露对谈判响应文件的评价和比较、确定供应商情况以及与评审有关的其他情况。</w:t>
      </w:r>
    </w:p>
    <w:p w14:paraId="4E8A6964">
      <w:pPr>
        <w:pStyle w:val="5"/>
        <w:spacing w:line="360" w:lineRule="auto"/>
        <w:rPr>
          <w:rFonts w:ascii="宋体" w:hAnsi="宋体"/>
          <w:color w:val="000000" w:themeColor="text1"/>
          <w:sz w:val="21"/>
          <w:szCs w:val="21"/>
          <w:highlight w:val="none"/>
          <w14:textFill>
            <w14:solidFill>
              <w14:schemeClr w14:val="tx1"/>
            </w14:solidFill>
          </w14:textFill>
        </w:rPr>
      </w:pPr>
      <w:bookmarkStart w:id="145" w:name="_Toc367780331"/>
      <w:bookmarkStart w:id="146" w:name="_Toc12785"/>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对谈判响应文件的初审</w:t>
      </w:r>
      <w:bookmarkEnd w:id="145"/>
      <w:bookmarkEnd w:id="146"/>
    </w:p>
    <w:p w14:paraId="69583A0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24.1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代理采购机构将组织谈判小组审查谈判响应文件是否完整，有无明显的计算错误，文件签署是否合格，证明文件是否齐全，谈判响应文件的编排是否有序，要求的保证金是否已递交。</w:t>
      </w:r>
    </w:p>
    <w:p w14:paraId="7DF429E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24.2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在对谈判响应文件进行详细评审之前，谈判小组将依据谈判文件中规定的合格供应商应提交的“资格审查文件”文件是否通过符合性审查。如果确定供应商无资格履行合同，将拒绝其参加谈判。</w:t>
      </w:r>
    </w:p>
    <w:p w14:paraId="50EB3D47">
      <w:pPr>
        <w:pStyle w:val="5"/>
        <w:spacing w:line="360" w:lineRule="auto"/>
        <w:rPr>
          <w:rFonts w:ascii="宋体" w:hAnsi="宋体"/>
          <w:color w:val="000000" w:themeColor="text1"/>
          <w:sz w:val="21"/>
          <w:szCs w:val="21"/>
          <w:highlight w:val="none"/>
          <w14:textFill>
            <w14:solidFill>
              <w14:schemeClr w14:val="tx1"/>
            </w14:solidFill>
          </w14:textFill>
        </w:rPr>
      </w:pPr>
      <w:bookmarkStart w:id="147" w:name="_Toc3917"/>
      <w:bookmarkStart w:id="148" w:name="_Toc367780332"/>
      <w:r>
        <w:rPr>
          <w:rFonts w:hint="eastAsia" w:ascii="宋体" w:hAnsi="宋体"/>
          <w:color w:val="000000" w:themeColor="text1"/>
          <w:sz w:val="21"/>
          <w:szCs w:val="21"/>
          <w:highlight w:val="none"/>
          <w14:textFill>
            <w14:solidFill>
              <w14:schemeClr w14:val="tx1"/>
            </w14:solidFill>
          </w14:textFill>
        </w:rPr>
        <w:t>25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谈判报价的审核</w:t>
      </w:r>
      <w:bookmarkEnd w:id="147"/>
      <w:bookmarkEnd w:id="148"/>
    </w:p>
    <w:p w14:paraId="1515D955">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25.1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的谈判报价应是真实、合理和全面的报价。供应商应该公平竞争，合理报价。谈判小组有权对供应商的任何报价进行单项分析与澄清。任何虚假不实的报价，一经确认，将会导致没收供应商的谈判保证金或导致谈判被拒绝。</w:t>
      </w:r>
    </w:p>
    <w:p w14:paraId="4BC1A22D">
      <w:pPr>
        <w:pStyle w:val="5"/>
        <w:spacing w:line="360" w:lineRule="auto"/>
        <w:rPr>
          <w:rFonts w:ascii="宋体" w:hAnsi="宋体"/>
          <w:color w:val="000000" w:themeColor="text1"/>
          <w:sz w:val="21"/>
          <w:szCs w:val="21"/>
          <w:highlight w:val="none"/>
          <w14:textFill>
            <w14:solidFill>
              <w14:schemeClr w14:val="tx1"/>
            </w14:solidFill>
          </w14:textFill>
        </w:rPr>
      </w:pPr>
      <w:bookmarkStart w:id="149" w:name="_Toc21772"/>
      <w:bookmarkStart w:id="150" w:name="_Toc367780333"/>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w:t>
      </w:r>
      <w:bookmarkEnd w:id="149"/>
      <w:bookmarkEnd w:id="150"/>
    </w:p>
    <w:p w14:paraId="0A0C36AE">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26.1   谈判小组所有成员集中按照递交谈判响应文件从前到后的顺序与单一供应商分别进行谈判。在谈判中，谈判的任何一方不得透露与谈判有关的其他供应商的技术资料、价格和其他信息。谈判文件有实质性变动的，谈判小组应当以书面形式通知所有参加谈判的供应商。</w:t>
      </w:r>
    </w:p>
    <w:p w14:paraId="5FF92B1C">
      <w:pPr>
        <w:widowControl/>
        <w:tabs>
          <w:tab w:val="left" w:pos="753"/>
        </w:tabs>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26.2 </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谈判中的双方都应对谈判中的重要事项做详细记录。</w:t>
      </w:r>
    </w:p>
    <w:p w14:paraId="3B3825CE">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谈判过程中，谈判小组向参加谈判的供应商提出疑问或要求，供应商必须在规定的时间内做出澄清并提交书面的承诺</w:t>
      </w:r>
      <w:r>
        <w:rPr>
          <w:rFonts w:hint="eastAsia" w:ascii="宋体" w:hAnsi="宋体"/>
          <w:bCs/>
          <w:color w:val="000000" w:themeColor="text1"/>
          <w:szCs w:val="21"/>
          <w:highlight w:val="none"/>
          <w14:textFill>
            <w14:solidFill>
              <w14:schemeClr w14:val="tx1"/>
            </w14:solidFill>
          </w14:textFill>
        </w:rPr>
        <w:t>。</w:t>
      </w:r>
    </w:p>
    <w:p w14:paraId="3CD762BA">
      <w:pPr>
        <w:pStyle w:val="22"/>
        <w:widowControl/>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26.4</w:t>
      </w:r>
      <w:r>
        <w:rPr>
          <w:rFonts w:hint="eastAsia"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代理采购机构将在谈判时对供应商所作的解释和澄清作书面记录，并归档备查。</w:t>
      </w:r>
    </w:p>
    <w:p w14:paraId="13DCE201">
      <w:pPr>
        <w:pStyle w:val="5"/>
        <w:spacing w:line="360" w:lineRule="auto"/>
        <w:rPr>
          <w:rFonts w:ascii="宋体" w:hAnsi="宋体"/>
          <w:color w:val="000000" w:themeColor="text1"/>
          <w:sz w:val="21"/>
          <w:szCs w:val="21"/>
          <w:highlight w:val="none"/>
          <w14:textFill>
            <w14:solidFill>
              <w14:schemeClr w14:val="tx1"/>
            </w14:solidFill>
          </w14:textFill>
        </w:rPr>
      </w:pPr>
      <w:bookmarkStart w:id="151" w:name="_Toc18249"/>
      <w:bookmarkStart w:id="152" w:name="_Toc367780334"/>
      <w:r>
        <w:rPr>
          <w:rFonts w:ascii="宋体" w:hAnsi="宋体"/>
          <w:color w:val="000000" w:themeColor="text1"/>
          <w:sz w:val="21"/>
          <w:szCs w:val="21"/>
          <w:highlight w:val="none"/>
          <w14:textFill>
            <w14:solidFill>
              <w14:schemeClr w14:val="tx1"/>
            </w14:solidFill>
          </w14:textFill>
        </w:rPr>
        <w:t>27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评审原则</w:t>
      </w:r>
      <w:bookmarkEnd w:id="151"/>
      <w:bookmarkEnd w:id="152"/>
    </w:p>
    <w:p w14:paraId="4A268734">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27.1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依据有关法律法规，维护采购当事人的合法权益。</w:t>
      </w:r>
    </w:p>
    <w:p w14:paraId="53F0BFC5">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27.2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实行科学评估、集体决策。</w:t>
      </w:r>
    </w:p>
    <w:p w14:paraId="1ED5946C">
      <w:pPr>
        <w:pStyle w:val="5"/>
        <w:spacing w:line="360" w:lineRule="auto"/>
        <w:rPr>
          <w:rFonts w:ascii="宋体" w:hAnsi="宋体"/>
          <w:color w:val="000000" w:themeColor="text1"/>
          <w:sz w:val="21"/>
          <w:szCs w:val="21"/>
          <w:highlight w:val="none"/>
          <w14:textFill>
            <w14:solidFill>
              <w14:schemeClr w14:val="tx1"/>
            </w14:solidFill>
          </w14:textFill>
        </w:rPr>
      </w:pPr>
      <w:bookmarkStart w:id="153" w:name="_Toc20312"/>
      <w:bookmarkStart w:id="154" w:name="_Toc367780335"/>
      <w:r>
        <w:rPr>
          <w:rFonts w:ascii="宋体" w:hAnsi="宋体"/>
          <w:color w:val="000000" w:themeColor="text1"/>
          <w:sz w:val="21"/>
          <w:szCs w:val="21"/>
          <w:highlight w:val="none"/>
          <w14:textFill>
            <w14:solidFill>
              <w14:schemeClr w14:val="tx1"/>
            </w14:solidFill>
          </w14:textFill>
        </w:rPr>
        <w:t>28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评审办法</w:t>
      </w:r>
      <w:bookmarkEnd w:id="153"/>
      <w:bookmarkEnd w:id="154"/>
    </w:p>
    <w:p w14:paraId="1E659F34">
      <w:pPr>
        <w:pStyle w:val="22"/>
        <w:tabs>
          <w:tab w:val="left" w:pos="753"/>
        </w:tabs>
        <w:adjustRightInd w:val="0"/>
        <w:snapToGrid w:val="0"/>
        <w:spacing w:line="360" w:lineRule="auto"/>
        <w:ind w:left="751" w:leftChars="1" w:hanging="749" w:hangingChars="357"/>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28.1</w:t>
      </w:r>
      <w:r>
        <w:rPr>
          <w:rFonts w:hint="eastAsia" w:hAns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谈判结束后，谈判小组应当要求所有符合采购需求的供应商在规定时间内进行最后报价，根据符合采购需求、质量和服务相等且最终报价最低的原则确定成交供应商，并将结果通知所有参加谈判的未成交的供应商。</w:t>
      </w:r>
    </w:p>
    <w:p w14:paraId="3D028052">
      <w:pPr>
        <w:pStyle w:val="22"/>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28.2</w:t>
      </w:r>
      <w:r>
        <w:rPr>
          <w:rFonts w:hint="eastAsia" w:hAns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如果出现两家以上（含两家）供应商的最终报价最低并且金额相同的情况时，报价最低的供应商将进行重新报价，直至只有一家供应商的报价最低。报价最低的供应商为预成交供应商。超出项目预算的报价将不予接受。</w:t>
      </w:r>
    </w:p>
    <w:p w14:paraId="33A03CF6">
      <w:pPr>
        <w:pStyle w:val="22"/>
        <w:widowControl/>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28.3   </w:t>
      </w:r>
      <w:r>
        <w:rPr>
          <w:rFonts w:hint="eastAsia" w:hAnsi="宋体"/>
          <w:color w:val="000000" w:themeColor="text1"/>
          <w:highlight w:val="none"/>
          <w14:textFill>
            <w14:solidFill>
              <w14:schemeClr w14:val="tx1"/>
            </w14:solidFill>
          </w14:textFill>
        </w:rPr>
        <w:t>如果谈判时出现没有供应商参加或者没有符合采购需求供应商的，或符合采购需求的供应商少于三家的情况，依照《中华人民共和国政府采购法》的有关规定，本项目将重新组织谈判或根据政府采购管理部门重新确定的采购方式进行采购。</w:t>
      </w:r>
    </w:p>
    <w:p w14:paraId="6180A2A6">
      <w:pPr>
        <w:pStyle w:val="5"/>
        <w:spacing w:line="360" w:lineRule="auto"/>
        <w:rPr>
          <w:rFonts w:ascii="宋体" w:hAnsi="宋体"/>
          <w:color w:val="000000" w:themeColor="text1"/>
          <w:sz w:val="21"/>
          <w:szCs w:val="21"/>
          <w:highlight w:val="none"/>
          <w14:textFill>
            <w14:solidFill>
              <w14:schemeClr w14:val="tx1"/>
            </w14:solidFill>
          </w14:textFill>
        </w:rPr>
      </w:pPr>
      <w:bookmarkStart w:id="155" w:name="_Toc24390"/>
      <w:bookmarkStart w:id="156" w:name="_Toc367780336"/>
      <w:r>
        <w:rPr>
          <w:rFonts w:hint="eastAsia" w:ascii="宋体" w:hAnsi="宋体"/>
          <w:color w:val="000000" w:themeColor="text1"/>
          <w:sz w:val="21"/>
          <w:szCs w:val="21"/>
          <w:highlight w:val="none"/>
          <w14:textFill>
            <w14:solidFill>
              <w14:schemeClr w14:val="tx1"/>
            </w14:solidFill>
          </w14:textFill>
        </w:rPr>
        <w:t>29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评审注意事项</w:t>
      </w:r>
      <w:bookmarkEnd w:id="155"/>
      <w:bookmarkEnd w:id="156"/>
    </w:p>
    <w:p w14:paraId="5F041A5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评审是竞争性谈判采购工作的重要环节，评审工作在谈判小组内独立进行。谈判小组将遵照评审原则，公正、平等地对待所有供应商。</w:t>
      </w:r>
    </w:p>
    <w:p w14:paraId="4897157F">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29.2</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在谈判期间，供应商不得向谈判小组成员询问评审情况，不得进行旨在影响评审结果的活动。</w:t>
      </w:r>
    </w:p>
    <w:p w14:paraId="6CE3E0B2">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为保证确定成交供应商的公正性，在评审过程中，谈判小组成员不得与供应商私下交换意见。在谈判工作结束后，凡与谈判情况有接触的任何人，不得也不应将评审情况扩散出谈判小组人员之外。</w:t>
      </w:r>
    </w:p>
    <w:p w14:paraId="2F42BC09">
      <w:pPr>
        <w:pStyle w:val="5"/>
        <w:spacing w:line="360" w:lineRule="auto"/>
        <w:rPr>
          <w:rFonts w:ascii="宋体" w:hAnsi="宋体"/>
          <w:color w:val="000000" w:themeColor="text1"/>
          <w:sz w:val="21"/>
          <w:szCs w:val="21"/>
          <w:highlight w:val="none"/>
          <w14:textFill>
            <w14:solidFill>
              <w14:schemeClr w14:val="tx1"/>
            </w14:solidFill>
          </w14:textFill>
        </w:rPr>
      </w:pPr>
      <w:bookmarkStart w:id="157" w:name="_Toc367780337"/>
      <w:bookmarkStart w:id="158" w:name="_Toc10710"/>
      <w:r>
        <w:rPr>
          <w:rFonts w:hint="eastAsia" w:ascii="宋体" w:hAnsi="宋体"/>
          <w:color w:val="000000" w:themeColor="text1"/>
          <w:sz w:val="21"/>
          <w:szCs w:val="21"/>
          <w:highlight w:val="none"/>
          <w14:textFill>
            <w14:solidFill>
              <w14:schemeClr w14:val="tx1"/>
            </w14:solidFill>
          </w14:textFill>
        </w:rPr>
        <w:t>30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发布成交结果公告和发放成交通知书</w:t>
      </w:r>
      <w:bookmarkEnd w:id="157"/>
      <w:bookmarkEnd w:id="158"/>
    </w:p>
    <w:p w14:paraId="639D91C3">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30.1   采购人或其授权的谈判小组应按照评标报告中推荐的成交候选供应商排名顺序确定成交供应商。</w:t>
      </w:r>
    </w:p>
    <w:p w14:paraId="5DEDD03A">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   成交人确认后，成交结果将在指定媒体上公告：</w:t>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。发布成交结果公告的同时，代理采购机构向成交人发出成交通知书。</w:t>
      </w:r>
    </w:p>
    <w:p w14:paraId="1394384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   未成交供应商，广东业信采购招标有限公司不再以其它方式另行通知。</w:t>
      </w:r>
    </w:p>
    <w:p w14:paraId="1F7E890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30.4   成交通知书发出后，采购人改变成交结果，或者成交供应商放弃成交，应当承担相应的法律责任。</w:t>
      </w:r>
    </w:p>
    <w:p w14:paraId="2978F474">
      <w:pPr>
        <w:pStyle w:val="5"/>
        <w:spacing w:line="360" w:lineRule="auto"/>
        <w:rPr>
          <w:rFonts w:ascii="宋体" w:hAnsi="宋体"/>
          <w:color w:val="000000" w:themeColor="text1"/>
          <w:sz w:val="21"/>
          <w:szCs w:val="21"/>
          <w:highlight w:val="none"/>
          <w14:textFill>
            <w14:solidFill>
              <w14:schemeClr w14:val="tx1"/>
            </w14:solidFill>
          </w14:textFill>
        </w:rPr>
      </w:pPr>
      <w:bookmarkStart w:id="159" w:name="_Toc17164"/>
      <w:bookmarkStart w:id="160" w:name="_Toc367780338"/>
      <w:r>
        <w:rPr>
          <w:rFonts w:hint="eastAsia" w:ascii="宋体" w:hAnsi="宋体"/>
          <w:color w:val="000000" w:themeColor="text1"/>
          <w:sz w:val="21"/>
          <w:szCs w:val="21"/>
          <w:highlight w:val="none"/>
          <w14:textFill>
            <w14:solidFill>
              <w14:schemeClr w14:val="tx1"/>
            </w14:solidFill>
          </w14:textFill>
        </w:rPr>
        <w:t>31     投标供应商对成交结果的质疑、投诉</w:t>
      </w:r>
      <w:bookmarkEnd w:id="159"/>
      <w:bookmarkEnd w:id="160"/>
    </w:p>
    <w:p w14:paraId="36CA97A9">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投标供应商对成交公告有异议的，应当在成交结果公告发布之日起七个工作日内，以书面形式向采购人或代理采购机构提出质疑。</w:t>
      </w:r>
    </w:p>
    <w:p w14:paraId="04C05B35">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   采购人或代理采购机构应当在收到投标供应商书面质疑后七个工作日内，对质疑内容作出答复。</w:t>
      </w:r>
    </w:p>
    <w:p w14:paraId="22131E9D">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31.3   投标供应商对采购人或代理采购机构的答复不满意或者采购人、代理采购机构未在规定时间内答复的，可以在答复期满后十五个工作日内按有关规定，向同级人民政府财政部门投诉。</w:t>
      </w:r>
    </w:p>
    <w:p w14:paraId="502E88C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31.4   财政部门应当在收到投诉后三十个工作日内，对投诉事项作出处理决定。</w:t>
      </w:r>
    </w:p>
    <w:p w14:paraId="75EA12D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31.5   投标供应商须对质疑或投诉内容的真实性承担责任。</w:t>
      </w:r>
    </w:p>
    <w:p w14:paraId="40898A1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31.6   质疑函应当署名。质疑供应商为自然人的，应当由本人签字；质疑供应商为法人或其他组织的，应由法定代表人或者主要负责人签字并盖公章。</w:t>
      </w:r>
    </w:p>
    <w:p w14:paraId="6FB14FB6">
      <w:pPr>
        <w:pStyle w:val="4"/>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61" w:name="_Toc367780339"/>
      <w:bookmarkStart w:id="162" w:name="_Toc5357"/>
      <w:r>
        <w:rPr>
          <w:rFonts w:hint="eastAsia" w:ascii="宋体" w:hAnsi="宋体" w:eastAsia="宋体"/>
          <w:color w:val="000000" w:themeColor="text1"/>
          <w:sz w:val="21"/>
          <w:szCs w:val="21"/>
          <w:highlight w:val="none"/>
          <w14:textFill>
            <w14:solidFill>
              <w14:schemeClr w14:val="tx1"/>
            </w14:solidFill>
          </w14:textFill>
        </w:rPr>
        <w:t>Ｆ  授予合同</w:t>
      </w:r>
      <w:bookmarkEnd w:id="161"/>
      <w:bookmarkEnd w:id="162"/>
    </w:p>
    <w:p w14:paraId="15EFF4A2">
      <w:pPr>
        <w:pStyle w:val="5"/>
        <w:spacing w:line="360" w:lineRule="auto"/>
        <w:rPr>
          <w:rFonts w:ascii="宋体" w:hAnsi="宋体"/>
          <w:color w:val="000000" w:themeColor="text1"/>
          <w:sz w:val="21"/>
          <w:szCs w:val="21"/>
          <w:highlight w:val="none"/>
          <w14:textFill>
            <w14:solidFill>
              <w14:schemeClr w14:val="tx1"/>
            </w14:solidFill>
          </w14:textFill>
        </w:rPr>
      </w:pPr>
      <w:bookmarkStart w:id="163" w:name="_Toc28208"/>
      <w:bookmarkStart w:id="164" w:name="_Toc367780340"/>
      <w:r>
        <w:rPr>
          <w:rFonts w:hint="eastAsia" w:ascii="宋体" w:hAnsi="宋体"/>
          <w:color w:val="000000" w:themeColor="text1"/>
          <w:sz w:val="21"/>
          <w:szCs w:val="21"/>
          <w:highlight w:val="none"/>
          <w14:textFill>
            <w14:solidFill>
              <w14:schemeClr w14:val="tx1"/>
            </w14:solidFill>
          </w14:textFill>
        </w:rPr>
        <w:t>32     接受和拒绝投标的权利</w:t>
      </w:r>
      <w:bookmarkEnd w:id="163"/>
      <w:bookmarkEnd w:id="164"/>
    </w:p>
    <w:p w14:paraId="4F011ED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32</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谈判小组经评审认为所有供应商提供的货物或服务都不符合谈判文件要求的，或所有供应商的报价均超过了采购人的预算，且采购人不能支付的，有权否决所有报价资料。</w:t>
      </w:r>
    </w:p>
    <w:p w14:paraId="0F2B2EE6">
      <w:pPr>
        <w:pStyle w:val="5"/>
        <w:spacing w:line="360" w:lineRule="auto"/>
        <w:rPr>
          <w:rFonts w:ascii="宋体" w:hAnsi="宋体"/>
          <w:color w:val="000000" w:themeColor="text1"/>
          <w:sz w:val="21"/>
          <w:szCs w:val="21"/>
          <w:highlight w:val="none"/>
          <w14:textFill>
            <w14:solidFill>
              <w14:schemeClr w14:val="tx1"/>
            </w14:solidFill>
          </w14:textFill>
        </w:rPr>
      </w:pPr>
      <w:bookmarkStart w:id="165" w:name="_Toc16228"/>
      <w:bookmarkStart w:id="166" w:name="_Toc367780341"/>
      <w:r>
        <w:rPr>
          <w:rFonts w:hint="eastAsia" w:ascii="宋体" w:hAnsi="宋体"/>
          <w:color w:val="000000" w:themeColor="text1"/>
          <w:sz w:val="21"/>
          <w:szCs w:val="21"/>
          <w:highlight w:val="none"/>
          <w14:textFill>
            <w14:solidFill>
              <w14:schemeClr w14:val="tx1"/>
            </w14:solidFill>
          </w14:textFill>
        </w:rPr>
        <w:t>33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 xml:space="preserve">   合同授予标准</w:t>
      </w:r>
      <w:bookmarkEnd w:id="165"/>
      <w:bookmarkEnd w:id="166"/>
    </w:p>
    <w:p w14:paraId="1DA5A7F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3</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第32条规定之外，采购人将把合同授予此次谈判的成交供应商。</w:t>
      </w:r>
    </w:p>
    <w:p w14:paraId="45EC054B">
      <w:pPr>
        <w:pStyle w:val="5"/>
        <w:spacing w:line="360" w:lineRule="auto"/>
        <w:rPr>
          <w:rFonts w:ascii="宋体" w:hAnsi="宋体"/>
          <w:color w:val="000000" w:themeColor="text1"/>
          <w:sz w:val="21"/>
          <w:szCs w:val="21"/>
          <w:highlight w:val="none"/>
          <w14:textFill>
            <w14:solidFill>
              <w14:schemeClr w14:val="tx1"/>
            </w14:solidFill>
          </w14:textFill>
        </w:rPr>
      </w:pPr>
      <w:bookmarkStart w:id="167" w:name="_Toc6084"/>
      <w:bookmarkStart w:id="168" w:name="_Toc367780342"/>
      <w:r>
        <w:rPr>
          <w:rFonts w:hint="eastAsia" w:ascii="宋体" w:hAnsi="宋体"/>
          <w:color w:val="000000" w:themeColor="text1"/>
          <w:sz w:val="21"/>
          <w:szCs w:val="21"/>
          <w:highlight w:val="none"/>
          <w14:textFill>
            <w14:solidFill>
              <w14:schemeClr w14:val="tx1"/>
            </w14:solidFill>
          </w14:textFill>
        </w:rPr>
        <w:t>34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 xml:space="preserve">   签订合同</w:t>
      </w:r>
      <w:bookmarkEnd w:id="167"/>
      <w:bookmarkEnd w:id="168"/>
    </w:p>
    <w:p w14:paraId="27E715F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采购人应当按照谈判文件和成交供应商谈判响应文件的约定，与成交供应商签订书面合同。所签订的合同不得对谈判文件和成交供应商谈判响应文件作实质性修改。采购人不得向成交供应商提出任何不合理的要求，作为签订合同的条件，不得与成交供应商私下订立背离合同实质性内容的协议。</w:t>
      </w:r>
    </w:p>
    <w:p w14:paraId="2B29BB9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谈判文件、成交供应商的谈判文件及其澄清文件等，均为签订合同的依据。</w:t>
      </w:r>
    </w:p>
    <w:p w14:paraId="5C5B988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采购人应当自采购合同签订之日起七个工作日内，按照有关规定将采购合同副本报同级人民政府财政部门和广东业信采购招标有限公司备案。</w:t>
      </w:r>
      <w:bookmarkStart w:id="169" w:name="_Toc200414511"/>
    </w:p>
    <w:p w14:paraId="37E44ABB">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592216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80FD6D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3B42B26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98E5EBD">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18F1E1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1D08ED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E0CE38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ADBD7E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A52C50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A2C3D1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1446ED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3E5E2F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4A511C4">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2A0D2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296072F">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2109F3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3BC3F4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1C1F25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7922FFE">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D1D8FD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F79E21B">
      <w:pPr>
        <w:pStyle w:val="4"/>
        <w:numPr>
          <w:ilvl w:val="0"/>
          <w:numId w:val="0"/>
        </w:numPr>
        <w:jc w:val="center"/>
        <w:rPr>
          <w:color w:val="000000" w:themeColor="text1"/>
          <w:sz w:val="24"/>
          <w:highlight w:val="none"/>
          <w14:textFill>
            <w14:solidFill>
              <w14:schemeClr w14:val="tx1"/>
            </w14:solidFill>
          </w14:textFill>
        </w:rPr>
      </w:pPr>
      <w:bookmarkStart w:id="170" w:name="_Toc430771059"/>
      <w:bookmarkStart w:id="171" w:name="_Toc16862"/>
      <w:bookmarkStart w:id="172" w:name="_Toc432682726"/>
      <w:bookmarkStart w:id="173" w:name="_Toc499041071"/>
      <w:r>
        <w:rPr>
          <w:color w:val="000000" w:themeColor="text1"/>
          <w:sz w:val="24"/>
          <w:highlight w:val="none"/>
          <w14:textFill>
            <w14:solidFill>
              <w14:schemeClr w14:val="tx1"/>
            </w14:solidFill>
          </w14:textFill>
        </w:rPr>
        <w:t>G</w:t>
      </w:r>
      <w:r>
        <w:rPr>
          <w:rFonts w:hint="eastAsia"/>
          <w:color w:val="000000" w:themeColor="text1"/>
          <w:sz w:val="24"/>
          <w:highlight w:val="none"/>
          <w14:textFill>
            <w14:solidFill>
              <w14:schemeClr w14:val="tx1"/>
            </w14:solidFill>
          </w14:textFill>
        </w:rPr>
        <w:t>、政府采购政策</w:t>
      </w:r>
      <w:bookmarkEnd w:id="170"/>
      <w:bookmarkEnd w:id="171"/>
      <w:bookmarkEnd w:id="172"/>
      <w:bookmarkEnd w:id="173"/>
    </w:p>
    <w:p w14:paraId="0F882A2B">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74" w:name="_Toc430185803"/>
      <w:bookmarkStart w:id="175" w:name="_Toc430771060"/>
      <w:r>
        <w:rPr>
          <w:rFonts w:hint="eastAsia" w:ascii="宋体" w:hAnsi="宋体" w:eastAsia="宋体" w:cs="宋体"/>
          <w:color w:val="000000" w:themeColor="text1"/>
          <w:highlight w:val="none"/>
          <w14:textFill>
            <w14:solidFill>
              <w14:schemeClr w14:val="tx1"/>
            </w14:solidFill>
          </w14:textFill>
        </w:rPr>
        <w:t xml:space="preserve">35     </w:t>
      </w:r>
      <w:bookmarkStart w:id="176" w:name="_Hlk499217741"/>
      <w:r>
        <w:rPr>
          <w:rFonts w:hint="eastAsia" w:ascii="宋体" w:hAnsi="宋体" w:eastAsia="宋体" w:cs="宋体"/>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bookmarkEnd w:id="174"/>
      <w:bookmarkEnd w:id="175"/>
      <w:bookmarkEnd w:id="176"/>
    </w:p>
    <w:p w14:paraId="403F89B3">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77" w:name="_Toc430771061"/>
      <w:bookmarkStart w:id="178" w:name="_Toc430185804"/>
      <w:r>
        <w:rPr>
          <w:rFonts w:hint="eastAsia" w:ascii="宋体" w:hAnsi="宋体" w:eastAsia="宋体" w:cs="宋体"/>
          <w:color w:val="000000" w:themeColor="text1"/>
          <w:highlight w:val="none"/>
          <w14:textFill>
            <w14:solidFill>
              <w14:schemeClr w14:val="tx1"/>
            </w14:solidFill>
          </w14:textFill>
        </w:rPr>
        <w:t>36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77"/>
      <w:bookmarkEnd w:id="178"/>
    </w:p>
    <w:p w14:paraId="40ABE6F1">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79" w:name="_Toc430185805"/>
      <w:bookmarkStart w:id="180" w:name="_Toc430771062"/>
      <w:r>
        <w:rPr>
          <w:rFonts w:hint="eastAsia" w:ascii="宋体" w:hAnsi="宋体" w:eastAsia="宋体" w:cs="宋体"/>
          <w:color w:val="000000" w:themeColor="text1"/>
          <w:highlight w:val="none"/>
          <w14:textFill>
            <w14:solidFill>
              <w14:schemeClr w14:val="tx1"/>
            </w14:solidFill>
          </w14:textFill>
        </w:rPr>
        <w:t>37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/）、国家环境保护总局网（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http://www.sepa.gov.cn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/）、中国绿色采购网（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"http://www.cgpn.cn"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http://www.cgpn.cn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/）上发布。</w:t>
      </w:r>
      <w:bookmarkEnd w:id="179"/>
      <w:bookmarkEnd w:id="180"/>
    </w:p>
    <w:p w14:paraId="63E6F872">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81" w:name="_Toc430185806"/>
      <w:bookmarkStart w:id="182" w:name="_Toc430771063"/>
      <w:r>
        <w:rPr>
          <w:rFonts w:hint="eastAsia" w:ascii="宋体" w:hAnsi="宋体" w:eastAsia="宋体" w:cs="宋体"/>
          <w:color w:val="000000" w:themeColor="text1"/>
          <w:highlight w:val="none"/>
          <w14:textFill>
            <w14:solidFill>
              <w14:schemeClr w14:val="tx1"/>
            </w14:solidFill>
          </w14:textFill>
        </w:rPr>
        <w:t>38     根据《关于印发《政府采购促进中小企业发展管理方法》的通知》（财库[2020]46号）的规定，投标人投标时需注意：</w:t>
      </w:r>
      <w:bookmarkEnd w:id="181"/>
      <w:bookmarkEnd w:id="182"/>
    </w:p>
    <w:p w14:paraId="284F5876">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16B3A051">
      <w:pPr>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38.2   参加政府采购活动的中小企业投标时需提供《中小企业声明函》。否则不予认可。</w:t>
      </w:r>
    </w:p>
    <w:p w14:paraId="29AC4D33">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513BC8FD">
      <w:pPr>
        <w:spacing w:line="360" w:lineRule="auto"/>
        <w:ind w:left="735" w:hanging="735" w:hangingChars="350"/>
        <w:rPr>
          <w:rFonts w:hint="default" w:ascii="宋体" w:hAnsi="宋体" w:eastAsia="宋体" w:cs="宋体"/>
          <w:bCs/>
          <w:color w:val="000000" w:themeColor="text1"/>
          <w:highlight w:val="none"/>
          <w:lang w:val="en-US" w:eastAsia="zh-CN"/>
          <w14:textFill>
            <w14:solidFill>
              <w14:schemeClr w14:val="tx1"/>
            </w14:solidFill>
          </w14:textFill>
        </w:rPr>
      </w:pPr>
      <w:r>
        <w:rPr>
          <w:rFonts w:hint="eastAsia" w:ascii="宋体" w:hAnsi="宋体" w:eastAsia="宋体" w:cs="宋体"/>
          <w:bCs/>
          <w:color w:val="000000" w:themeColor="text1"/>
          <w:highlight w:val="none"/>
          <w:lang w:val="en-US" w:eastAsia="zh-CN"/>
          <w14:textFill>
            <w14:solidFill>
              <w14:schemeClr w14:val="tx1"/>
            </w14:solidFill>
          </w14:textFill>
        </w:rPr>
        <w:t>38.4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5F29A62E">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38.</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 xml:space="preserve">   对于非专门面向中小微型企业采购的项目，依照《政府采购促进中小企业发展暂行办法》的</w:t>
      </w:r>
      <w:r>
        <w:rPr>
          <w:rFonts w:hint="eastAsia" w:ascii="宋体" w:hAnsi="宋体" w:eastAsia="宋体" w:cs="宋体"/>
          <w:bCs/>
          <w:color w:val="000000" w:themeColor="text1"/>
          <w:highlight w:val="none"/>
          <w14:textFill>
            <w14:solidFill>
              <w14:schemeClr w14:val="tx1"/>
            </w14:solidFill>
          </w14:textFill>
        </w:rPr>
        <w:t>规定，凡符合要求的有效投标人，按照以下比例给予相应的价格扣除：</w:t>
      </w:r>
    </w:p>
    <w:p w14:paraId="01189221">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p>
    <w:tbl>
      <w:tblPr>
        <w:tblStyle w:val="43"/>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8DD8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7B187886">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62AC8B4">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3D5B87B4">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5B7398D0">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计算公式</w:t>
            </w:r>
          </w:p>
        </w:tc>
      </w:tr>
      <w:tr w14:paraId="27D5F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79E059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42D8A394">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52E2EF9">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06059C2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评标价=总投标报价-小型和微型企业产品的价格×</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r>
      <w:tr w14:paraId="06B51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1F7A67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34D7AEB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CAA70F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329E3B64">
            <w:pPr>
              <w:rPr>
                <w:rFonts w:hint="eastAsia" w:ascii="宋体" w:hAnsi="宋体" w:eastAsia="宋体" w:cs="宋体"/>
                <w:color w:val="000000" w:themeColor="text1"/>
                <w:szCs w:val="21"/>
                <w:highlight w:val="none"/>
                <w14:textFill>
                  <w14:solidFill>
                    <w14:schemeClr w14:val="tx1"/>
                  </w14:solidFill>
                </w14:textFill>
              </w:rPr>
            </w:pPr>
          </w:p>
        </w:tc>
      </w:tr>
      <w:tr w14:paraId="071DB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1BD62CA8">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6D2448B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3489549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对联合体总金额扣除</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2A5F8BB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w:t>
            </w:r>
            <w:r>
              <w:rPr>
                <w:rFonts w:hint="eastAsia" w:ascii="宋体" w:hAnsi="宋体" w:eastAsia="宋体" w:cs="宋体"/>
                <w:color w:val="000000" w:themeColor="text1"/>
                <w:szCs w:val="21"/>
                <w:highlight w:val="none"/>
                <w:u w:val="single"/>
                <w14:textFill>
                  <w14:solidFill>
                    <w14:schemeClr w14:val="tx1"/>
                  </w14:solidFill>
                </w14:textFill>
              </w:rPr>
              <w:t>1-</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c>
      </w:tr>
    </w:tbl>
    <w:p w14:paraId="5DF6A781">
      <w:pPr>
        <w:rPr>
          <w:rFonts w:ascii="宋体"/>
          <w:color w:val="000000" w:themeColor="text1"/>
          <w:szCs w:val="21"/>
          <w:highlight w:val="none"/>
          <w14:textFill>
            <w14:solidFill>
              <w14:schemeClr w14:val="tx1"/>
            </w14:solidFill>
          </w14:textFill>
        </w:rPr>
      </w:pPr>
    </w:p>
    <w:p w14:paraId="1F77331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6AABD1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9B010E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09FFDB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3619C0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037A2B4">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65C8B35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FBE7F9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3D4B88B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1CAB98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8FDD2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8F3EE9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8CED3C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D1980D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D7C116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69BF0DD">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902CF5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A9870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6FF445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D19C595">
      <w:pPr>
        <w:pStyle w:val="3"/>
        <w:numPr>
          <w:ilvl w:val="0"/>
          <w:numId w:val="0"/>
        </w:numPr>
        <w:spacing w:after="120" w:line="360" w:lineRule="auto"/>
        <w:jc w:val="center"/>
        <w:rPr>
          <w:rFonts w:ascii="宋体" w:hAnsi="宋体"/>
          <w:color w:val="000000" w:themeColor="text1"/>
          <w:sz w:val="21"/>
          <w:szCs w:val="21"/>
          <w:highlight w:val="none"/>
          <w14:textFill>
            <w14:solidFill>
              <w14:schemeClr w14:val="tx1"/>
            </w14:solidFill>
          </w14:textFill>
        </w:rPr>
      </w:pPr>
      <w:bookmarkStart w:id="183" w:name="_Toc9292"/>
      <w:r>
        <w:rPr>
          <w:rFonts w:hint="eastAsia" w:ascii="宋体" w:hAnsi="宋体"/>
          <w:color w:val="000000" w:themeColor="text1"/>
          <w:sz w:val="21"/>
          <w:szCs w:val="21"/>
          <w:highlight w:val="none"/>
          <w14:textFill>
            <w14:solidFill>
              <w14:schemeClr w14:val="tx1"/>
            </w14:solidFill>
          </w14:textFill>
        </w:rPr>
        <w:t>第四部分  合同书格式（参考范本）</w:t>
      </w:r>
      <w:bookmarkEnd w:id="169"/>
      <w:bookmarkEnd w:id="183"/>
    </w:p>
    <w:p w14:paraId="6567E183">
      <w:pPr>
        <w:spacing w:line="360" w:lineRule="auto"/>
        <w:rPr>
          <w:rFonts w:ascii="宋体" w:hAnsi="宋体"/>
          <w:bCs/>
          <w:color w:val="000000" w:themeColor="text1"/>
          <w:szCs w:val="21"/>
          <w:highlight w:val="none"/>
          <w14:textFill>
            <w14:solidFill>
              <w14:schemeClr w14:val="tx1"/>
            </w14:solidFill>
          </w14:textFill>
        </w:rPr>
      </w:pPr>
    </w:p>
    <w:p w14:paraId="45CE2701">
      <w:pPr>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甲方（采购人）：</w:t>
      </w:r>
    </w:p>
    <w:p w14:paraId="60F7FE90">
      <w:pPr>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乙方（成交供应商）：</w:t>
      </w:r>
    </w:p>
    <w:p w14:paraId="6DE7BC87">
      <w:pPr>
        <w:spacing w:line="48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p>
    <w:p w14:paraId="575698EB">
      <w:pPr>
        <w:spacing w:line="48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甲乙双方根据</w:t>
      </w:r>
      <w:r>
        <w:rPr>
          <w:rFonts w:ascii="宋体" w:hAnsi="宋体"/>
          <w:bCs/>
          <w:color w:val="000000" w:themeColor="text1"/>
          <w:szCs w:val="21"/>
          <w:highlight w:val="none"/>
          <w14:textFill>
            <w14:solidFill>
              <w14:schemeClr w14:val="tx1"/>
            </w14:solidFill>
          </w14:textFill>
        </w:rPr>
        <w:t>年月日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）招标结果和有关招、报价文件的要求，经双方协商一致，订立以下合同：</w:t>
      </w:r>
    </w:p>
    <w:p w14:paraId="71B9B8F5">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05EEF016">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4682752">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A3A8CC5">
      <w:pPr>
        <w:tabs>
          <w:tab w:val="left" w:pos="1004"/>
        </w:tabs>
        <w:spacing w:line="48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4F88A188">
      <w:pPr>
        <w:tabs>
          <w:tab w:val="left" w:pos="1004"/>
        </w:tabs>
        <w:spacing w:line="480" w:lineRule="auto"/>
        <w:ind w:right="31" w:rightChars="15" w:firstLine="2261" w:firstLineChars="1077"/>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（大写）                               </w:t>
      </w:r>
    </w:p>
    <w:p w14:paraId="6D8C31D4">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403D5CEE">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66EC719B">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服务和验收</w:t>
      </w:r>
    </w:p>
    <w:p w14:paraId="0D10C93E">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825EEE1">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94043E9">
      <w:pPr>
        <w:tabs>
          <w:tab w:val="left" w:pos="1004"/>
        </w:tabs>
        <w:spacing w:line="48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D7FA5D8">
      <w:pPr>
        <w:tabs>
          <w:tab w:val="left" w:pos="1004"/>
        </w:tabs>
        <w:spacing w:line="48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0B41082">
      <w:pPr>
        <w:spacing w:line="48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CF5B345">
      <w:pPr>
        <w:numPr>
          <w:ilvl w:val="6"/>
          <w:numId w:val="14"/>
        </w:numPr>
        <w:tabs>
          <w:tab w:val="left" w:pos="1680"/>
        </w:tabs>
        <w:spacing w:line="48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质量符合报价文件和报价文件的要求；</w:t>
      </w:r>
    </w:p>
    <w:p w14:paraId="48367D3D">
      <w:pPr>
        <w:numPr>
          <w:ilvl w:val="6"/>
          <w:numId w:val="14"/>
        </w:numPr>
        <w:tabs>
          <w:tab w:val="left" w:pos="1680"/>
          <w:tab w:val="clear" w:pos="4830"/>
        </w:tabs>
        <w:spacing w:line="48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2957EE70">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36FF6344">
      <w:pPr>
        <w:numPr>
          <w:ilvl w:val="0"/>
          <w:numId w:val="0"/>
        </w:numPr>
        <w:tabs>
          <w:tab w:val="left" w:pos="945"/>
        </w:tabs>
        <w:adjustRightInd w:val="0"/>
        <w:snapToGrid w:val="0"/>
        <w:spacing w:line="480" w:lineRule="auto"/>
        <w:ind w:right="31" w:rightChars="15"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1685BDC">
      <w:pPr>
        <w:numPr>
          <w:ilvl w:val="0"/>
          <w:numId w:val="0"/>
        </w:numPr>
        <w:tabs>
          <w:tab w:val="left" w:pos="1155"/>
        </w:tabs>
        <w:adjustRightInd w:val="0"/>
        <w:snapToGrid w:val="0"/>
        <w:spacing w:line="480" w:lineRule="auto"/>
        <w:ind w:left="843" w:leftChars="0"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BD6BE75">
      <w:pPr>
        <w:tabs>
          <w:tab w:val="left" w:pos="945"/>
        </w:tabs>
        <w:adjustRightInd w:val="0"/>
        <w:snapToGrid w:val="0"/>
        <w:spacing w:line="48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05EDFBCF">
      <w:pPr>
        <w:tabs>
          <w:tab w:val="left" w:pos="1255"/>
        </w:tabs>
        <w:spacing w:line="48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日内向乙方提出书面异议；甲方怠于通知乙方的，视为乙方所提供的服务合乎规定。</w:t>
      </w:r>
    </w:p>
    <w:p w14:paraId="69437D03">
      <w:pPr>
        <w:tabs>
          <w:tab w:val="left" w:pos="1255"/>
        </w:tabs>
        <w:spacing w:line="48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日历日内负责处理，否则，即视为默认甲方提出的异议和处理意见。</w:t>
      </w:r>
    </w:p>
    <w:p w14:paraId="256D5847">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6003533F">
      <w:pPr>
        <w:tabs>
          <w:tab w:val="left" w:pos="1004"/>
        </w:tabs>
        <w:spacing w:line="480" w:lineRule="auto"/>
        <w:ind w:left="1050" w:hanging="1050" w:hanging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乙方所提供的服务质量、拟投入人员不符合合同规定的，由乙方负责按照原报价文件、更正公告内容和质疑答疑文件（若有）、报价文件、中标（成交）通知书等实质性内容重新免费提供该项目服务内容。</w:t>
      </w:r>
    </w:p>
    <w:p w14:paraId="7680B5CA">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2. 每推迟一天按总价的</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罚款。</w:t>
      </w:r>
    </w:p>
    <w:p w14:paraId="048E83D8">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414E9E7B">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作为违约金。</w:t>
      </w:r>
    </w:p>
    <w:p w14:paraId="211FD506">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5F9BBA6E">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F46DBFC">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个工作日内将有关当局出具的证明文件用专人递交、特快专递或挂号信寄给对方审阅确认。</w:t>
      </w:r>
    </w:p>
    <w:p w14:paraId="068CAFED">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EFF993F">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0061346C">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01D13968">
      <w:pPr>
        <w:tabs>
          <w:tab w:val="left" w:pos="1255"/>
        </w:tabs>
        <w:spacing w:line="480" w:lineRule="auto"/>
        <w:ind w:left="1050" w:leftChars="500" w:firstLine="0" w:firstLineChars="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395E1BEC">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BF8CA20">
      <w:pPr>
        <w:tabs>
          <w:tab w:val="left" w:pos="1004"/>
        </w:tabs>
        <w:spacing w:line="480" w:lineRule="auto"/>
        <w:ind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 xml:space="preserve">广东业信采购招标有限公司 </w:t>
      </w:r>
      <w:r>
        <w:rPr>
          <w:rFonts w:hint="eastAsia" w:ascii="宋体" w:hAnsi="宋体"/>
          <w:bCs/>
          <w:color w:val="000000" w:themeColor="text1"/>
          <w:szCs w:val="21"/>
          <w:highlight w:val="none"/>
          <w14:textFill>
            <w14:solidFill>
              <w14:schemeClr w14:val="tx1"/>
            </w14:solidFill>
          </w14:textFill>
        </w:rPr>
        <w:t>备案；</w:t>
      </w:r>
    </w:p>
    <w:p w14:paraId="35107DF5">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092C2272">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02C5C139">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FA14DEC">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0EDA53EA">
      <w:pPr>
        <w:spacing w:line="480" w:lineRule="auto"/>
        <w:ind w:left="752" w:leftChars="358" w:firstLine="420"/>
        <w:rPr>
          <w:rFonts w:ascii="宋体" w:hAnsi="宋体"/>
          <w:bCs/>
          <w:color w:val="000000" w:themeColor="text1"/>
          <w:szCs w:val="21"/>
          <w:highlight w:val="none"/>
          <w14:textFill>
            <w14:solidFill>
              <w14:schemeClr w14:val="tx1"/>
            </w14:solidFill>
          </w14:textFill>
        </w:rPr>
      </w:pPr>
    </w:p>
    <w:p w14:paraId="77ABF216">
      <w:pPr>
        <w:spacing w:line="480" w:lineRule="auto"/>
        <w:ind w:left="752" w:leftChars="358" w:firstLine="420"/>
        <w:rPr>
          <w:rFonts w:ascii="宋体" w:hAnsi="宋体"/>
          <w:bCs/>
          <w:color w:val="000000" w:themeColor="text1"/>
          <w:szCs w:val="21"/>
          <w:highlight w:val="none"/>
          <w14:textFill>
            <w14:solidFill>
              <w14:schemeClr w14:val="tx1"/>
            </w14:solidFill>
          </w14:textFill>
        </w:rPr>
      </w:pPr>
    </w:p>
    <w:p w14:paraId="124D1BF4">
      <w:pPr>
        <w:tabs>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2E7ABCD9">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7154FA98">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590E7158">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3547796A">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5DAB35E6">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3AC6B0CE">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2B7E899C">
      <w:pPr>
        <w:tabs>
          <w:tab w:val="left" w:pos="1004"/>
        </w:tabs>
        <w:spacing w:line="48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2A8F87F2">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677DCF05">
      <w:pPr>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本合同样本仅供参考，具体条款内容由采购人和成交单位协商确定，但不得改变谈判文件、谈判响应文件、成交通知书等实质性内容</w:t>
      </w:r>
      <w:r>
        <w:rPr>
          <w:rFonts w:hint="eastAsia" w:ascii="宋体" w:hAnsi="宋体"/>
          <w:bCs/>
          <w:color w:val="000000" w:themeColor="text1"/>
          <w:szCs w:val="21"/>
          <w:highlight w:val="none"/>
          <w14:textFill>
            <w14:solidFill>
              <w14:schemeClr w14:val="tx1"/>
            </w14:solidFill>
          </w14:textFill>
        </w:rPr>
        <w:t>。</w:t>
      </w:r>
    </w:p>
    <w:p w14:paraId="7935B6DF">
      <w:pPr>
        <w:spacing w:line="360" w:lineRule="auto"/>
        <w:rPr>
          <w:rFonts w:ascii="宋体" w:hAnsi="宋体"/>
          <w:bCs/>
          <w:color w:val="000000" w:themeColor="text1"/>
          <w:szCs w:val="21"/>
          <w:highlight w:val="none"/>
          <w14:textFill>
            <w14:solidFill>
              <w14:schemeClr w14:val="tx1"/>
            </w14:solidFill>
          </w14:textFill>
        </w:rPr>
      </w:pPr>
    </w:p>
    <w:p w14:paraId="46DD0F5C">
      <w:pPr>
        <w:spacing w:line="360" w:lineRule="auto"/>
        <w:rPr>
          <w:rFonts w:ascii="宋体" w:hAnsi="宋体"/>
          <w:bCs/>
          <w:color w:val="000000" w:themeColor="text1"/>
          <w:szCs w:val="21"/>
          <w:highlight w:val="none"/>
          <w14:textFill>
            <w14:solidFill>
              <w14:schemeClr w14:val="tx1"/>
            </w14:solidFill>
          </w14:textFill>
        </w:rPr>
      </w:pPr>
    </w:p>
    <w:p w14:paraId="07100E69">
      <w:pPr>
        <w:spacing w:line="360" w:lineRule="auto"/>
        <w:rPr>
          <w:rFonts w:ascii="宋体" w:hAnsi="宋体"/>
          <w:bCs/>
          <w:color w:val="000000" w:themeColor="text1"/>
          <w:szCs w:val="21"/>
          <w:highlight w:val="none"/>
          <w14:textFill>
            <w14:solidFill>
              <w14:schemeClr w14:val="tx1"/>
            </w14:solidFill>
          </w14:textFill>
        </w:rPr>
      </w:pPr>
    </w:p>
    <w:p w14:paraId="6F949299">
      <w:pPr>
        <w:spacing w:line="360" w:lineRule="auto"/>
        <w:rPr>
          <w:rFonts w:ascii="宋体" w:hAnsi="宋体"/>
          <w:bCs/>
          <w:color w:val="000000" w:themeColor="text1"/>
          <w:szCs w:val="21"/>
          <w:highlight w:val="none"/>
          <w14:textFill>
            <w14:solidFill>
              <w14:schemeClr w14:val="tx1"/>
            </w14:solidFill>
          </w14:textFill>
        </w:rPr>
      </w:pPr>
    </w:p>
    <w:p w14:paraId="4D4AEB9D">
      <w:pPr>
        <w:spacing w:line="360" w:lineRule="auto"/>
        <w:rPr>
          <w:rFonts w:ascii="宋体" w:hAnsi="宋体"/>
          <w:bCs/>
          <w:color w:val="000000" w:themeColor="text1"/>
          <w:szCs w:val="21"/>
          <w:highlight w:val="none"/>
          <w14:textFill>
            <w14:solidFill>
              <w14:schemeClr w14:val="tx1"/>
            </w14:solidFill>
          </w14:textFill>
        </w:rPr>
      </w:pPr>
    </w:p>
    <w:p w14:paraId="27148D4A">
      <w:pPr>
        <w:spacing w:line="360" w:lineRule="auto"/>
        <w:rPr>
          <w:rFonts w:ascii="宋体" w:hAnsi="宋体"/>
          <w:bCs/>
          <w:color w:val="000000" w:themeColor="text1"/>
          <w:szCs w:val="21"/>
          <w:highlight w:val="none"/>
          <w14:textFill>
            <w14:solidFill>
              <w14:schemeClr w14:val="tx1"/>
            </w14:solidFill>
          </w14:textFill>
        </w:rPr>
      </w:pPr>
    </w:p>
    <w:p w14:paraId="342F3DFF">
      <w:pPr>
        <w:spacing w:line="360" w:lineRule="auto"/>
        <w:rPr>
          <w:rFonts w:ascii="宋体" w:hAnsi="宋体"/>
          <w:bCs/>
          <w:color w:val="000000" w:themeColor="text1"/>
          <w:szCs w:val="21"/>
          <w:highlight w:val="none"/>
          <w14:textFill>
            <w14:solidFill>
              <w14:schemeClr w14:val="tx1"/>
            </w14:solidFill>
          </w14:textFill>
        </w:rPr>
      </w:pPr>
    </w:p>
    <w:p w14:paraId="244E8DA2">
      <w:pPr>
        <w:spacing w:line="360" w:lineRule="auto"/>
        <w:rPr>
          <w:rFonts w:ascii="宋体" w:hAnsi="宋体"/>
          <w:bCs/>
          <w:color w:val="000000" w:themeColor="text1"/>
          <w:szCs w:val="21"/>
          <w:highlight w:val="none"/>
          <w14:textFill>
            <w14:solidFill>
              <w14:schemeClr w14:val="tx1"/>
            </w14:solidFill>
          </w14:textFill>
        </w:rPr>
      </w:pPr>
    </w:p>
    <w:p w14:paraId="160DD2EC">
      <w:pPr>
        <w:spacing w:line="360" w:lineRule="auto"/>
        <w:rPr>
          <w:rFonts w:ascii="宋体" w:hAnsi="宋体"/>
          <w:bCs/>
          <w:color w:val="000000" w:themeColor="text1"/>
          <w:szCs w:val="21"/>
          <w:highlight w:val="none"/>
          <w14:textFill>
            <w14:solidFill>
              <w14:schemeClr w14:val="tx1"/>
            </w14:solidFill>
          </w14:textFill>
        </w:rPr>
      </w:pPr>
    </w:p>
    <w:p w14:paraId="4A81DC2D">
      <w:pPr>
        <w:spacing w:line="360" w:lineRule="auto"/>
        <w:rPr>
          <w:rFonts w:ascii="宋体" w:hAnsi="宋体"/>
          <w:bCs/>
          <w:color w:val="000000" w:themeColor="text1"/>
          <w:szCs w:val="21"/>
          <w:highlight w:val="none"/>
          <w14:textFill>
            <w14:solidFill>
              <w14:schemeClr w14:val="tx1"/>
            </w14:solidFill>
          </w14:textFill>
        </w:rPr>
      </w:pPr>
    </w:p>
    <w:p w14:paraId="61384453">
      <w:pPr>
        <w:spacing w:line="360" w:lineRule="auto"/>
        <w:rPr>
          <w:rFonts w:ascii="宋体" w:hAnsi="宋体"/>
          <w:bCs/>
          <w:color w:val="000000" w:themeColor="text1"/>
          <w:szCs w:val="21"/>
          <w:highlight w:val="none"/>
          <w14:textFill>
            <w14:solidFill>
              <w14:schemeClr w14:val="tx1"/>
            </w14:solidFill>
          </w14:textFill>
        </w:rPr>
      </w:pPr>
    </w:p>
    <w:p w14:paraId="2F076584">
      <w:pPr>
        <w:spacing w:line="360" w:lineRule="auto"/>
        <w:rPr>
          <w:rFonts w:ascii="宋体" w:hAnsi="宋体"/>
          <w:bCs/>
          <w:color w:val="000000" w:themeColor="text1"/>
          <w:szCs w:val="21"/>
          <w:highlight w:val="none"/>
          <w14:textFill>
            <w14:solidFill>
              <w14:schemeClr w14:val="tx1"/>
            </w14:solidFill>
          </w14:textFill>
        </w:rPr>
      </w:pPr>
    </w:p>
    <w:p w14:paraId="172361CB">
      <w:pPr>
        <w:spacing w:line="360" w:lineRule="auto"/>
        <w:rPr>
          <w:rFonts w:ascii="宋体" w:hAnsi="宋体"/>
          <w:bCs/>
          <w:color w:val="000000" w:themeColor="text1"/>
          <w:szCs w:val="21"/>
          <w:highlight w:val="none"/>
          <w14:textFill>
            <w14:solidFill>
              <w14:schemeClr w14:val="tx1"/>
            </w14:solidFill>
          </w14:textFill>
        </w:rPr>
      </w:pPr>
    </w:p>
    <w:p w14:paraId="74757759">
      <w:pPr>
        <w:pStyle w:val="3"/>
        <w:numPr>
          <w:ilvl w:val="0"/>
          <w:numId w:val="0"/>
        </w:numPr>
        <w:spacing w:after="120" w:line="360" w:lineRule="auto"/>
        <w:jc w:val="center"/>
        <w:rPr>
          <w:rFonts w:ascii="宋体" w:hAnsi="宋体"/>
          <w:color w:val="000000" w:themeColor="text1"/>
          <w:sz w:val="21"/>
          <w:szCs w:val="21"/>
          <w:highlight w:val="none"/>
          <w14:textFill>
            <w14:solidFill>
              <w14:schemeClr w14:val="tx1"/>
            </w14:solidFill>
          </w14:textFill>
        </w:rPr>
      </w:pPr>
      <w:bookmarkStart w:id="184" w:name="_Toc200414512"/>
      <w:bookmarkStart w:id="185" w:name="_Toc11134"/>
      <w:r>
        <w:rPr>
          <w:rFonts w:hint="eastAsia" w:ascii="宋体" w:hAnsi="宋体"/>
          <w:color w:val="000000" w:themeColor="text1"/>
          <w:sz w:val="21"/>
          <w:szCs w:val="21"/>
          <w:highlight w:val="none"/>
          <w14:textFill>
            <w14:solidFill>
              <w14:schemeClr w14:val="tx1"/>
            </w14:solidFill>
          </w14:textFill>
        </w:rPr>
        <w:t>第五部分  谈判文件格式</w:t>
      </w:r>
      <w:bookmarkEnd w:id="184"/>
      <w:bookmarkEnd w:id="185"/>
    </w:p>
    <w:p w14:paraId="5E6417B8">
      <w:pPr>
        <w:pStyle w:val="4"/>
        <w:numPr>
          <w:ilvl w:val="1"/>
          <w:numId w:val="0"/>
        </w:numPr>
        <w:spacing w:line="360" w:lineRule="auto"/>
        <w:jc w:val="center"/>
        <w:rPr>
          <w:rFonts w:ascii="宋体" w:hAnsi="宋体" w:eastAsia="宋体"/>
          <w:color w:val="000000" w:themeColor="text1"/>
          <w:highlight w:val="none"/>
          <w14:textFill>
            <w14:solidFill>
              <w14:schemeClr w14:val="tx1"/>
            </w14:solidFill>
          </w14:textFill>
        </w:rPr>
      </w:pPr>
      <w:bookmarkStart w:id="186" w:name="_Toc22631"/>
      <w:bookmarkStart w:id="187" w:name="_Toc200414513"/>
      <w:r>
        <w:rPr>
          <w:rFonts w:hint="eastAsia" w:ascii="宋体" w:hAnsi="宋体" w:eastAsia="宋体"/>
          <w:color w:val="000000" w:themeColor="text1"/>
          <w:highlight w:val="none"/>
          <w14:textFill>
            <w14:solidFill>
              <w14:schemeClr w14:val="tx1"/>
            </w14:solidFill>
          </w14:textFill>
        </w:rPr>
        <w:t>封面格式</w:t>
      </w:r>
      <w:bookmarkEnd w:id="186"/>
      <w:bookmarkEnd w:id="187"/>
    </w:p>
    <w:p w14:paraId="1C5A46C8">
      <w:pPr>
        <w:pStyle w:val="2"/>
        <w:spacing w:line="360" w:lineRule="auto"/>
        <w:rPr>
          <w:rFonts w:ascii="宋体" w:hAnsi="宋体"/>
          <w:bCs/>
          <w:color w:val="000000" w:themeColor="text1"/>
          <w:szCs w:val="24"/>
          <w:highlight w:val="none"/>
          <w14:textFill>
            <w14:solidFill>
              <w14:schemeClr w14:val="tx1"/>
            </w14:solidFill>
          </w14:textFill>
        </w:rPr>
      </w:pPr>
    </w:p>
    <w:p w14:paraId="19678B89">
      <w:pPr>
        <w:pStyle w:val="2"/>
        <w:spacing w:line="360" w:lineRule="auto"/>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文件内容应当编有目录、页码，按页码排序并装订成册；一切未装订成册的文件在开标、评标过程中若出现缺页、漏页等现象可能影响投标人评审结果的，后果将由投标人本人负责。</w:t>
      </w:r>
    </w:p>
    <w:p w14:paraId="00E34387">
      <w:pPr>
        <w:pStyle w:val="2"/>
        <w:spacing w:line="360" w:lineRule="auto"/>
        <w:ind w:left="315" w:leftChars="150" w:firstLine="0"/>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谈判响应文件的封面格式由供应商自拟，并应注明“谈判响应文件、项目编号、项目名称、供应商</w:t>
      </w:r>
    </w:p>
    <w:p w14:paraId="5BD08D86">
      <w:pPr>
        <w:pStyle w:val="2"/>
        <w:spacing w:line="360" w:lineRule="auto"/>
        <w:ind w:firstLine="0"/>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名称及地址、法定代表人（负责人）或授权代理人、联系电话、传真、邮编，并加盖供应商公章。如：</w:t>
      </w:r>
    </w:p>
    <w:p w14:paraId="6266DDC3">
      <w:pPr>
        <w:pStyle w:val="2"/>
        <w:spacing w:line="360" w:lineRule="auto"/>
        <w:rPr>
          <w:rFonts w:ascii="宋体" w:hAnsi="宋体"/>
          <w:bCs/>
          <w:color w:val="000000" w:themeColor="text1"/>
          <w:szCs w:val="24"/>
          <w:highlight w:val="none"/>
          <w14:textFill>
            <w14:solidFill>
              <w14:schemeClr w14:val="tx1"/>
            </w14:solidFill>
          </w14:textFill>
        </w:rPr>
      </w:pPr>
    </w:p>
    <w:p w14:paraId="3B67549E">
      <w:pPr>
        <w:pStyle w:val="2"/>
        <w:spacing w:line="360" w:lineRule="auto"/>
        <w:rPr>
          <w:rFonts w:ascii="宋体" w:hAnsi="宋体"/>
          <w:bCs/>
          <w:color w:val="000000" w:themeColor="text1"/>
          <w:szCs w:val="24"/>
          <w:highlight w:val="none"/>
          <w14:textFill>
            <w14:solidFill>
              <w14:schemeClr w14:val="tx1"/>
            </w14:solidFill>
          </w14:textFill>
        </w:rPr>
      </w:pPr>
    </w:p>
    <w:p w14:paraId="27182DAE">
      <w:pPr>
        <w:pStyle w:val="2"/>
        <w:spacing w:line="360" w:lineRule="auto"/>
        <w:rPr>
          <w:rFonts w:ascii="宋体" w:hAnsi="宋体"/>
          <w:bCs/>
          <w:color w:val="000000" w:themeColor="text1"/>
          <w:szCs w:val="24"/>
          <w:highlight w:val="none"/>
          <w14:textFill>
            <w14:solidFill>
              <w14:schemeClr w14:val="tx1"/>
            </w14:solidFill>
          </w14:textFill>
        </w:rPr>
      </w:pPr>
    </w:p>
    <w:p w14:paraId="5BA667EB">
      <w:pPr>
        <w:pStyle w:val="2"/>
        <w:spacing w:line="360" w:lineRule="auto"/>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谈判响应文件</w:t>
      </w:r>
    </w:p>
    <w:p w14:paraId="1B8413A4">
      <w:pPr>
        <w:pStyle w:val="2"/>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（□正本、□副本）</w:t>
      </w:r>
    </w:p>
    <w:p w14:paraId="347D97B3">
      <w:pPr>
        <w:pStyle w:val="2"/>
        <w:spacing w:line="360" w:lineRule="auto"/>
        <w:jc w:val="center"/>
        <w:rPr>
          <w:rFonts w:ascii="宋体" w:hAnsi="宋体"/>
          <w:bCs/>
          <w:color w:val="000000" w:themeColor="text1"/>
          <w:szCs w:val="24"/>
          <w:highlight w:val="none"/>
          <w14:textFill>
            <w14:solidFill>
              <w14:schemeClr w14:val="tx1"/>
            </w14:solidFill>
          </w14:textFill>
        </w:rPr>
      </w:pPr>
    </w:p>
    <w:p w14:paraId="1A366441">
      <w:pPr>
        <w:pStyle w:val="2"/>
        <w:spacing w:line="360" w:lineRule="auto"/>
        <w:jc w:val="center"/>
        <w:rPr>
          <w:rFonts w:ascii="宋体" w:hAnsi="宋体"/>
          <w:bCs/>
          <w:color w:val="000000" w:themeColor="text1"/>
          <w:szCs w:val="24"/>
          <w:highlight w:val="none"/>
          <w14:textFill>
            <w14:solidFill>
              <w14:schemeClr w14:val="tx1"/>
            </w14:solidFill>
          </w14:textFill>
        </w:rPr>
      </w:pPr>
    </w:p>
    <w:p w14:paraId="13C69451">
      <w:pPr>
        <w:pStyle w:val="2"/>
        <w:spacing w:line="360" w:lineRule="auto"/>
        <w:rPr>
          <w:rFonts w:hint="eastAsia" w:ascii="宋体" w:hAnsi="宋体" w:eastAsia="宋体"/>
          <w:bCs/>
          <w:color w:val="000000" w:themeColor="text1"/>
          <w:szCs w:val="24"/>
          <w:highlight w:val="none"/>
          <w:lang w:eastAsia="zh-CN"/>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项目编号：</w:t>
      </w:r>
      <w:r>
        <w:rPr>
          <w:rFonts w:hint="eastAsia" w:ascii="宋体" w:hAnsi="宋体"/>
          <w:b/>
          <w:bCs/>
          <w:color w:val="000000" w:themeColor="text1"/>
          <w:szCs w:val="24"/>
          <w:highlight w:val="none"/>
          <w:u w:val="single"/>
          <w:lang w:eastAsia="zh-CN"/>
          <w14:textFill>
            <w14:solidFill>
              <w14:schemeClr w14:val="tx1"/>
            </w14:solidFill>
          </w14:textFill>
        </w:rPr>
        <w:t>YXCG-20260910</w:t>
      </w:r>
    </w:p>
    <w:p w14:paraId="2C537991">
      <w:pPr>
        <w:pStyle w:val="2"/>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项目名称：</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p>
    <w:p w14:paraId="3D67AEAA">
      <w:pPr>
        <w:pStyle w:val="2"/>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供应商名称（加盖公章）：</w:t>
      </w:r>
    </w:p>
    <w:p w14:paraId="105322CE">
      <w:pPr>
        <w:pStyle w:val="2"/>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供应商地址：</w:t>
      </w:r>
    </w:p>
    <w:p w14:paraId="2021EEAC">
      <w:pPr>
        <w:pStyle w:val="2"/>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法定代表人（负责人）或授权代理人（签字）</w:t>
      </w:r>
      <w:r>
        <w:rPr>
          <w:rFonts w:ascii="宋体" w:hAnsi="宋体"/>
          <w:bCs/>
          <w:color w:val="000000" w:themeColor="text1"/>
          <w:szCs w:val="24"/>
          <w:highlight w:val="none"/>
          <w14:textFill>
            <w14:solidFill>
              <w14:schemeClr w14:val="tx1"/>
            </w14:solidFill>
          </w14:textFill>
        </w:rPr>
        <w:t>：</w:t>
      </w:r>
    </w:p>
    <w:p w14:paraId="10786A3A">
      <w:pPr>
        <w:pStyle w:val="2"/>
        <w:spacing w:line="360" w:lineRule="auto"/>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联系</w:t>
      </w:r>
      <w:r>
        <w:rPr>
          <w:rFonts w:ascii="宋体" w:hAnsi="宋体"/>
          <w:bCs/>
          <w:color w:val="000000" w:themeColor="text1"/>
          <w:szCs w:val="24"/>
          <w:highlight w:val="none"/>
          <w14:textFill>
            <w14:solidFill>
              <w14:schemeClr w14:val="tx1"/>
            </w14:solidFill>
          </w14:textFill>
        </w:rPr>
        <w:t>电话：</w:t>
      </w:r>
    </w:p>
    <w:p w14:paraId="2CB9A7D9">
      <w:pPr>
        <w:pStyle w:val="2"/>
        <w:spacing w:line="360" w:lineRule="auto"/>
        <w:ind w:firstLineChars="200"/>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传真：</w:t>
      </w:r>
    </w:p>
    <w:p w14:paraId="27141167">
      <w:pPr>
        <w:pStyle w:val="2"/>
        <w:spacing w:line="360" w:lineRule="auto"/>
        <w:rPr>
          <w:rFonts w:ascii="宋体" w:hAnsi="宋体"/>
          <w:bCs/>
          <w:color w:val="000000" w:themeColor="text1"/>
          <w:szCs w:val="24"/>
          <w:highlight w:val="none"/>
          <w:u w:val="single"/>
          <w14:textFill>
            <w14:solidFill>
              <w14:schemeClr w14:val="tx1"/>
            </w14:solidFill>
          </w14:textFill>
        </w:rPr>
      </w:pPr>
      <w:r>
        <w:rPr>
          <w:rFonts w:ascii="宋体" w:hAnsi="宋体"/>
          <w:bCs/>
          <w:color w:val="000000" w:themeColor="text1"/>
          <w:szCs w:val="24"/>
          <w:highlight w:val="none"/>
          <w14:textFill>
            <w14:solidFill>
              <w14:schemeClr w14:val="tx1"/>
            </w14:solidFill>
          </w14:textFill>
        </w:rPr>
        <w:t>邮编：</w:t>
      </w:r>
    </w:p>
    <w:p w14:paraId="555903C5">
      <w:pPr>
        <w:pStyle w:val="2"/>
        <w:spacing w:line="360" w:lineRule="auto"/>
        <w:rPr>
          <w:rFonts w:ascii="宋体" w:hAnsi="宋体"/>
          <w:color w:val="000000" w:themeColor="text1"/>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编制日期：年月日</w:t>
      </w:r>
    </w:p>
    <w:p w14:paraId="3BE3E96A">
      <w:pPr>
        <w:tabs>
          <w:tab w:val="left" w:pos="1004"/>
          <w:tab w:val="left" w:pos="4267"/>
        </w:tabs>
        <w:spacing w:line="360" w:lineRule="auto"/>
        <w:rPr>
          <w:rFonts w:ascii="宋体" w:hAnsi="宋体"/>
          <w:bCs/>
          <w:color w:val="000000" w:themeColor="text1"/>
          <w:highlight w:val="none"/>
          <w14:textFill>
            <w14:solidFill>
              <w14:schemeClr w14:val="tx1"/>
            </w14:solidFill>
          </w14:textFill>
        </w:rPr>
      </w:pPr>
    </w:p>
    <w:p w14:paraId="7AE4220C">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6305933C">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4974030E">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21B34018">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1BDD8859">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70DAF275">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749FC534">
      <w:pPr>
        <w:tabs>
          <w:tab w:val="left" w:pos="1004"/>
          <w:tab w:val="left" w:pos="4267"/>
        </w:tabs>
        <w:spacing w:line="360" w:lineRule="auto"/>
        <w:rPr>
          <w:rFonts w:ascii="宋体" w:hAnsi="宋体"/>
          <w:bCs/>
          <w:color w:val="000000" w:themeColor="text1"/>
          <w:highlight w:val="none"/>
          <w14:textFill>
            <w14:solidFill>
              <w14:schemeClr w14:val="tx1"/>
            </w14:solidFill>
          </w14:textFill>
        </w:rPr>
      </w:pPr>
    </w:p>
    <w:p w14:paraId="1DE8F9C6">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sectPr>
          <w:pgSz w:w="11906" w:h="16838"/>
          <w:pgMar w:top="1247" w:right="1247" w:bottom="1247" w:left="1247" w:header="851" w:footer="992" w:gutter="0"/>
          <w:cols w:space="720" w:num="1"/>
          <w:docGrid w:linePitch="312" w:charSpace="0"/>
        </w:sectPr>
      </w:pPr>
    </w:p>
    <w:p w14:paraId="0A23D5F0">
      <w:pPr>
        <w:pStyle w:val="4"/>
        <w:numPr>
          <w:ilvl w:val="1"/>
          <w:numId w:val="0"/>
        </w:numPr>
        <w:spacing w:line="360" w:lineRule="auto"/>
        <w:jc w:val="center"/>
        <w:rPr>
          <w:rFonts w:ascii="宋体" w:hAnsi="宋体" w:eastAsia="宋体"/>
          <w:color w:val="000000" w:themeColor="text1"/>
          <w:sz w:val="21"/>
          <w:szCs w:val="21"/>
          <w:highlight w:val="none"/>
          <w14:textFill>
            <w14:solidFill>
              <w14:schemeClr w14:val="tx1"/>
            </w14:solidFill>
          </w14:textFill>
        </w:rPr>
      </w:pPr>
      <w:bookmarkStart w:id="188" w:name="_Toc200414514"/>
      <w:bookmarkStart w:id="189" w:name="_Toc24668"/>
      <w:r>
        <w:rPr>
          <w:rFonts w:hint="eastAsia" w:ascii="宋体" w:hAnsi="宋体" w:eastAsia="宋体"/>
          <w:color w:val="000000" w:themeColor="text1"/>
          <w:sz w:val="21"/>
          <w:szCs w:val="21"/>
          <w:highlight w:val="none"/>
          <w14:textFill>
            <w14:solidFill>
              <w14:schemeClr w14:val="tx1"/>
            </w14:solidFill>
          </w14:textFill>
        </w:rPr>
        <w:t>第一章  资格性/符合性自查表</w:t>
      </w:r>
      <w:bookmarkEnd w:id="188"/>
      <w:bookmarkEnd w:id="189"/>
    </w:p>
    <w:tbl>
      <w:tblPr>
        <w:tblStyle w:val="43"/>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733"/>
        <w:gridCol w:w="2875"/>
        <w:gridCol w:w="1800"/>
        <w:gridCol w:w="1988"/>
      </w:tblGrid>
      <w:tr w14:paraId="723B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64" w:type="dxa"/>
            <w:gridSpan w:val="2"/>
            <w:vAlign w:val="center"/>
          </w:tcPr>
          <w:p w14:paraId="526F46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875" w:type="dxa"/>
            <w:vAlign w:val="center"/>
          </w:tcPr>
          <w:p w14:paraId="44D8469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谈判文件要求</w:t>
            </w:r>
          </w:p>
        </w:tc>
        <w:tc>
          <w:tcPr>
            <w:tcW w:w="1800" w:type="dxa"/>
            <w:vAlign w:val="center"/>
          </w:tcPr>
          <w:p w14:paraId="74602DC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5D35AD98">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1988" w:type="dxa"/>
            <w:vAlign w:val="center"/>
          </w:tcPr>
          <w:p w14:paraId="3C2E09D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C3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jc w:val="center"/>
        </w:trPr>
        <w:tc>
          <w:tcPr>
            <w:tcW w:w="1131" w:type="dxa"/>
            <w:vMerge w:val="restart"/>
            <w:vAlign w:val="center"/>
          </w:tcPr>
          <w:p w14:paraId="65393986">
            <w:pPr>
              <w:tabs>
                <w:tab w:val="left" w:pos="480"/>
              </w:tabs>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w:t>
            </w:r>
          </w:p>
          <w:p w14:paraId="478BF091">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733" w:type="dxa"/>
            <w:vMerge w:val="restart"/>
            <w:vAlign w:val="center"/>
          </w:tcPr>
          <w:p w14:paraId="5EB08008">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投标人要求</w:t>
            </w:r>
          </w:p>
        </w:tc>
        <w:tc>
          <w:tcPr>
            <w:tcW w:w="2875" w:type="dxa"/>
            <w:vAlign w:val="center"/>
          </w:tcPr>
          <w:p w14:paraId="11FC3AE3">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投标人应具备《中华人民共和国政府采购法》第二十二条规定的条件</w:t>
            </w:r>
          </w:p>
          <w:p w14:paraId="716DE6B3">
            <w:pPr>
              <w:tabs>
                <w:tab w:val="left" w:pos="0"/>
              </w:tabs>
              <w:rPr>
                <w:rFonts w:ascii="宋体" w:hAnsi="宋体"/>
                <w:b/>
                <w:bCs/>
                <w:color w:val="000000" w:themeColor="text1"/>
                <w:szCs w:val="21"/>
                <w:highlight w:val="none"/>
                <w14:textFill>
                  <w14:solidFill>
                    <w14:schemeClr w14:val="tx1"/>
                  </w14:solidFill>
                </w14:textFill>
              </w:rPr>
            </w:pPr>
          </w:p>
        </w:tc>
        <w:tc>
          <w:tcPr>
            <w:tcW w:w="1800" w:type="dxa"/>
            <w:vAlign w:val="center"/>
          </w:tcPr>
          <w:p w14:paraId="5305080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046302B3">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见谈判响应文件</w:t>
            </w:r>
          </w:p>
          <w:p w14:paraId="7F5B54B3">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7C95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131" w:type="dxa"/>
            <w:vMerge w:val="continue"/>
            <w:vAlign w:val="center"/>
          </w:tcPr>
          <w:p w14:paraId="2C97025D">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3077C598">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875" w:type="dxa"/>
            <w:vAlign w:val="center"/>
          </w:tcPr>
          <w:p w14:paraId="6F35334A">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tc>
        <w:tc>
          <w:tcPr>
            <w:tcW w:w="1800" w:type="dxa"/>
            <w:vAlign w:val="center"/>
          </w:tcPr>
          <w:p w14:paraId="600E7084">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4BF7273E">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1255817">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750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131" w:type="dxa"/>
            <w:vMerge w:val="continue"/>
            <w:vAlign w:val="center"/>
          </w:tcPr>
          <w:p w14:paraId="646F0B6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0AC6B232">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875" w:type="dxa"/>
            <w:vAlign w:val="center"/>
          </w:tcPr>
          <w:p w14:paraId="3B3B204B">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tc>
        <w:tc>
          <w:tcPr>
            <w:tcW w:w="1800" w:type="dxa"/>
            <w:vAlign w:val="center"/>
          </w:tcPr>
          <w:p w14:paraId="1F4FA01F">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7F054B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4EABB1B7">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32E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131" w:type="dxa"/>
            <w:vMerge w:val="continue"/>
            <w:vAlign w:val="center"/>
          </w:tcPr>
          <w:p w14:paraId="04A8B5E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6A1504ED">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875" w:type="dxa"/>
            <w:vAlign w:val="center"/>
          </w:tcPr>
          <w:p w14:paraId="5921DA1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1800" w:type="dxa"/>
            <w:vAlign w:val="center"/>
          </w:tcPr>
          <w:p w14:paraId="0A7D6F20">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073DB98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28DBE37">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F5E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31" w:type="dxa"/>
            <w:vMerge w:val="restart"/>
            <w:vAlign w:val="center"/>
          </w:tcPr>
          <w:p w14:paraId="68641E5E">
            <w:pPr>
              <w:tabs>
                <w:tab w:val="left" w:pos="480"/>
              </w:tabs>
              <w:ind w:left="480" w:hanging="480"/>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符合性审</w:t>
            </w:r>
          </w:p>
          <w:p w14:paraId="3FC18CA9">
            <w:pPr>
              <w:tabs>
                <w:tab w:val="left" w:pos="480"/>
              </w:tabs>
              <w:ind w:left="480" w:hanging="480"/>
              <w:jc w:val="both"/>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733" w:type="dxa"/>
            <w:vAlign w:val="center"/>
          </w:tcPr>
          <w:p w14:paraId="074055F1">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lang w:val="en-US" w:eastAsia="zh-CN"/>
                <w14:textFill>
                  <w14:solidFill>
                    <w14:schemeClr w14:val="tx1"/>
                  </w14:solidFill>
                </w14:textFill>
              </w:rPr>
              <w:t>限</w:t>
            </w:r>
            <w:r>
              <w:rPr>
                <w:rFonts w:hint="eastAsia" w:ascii="宋体" w:hAnsi="宋体"/>
                <w:color w:val="000000" w:themeColor="text1"/>
                <w:szCs w:val="21"/>
                <w:highlight w:val="none"/>
                <w14:textFill>
                  <w14:solidFill>
                    <w14:schemeClr w14:val="tx1"/>
                  </w14:solidFill>
                </w14:textFill>
              </w:rPr>
              <w:t>须满足要求</w:t>
            </w:r>
          </w:p>
        </w:tc>
        <w:tc>
          <w:tcPr>
            <w:tcW w:w="2875" w:type="dxa"/>
            <w:vAlign w:val="center"/>
          </w:tcPr>
          <w:p w14:paraId="2D50B84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0" w:type="dxa"/>
            <w:vAlign w:val="center"/>
          </w:tcPr>
          <w:p w14:paraId="18E20144">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2EB28CD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9BEEB8F">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997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131" w:type="dxa"/>
            <w:vMerge w:val="continue"/>
          </w:tcPr>
          <w:p w14:paraId="728A7592">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3AB64596">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投标报价未超出报价上限</w:t>
            </w:r>
          </w:p>
        </w:tc>
        <w:tc>
          <w:tcPr>
            <w:tcW w:w="2875" w:type="dxa"/>
            <w:vAlign w:val="center"/>
          </w:tcPr>
          <w:p w14:paraId="702EFDC2">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0" w:type="dxa"/>
            <w:vAlign w:val="center"/>
          </w:tcPr>
          <w:p w14:paraId="3161774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71DE4CE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344647D8">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B1E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131" w:type="dxa"/>
            <w:vMerge w:val="continue"/>
          </w:tcPr>
          <w:p w14:paraId="0057D69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3852F00E">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875" w:type="dxa"/>
            <w:vAlign w:val="center"/>
          </w:tcPr>
          <w:p w14:paraId="68E27FEB">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00" w:type="dxa"/>
            <w:vAlign w:val="center"/>
          </w:tcPr>
          <w:p w14:paraId="3E39998B">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1988" w:type="dxa"/>
            <w:vAlign w:val="center"/>
          </w:tcPr>
          <w:p w14:paraId="3F8A597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403045D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122A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131" w:type="dxa"/>
            <w:vMerge w:val="continue"/>
          </w:tcPr>
          <w:p w14:paraId="41979F9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527492B2">
            <w:pPr>
              <w:tabs>
                <w:tab w:val="left" w:pos="146"/>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不接受联合体投标</w:t>
            </w:r>
          </w:p>
        </w:tc>
        <w:tc>
          <w:tcPr>
            <w:tcW w:w="2875" w:type="dxa"/>
            <w:vAlign w:val="center"/>
          </w:tcPr>
          <w:p w14:paraId="58F84B54">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0" w:type="dxa"/>
            <w:vAlign w:val="center"/>
          </w:tcPr>
          <w:p w14:paraId="5AC72B0F">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1988" w:type="dxa"/>
            <w:vAlign w:val="center"/>
          </w:tcPr>
          <w:p w14:paraId="64E30A60">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5D7C0AA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1D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31" w:type="dxa"/>
            <w:vMerge w:val="continue"/>
          </w:tcPr>
          <w:p w14:paraId="3460057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1844D858">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875" w:type="dxa"/>
            <w:vAlign w:val="center"/>
          </w:tcPr>
          <w:p w14:paraId="55FD2092">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按资料清单中规定提供“必须提交”的文件资料</w:t>
            </w:r>
          </w:p>
        </w:tc>
        <w:tc>
          <w:tcPr>
            <w:tcW w:w="1800" w:type="dxa"/>
            <w:vAlign w:val="center"/>
          </w:tcPr>
          <w:p w14:paraId="29BBA3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88" w:type="dxa"/>
            <w:vAlign w:val="center"/>
          </w:tcPr>
          <w:p w14:paraId="7D9A387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74BBF85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53E86804">
      <w:pPr>
        <w:spacing w:line="360" w:lineRule="auto"/>
        <w:rPr>
          <w:rFonts w:ascii="宋体" w:hAnsi="宋体"/>
          <w:b/>
          <w:bCs/>
          <w:color w:val="000000" w:themeColor="text1"/>
          <w:szCs w:val="21"/>
          <w:highlight w:val="none"/>
          <w14:textFill>
            <w14:solidFill>
              <w14:schemeClr w14:val="tx1"/>
            </w14:solidFill>
          </w14:textFill>
        </w:rPr>
      </w:pPr>
    </w:p>
    <w:p w14:paraId="490052F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bCs/>
          <w:color w:val="000000" w:themeColor="text1"/>
          <w:szCs w:val="21"/>
          <w:highlight w:val="none"/>
          <w14:textFill>
            <w14:solidFill>
              <w14:schemeClr w14:val="tx1"/>
            </w14:solidFill>
          </w14:textFill>
        </w:rPr>
        <w:t>投标供应商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bCs/>
          <w:color w:val="000000" w:themeColor="text1"/>
          <w:szCs w:val="21"/>
          <w:highlight w:val="none"/>
          <w14:textFill>
            <w14:solidFill>
              <w14:schemeClr w14:val="tx1"/>
            </w14:solidFill>
          </w14:textFill>
        </w:rPr>
        <w:t>投标供应商</w:t>
      </w:r>
      <w:r>
        <w:rPr>
          <w:rFonts w:hint="eastAsia" w:ascii="宋体" w:hAnsi="宋体"/>
          <w:color w:val="000000" w:themeColor="text1"/>
          <w:szCs w:val="21"/>
          <w:highlight w:val="none"/>
          <w14:textFill>
            <w14:solidFill>
              <w14:schemeClr w14:val="tx1"/>
            </w14:solidFill>
          </w14:textFill>
        </w:rPr>
        <w:t>必须严格按照其内容及序列要求在谈判响应文件中对应如实提供，对缺漏和不符合项或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65EEC21E">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、投标供应商的</w:t>
      </w:r>
      <w:r>
        <w:rPr>
          <w:rFonts w:hint="eastAsia" w:ascii="宋体" w:hAnsi="宋体"/>
          <w:color w:val="000000" w:themeColor="text1"/>
          <w:szCs w:val="21"/>
          <w:highlight w:val="none"/>
          <w14:textFill>
            <w14:solidFill>
              <w14:schemeClr w14:val="tx1"/>
            </w14:solidFill>
          </w14:textFill>
        </w:rPr>
        <w:t>谈判响应</w:t>
      </w:r>
      <w:r>
        <w:rPr>
          <w:rFonts w:hint="eastAsia" w:ascii="宋体" w:hAnsi="宋体"/>
          <w:bCs/>
          <w:color w:val="000000" w:themeColor="text1"/>
          <w:szCs w:val="21"/>
          <w:highlight w:val="none"/>
          <w14:textFill>
            <w14:solidFill>
              <w14:schemeClr w14:val="tx1"/>
            </w14:solidFill>
          </w14:textFill>
        </w:rPr>
        <w:t>文件为法定代表人（负责人）签署并由法定代表人（负责人）亲自递交</w:t>
      </w:r>
      <w:r>
        <w:rPr>
          <w:rFonts w:hint="eastAsia" w:ascii="宋体" w:hAnsi="宋体"/>
          <w:color w:val="000000" w:themeColor="text1"/>
          <w:szCs w:val="21"/>
          <w:highlight w:val="none"/>
          <w14:textFill>
            <w14:solidFill>
              <w14:schemeClr w14:val="tx1"/>
            </w14:solidFill>
          </w14:textFill>
        </w:rPr>
        <w:t>谈判响应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color w:val="000000" w:themeColor="text1"/>
          <w:szCs w:val="21"/>
          <w:highlight w:val="none"/>
          <w14:textFill>
            <w14:solidFill>
              <w14:schemeClr w14:val="tx1"/>
            </w14:solidFill>
          </w14:textFill>
        </w:rPr>
        <w:t>谈判</w:t>
      </w:r>
      <w:r>
        <w:rPr>
          <w:rFonts w:hint="eastAsia" w:ascii="宋体" w:hAnsi="宋体"/>
          <w:bCs/>
          <w:color w:val="000000" w:themeColor="text1"/>
          <w:szCs w:val="21"/>
          <w:highlight w:val="none"/>
          <w14:textFill>
            <w14:solidFill>
              <w14:schemeClr w14:val="tx1"/>
            </w14:solidFill>
          </w14:textFill>
        </w:rPr>
        <w:t>的，可不提供“法定代表人（负责人）授权书”及“代理人身份证”。</w:t>
      </w:r>
    </w:p>
    <w:p w14:paraId="755F63B5">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4710CABA">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6C85E4C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2E9907C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05226109">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p>
    <w:p w14:paraId="0A3124A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   月   日</w:t>
      </w:r>
    </w:p>
    <w:p w14:paraId="287EAC5C">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33AEF414">
      <w:pPr>
        <w:spacing w:line="360" w:lineRule="auto"/>
        <w:rPr>
          <w:rFonts w:ascii="宋体" w:hAnsi="宋体"/>
          <w:color w:val="000000" w:themeColor="text1"/>
          <w:sz w:val="18"/>
          <w:szCs w:val="18"/>
          <w:highlight w:val="none"/>
          <w14:textFill>
            <w14:solidFill>
              <w14:schemeClr w14:val="tx1"/>
            </w14:solidFill>
          </w14:textFill>
        </w:rPr>
        <w:sectPr>
          <w:headerReference r:id="rId7" w:type="default"/>
          <w:pgSz w:w="11906" w:h="16838"/>
          <w:pgMar w:top="1134" w:right="1418" w:bottom="1134" w:left="1134" w:header="851" w:footer="992" w:gutter="0"/>
          <w:cols w:space="720" w:num="1"/>
          <w:docGrid w:linePitch="312" w:charSpace="0"/>
        </w:sectPr>
      </w:pPr>
    </w:p>
    <w:p w14:paraId="10FFC04A">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0" w:name="_Toc200414515"/>
      <w:bookmarkStart w:id="191" w:name="_Toc23005"/>
      <w:r>
        <w:rPr>
          <w:rFonts w:hint="eastAsia" w:ascii="宋体" w:hAnsi="宋体" w:eastAsia="宋体"/>
          <w:color w:val="000000" w:themeColor="text1"/>
          <w:sz w:val="28"/>
          <w:szCs w:val="28"/>
          <w:highlight w:val="none"/>
          <w14:textFill>
            <w14:solidFill>
              <w14:schemeClr w14:val="tx1"/>
            </w14:solidFill>
          </w14:textFill>
        </w:rPr>
        <w:t>（一）无重大违法记录声明函</w:t>
      </w:r>
      <w:bookmarkEnd w:id="190"/>
      <w:bookmarkEnd w:id="191"/>
    </w:p>
    <w:p w14:paraId="63909D7C">
      <w:pPr>
        <w:pStyle w:val="2"/>
        <w:spacing w:line="360" w:lineRule="auto"/>
        <w:ind w:left="420" w:firstLine="0"/>
        <w:rPr>
          <w:rFonts w:ascii="宋体" w:hAnsi="宋体"/>
          <w:color w:val="000000" w:themeColor="text1"/>
          <w:highlight w:val="none"/>
          <w14:textFill>
            <w14:solidFill>
              <w14:schemeClr w14:val="tx1"/>
            </w14:solidFill>
          </w14:textFill>
        </w:rPr>
      </w:pPr>
    </w:p>
    <w:p w14:paraId="77A3115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0E77AE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，我方郑重承诺：</w:t>
      </w:r>
    </w:p>
    <w:p w14:paraId="3321FA7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780A4A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66C65E3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BF8CD2B">
      <w:pPr>
        <w:spacing w:line="360" w:lineRule="auto"/>
        <w:ind w:firstLine="660"/>
        <w:rPr>
          <w:rFonts w:ascii="宋体" w:hAnsi="宋体"/>
          <w:color w:val="000000" w:themeColor="text1"/>
          <w:szCs w:val="21"/>
          <w:highlight w:val="none"/>
          <w14:textFill>
            <w14:solidFill>
              <w14:schemeClr w14:val="tx1"/>
            </w14:solidFill>
          </w14:textFill>
        </w:rPr>
      </w:pPr>
    </w:p>
    <w:p w14:paraId="307B0116">
      <w:pPr>
        <w:spacing w:line="360" w:lineRule="auto"/>
        <w:ind w:firstLine="660"/>
        <w:rPr>
          <w:rFonts w:ascii="宋体" w:hAnsi="宋体"/>
          <w:color w:val="000000" w:themeColor="text1"/>
          <w:szCs w:val="21"/>
          <w:highlight w:val="none"/>
          <w14:textFill>
            <w14:solidFill>
              <w14:schemeClr w14:val="tx1"/>
            </w14:solidFill>
          </w14:textFill>
        </w:rPr>
      </w:pPr>
    </w:p>
    <w:p w14:paraId="2AA73874">
      <w:pPr>
        <w:spacing w:line="360" w:lineRule="auto"/>
        <w:ind w:firstLine="660"/>
        <w:rPr>
          <w:rFonts w:ascii="宋体" w:hAnsi="宋体"/>
          <w:color w:val="000000" w:themeColor="text1"/>
          <w:szCs w:val="21"/>
          <w:highlight w:val="none"/>
          <w14:textFill>
            <w14:solidFill>
              <w14:schemeClr w14:val="tx1"/>
            </w14:solidFill>
          </w14:textFill>
        </w:rPr>
      </w:pPr>
    </w:p>
    <w:p w14:paraId="21EC4729">
      <w:pPr>
        <w:spacing w:line="360" w:lineRule="auto"/>
        <w:ind w:firstLine="660"/>
        <w:rPr>
          <w:rFonts w:ascii="宋体" w:hAnsi="宋体"/>
          <w:color w:val="000000" w:themeColor="text1"/>
          <w:szCs w:val="21"/>
          <w:highlight w:val="none"/>
          <w14:textFill>
            <w14:solidFill>
              <w14:schemeClr w14:val="tx1"/>
            </w14:solidFill>
          </w14:textFill>
        </w:rPr>
      </w:pPr>
    </w:p>
    <w:p w14:paraId="6B7DC51D">
      <w:pPr>
        <w:spacing w:line="360" w:lineRule="auto"/>
        <w:ind w:firstLine="660"/>
        <w:rPr>
          <w:rFonts w:ascii="宋体" w:hAnsi="宋体"/>
          <w:color w:val="000000" w:themeColor="text1"/>
          <w:szCs w:val="21"/>
          <w:highlight w:val="none"/>
          <w14:textFill>
            <w14:solidFill>
              <w14:schemeClr w14:val="tx1"/>
            </w14:solidFill>
          </w14:textFill>
        </w:rPr>
      </w:pPr>
    </w:p>
    <w:p w14:paraId="7464A750">
      <w:pPr>
        <w:spacing w:line="360" w:lineRule="auto"/>
        <w:ind w:firstLine="660"/>
        <w:rPr>
          <w:rFonts w:ascii="宋体" w:hAnsi="宋体"/>
          <w:color w:val="000000" w:themeColor="text1"/>
          <w:szCs w:val="21"/>
          <w:highlight w:val="none"/>
          <w14:textFill>
            <w14:solidFill>
              <w14:schemeClr w14:val="tx1"/>
            </w14:solidFill>
          </w14:textFill>
        </w:rPr>
      </w:pPr>
    </w:p>
    <w:p w14:paraId="581193B6">
      <w:pPr>
        <w:spacing w:line="360" w:lineRule="auto"/>
        <w:ind w:firstLine="660"/>
        <w:rPr>
          <w:rFonts w:ascii="宋体" w:hAnsi="宋体"/>
          <w:color w:val="000000" w:themeColor="text1"/>
          <w:szCs w:val="21"/>
          <w:highlight w:val="none"/>
          <w14:textFill>
            <w14:solidFill>
              <w14:schemeClr w14:val="tx1"/>
            </w14:solidFill>
          </w14:textFill>
        </w:rPr>
      </w:pPr>
    </w:p>
    <w:p w14:paraId="07985E48">
      <w:pPr>
        <w:spacing w:line="360" w:lineRule="auto"/>
        <w:ind w:firstLine="660"/>
        <w:rPr>
          <w:rFonts w:ascii="宋体" w:hAnsi="宋体"/>
          <w:color w:val="000000" w:themeColor="text1"/>
          <w:szCs w:val="21"/>
          <w:highlight w:val="none"/>
          <w14:textFill>
            <w14:solidFill>
              <w14:schemeClr w14:val="tx1"/>
            </w14:solidFill>
          </w14:textFill>
        </w:rPr>
      </w:pPr>
    </w:p>
    <w:p w14:paraId="5E3836A8">
      <w:pPr>
        <w:spacing w:line="360" w:lineRule="auto"/>
        <w:ind w:firstLine="660"/>
        <w:rPr>
          <w:rFonts w:ascii="宋体" w:hAnsi="宋体"/>
          <w:color w:val="000000" w:themeColor="text1"/>
          <w:szCs w:val="21"/>
          <w:highlight w:val="none"/>
          <w14:textFill>
            <w14:solidFill>
              <w14:schemeClr w14:val="tx1"/>
            </w14:solidFill>
          </w14:textFill>
        </w:rPr>
      </w:pPr>
    </w:p>
    <w:p w14:paraId="02093B71">
      <w:pPr>
        <w:spacing w:line="360" w:lineRule="auto"/>
        <w:ind w:firstLine="660"/>
        <w:rPr>
          <w:rFonts w:ascii="宋体" w:hAnsi="宋体"/>
          <w:color w:val="000000" w:themeColor="text1"/>
          <w:szCs w:val="21"/>
          <w:highlight w:val="none"/>
          <w14:textFill>
            <w14:solidFill>
              <w14:schemeClr w14:val="tx1"/>
            </w14:solidFill>
          </w14:textFill>
        </w:rPr>
      </w:pPr>
    </w:p>
    <w:p w14:paraId="5F879A7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p>
    <w:p w14:paraId="1895E3E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p>
    <w:p w14:paraId="6851C7B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3E2634AB">
      <w:pPr>
        <w:pStyle w:val="2"/>
        <w:spacing w:line="360" w:lineRule="auto"/>
        <w:ind w:left="420" w:firstLine="0"/>
        <w:rPr>
          <w:rFonts w:ascii="宋体" w:hAnsi="宋体"/>
          <w:color w:val="000000" w:themeColor="text1"/>
          <w:highlight w:val="none"/>
          <w14:textFill>
            <w14:solidFill>
              <w14:schemeClr w14:val="tx1"/>
            </w14:solidFill>
          </w14:textFill>
        </w:rPr>
      </w:pPr>
    </w:p>
    <w:p w14:paraId="56FD0E71">
      <w:pPr>
        <w:pStyle w:val="2"/>
        <w:spacing w:line="360" w:lineRule="auto"/>
        <w:ind w:left="420" w:firstLine="0"/>
        <w:rPr>
          <w:rFonts w:ascii="宋体" w:hAnsi="宋体"/>
          <w:color w:val="000000" w:themeColor="text1"/>
          <w:highlight w:val="none"/>
          <w14:textFill>
            <w14:solidFill>
              <w14:schemeClr w14:val="tx1"/>
            </w14:solidFill>
          </w14:textFill>
        </w:rPr>
      </w:pPr>
    </w:p>
    <w:p w14:paraId="0A2F8037">
      <w:pPr>
        <w:pStyle w:val="2"/>
        <w:spacing w:line="360" w:lineRule="auto"/>
        <w:ind w:left="420" w:firstLine="0"/>
        <w:rPr>
          <w:rFonts w:ascii="宋体" w:hAnsi="宋体"/>
          <w:color w:val="000000" w:themeColor="text1"/>
          <w:highlight w:val="none"/>
          <w14:textFill>
            <w14:solidFill>
              <w14:schemeClr w14:val="tx1"/>
            </w14:solidFill>
          </w14:textFill>
        </w:rPr>
      </w:pPr>
    </w:p>
    <w:p w14:paraId="19DC4455">
      <w:pPr>
        <w:pStyle w:val="2"/>
        <w:spacing w:line="360" w:lineRule="auto"/>
        <w:ind w:left="420" w:firstLine="0"/>
        <w:rPr>
          <w:rFonts w:ascii="宋体" w:hAnsi="宋体"/>
          <w:color w:val="000000" w:themeColor="text1"/>
          <w:highlight w:val="none"/>
          <w14:textFill>
            <w14:solidFill>
              <w14:schemeClr w14:val="tx1"/>
            </w14:solidFill>
          </w14:textFill>
        </w:rPr>
      </w:pPr>
    </w:p>
    <w:p w14:paraId="647B6ABC">
      <w:pPr>
        <w:pStyle w:val="2"/>
        <w:spacing w:line="360" w:lineRule="auto"/>
        <w:ind w:left="420" w:firstLine="0"/>
        <w:rPr>
          <w:rFonts w:ascii="宋体" w:hAnsi="宋体"/>
          <w:color w:val="000000" w:themeColor="text1"/>
          <w:highlight w:val="none"/>
          <w14:textFill>
            <w14:solidFill>
              <w14:schemeClr w14:val="tx1"/>
            </w14:solidFill>
          </w14:textFill>
        </w:rPr>
      </w:pPr>
    </w:p>
    <w:p w14:paraId="711F2A15">
      <w:pPr>
        <w:pStyle w:val="2"/>
        <w:spacing w:line="360" w:lineRule="auto"/>
        <w:ind w:left="420" w:firstLine="0"/>
        <w:rPr>
          <w:rFonts w:ascii="宋体" w:hAnsi="宋体"/>
          <w:color w:val="000000" w:themeColor="text1"/>
          <w:highlight w:val="none"/>
          <w14:textFill>
            <w14:solidFill>
              <w14:schemeClr w14:val="tx1"/>
            </w14:solidFill>
          </w14:textFill>
        </w:rPr>
      </w:pPr>
    </w:p>
    <w:p w14:paraId="34682C97">
      <w:pPr>
        <w:pStyle w:val="2"/>
        <w:spacing w:line="360" w:lineRule="auto"/>
        <w:ind w:left="420" w:firstLine="0"/>
        <w:rPr>
          <w:rFonts w:ascii="宋体" w:hAnsi="宋体"/>
          <w:color w:val="000000" w:themeColor="text1"/>
          <w:highlight w:val="none"/>
          <w14:textFill>
            <w14:solidFill>
              <w14:schemeClr w14:val="tx1"/>
            </w14:solidFill>
          </w14:textFill>
        </w:rPr>
      </w:pPr>
    </w:p>
    <w:p w14:paraId="7C15E01D">
      <w:pPr>
        <w:pStyle w:val="2"/>
        <w:spacing w:line="360" w:lineRule="auto"/>
        <w:ind w:left="420" w:firstLine="0"/>
        <w:rPr>
          <w:rFonts w:ascii="宋体" w:hAnsi="宋体"/>
          <w:color w:val="000000" w:themeColor="text1"/>
          <w:highlight w:val="none"/>
          <w14:textFill>
            <w14:solidFill>
              <w14:schemeClr w14:val="tx1"/>
            </w14:solidFill>
          </w14:textFill>
        </w:rPr>
      </w:pPr>
    </w:p>
    <w:p w14:paraId="15B712BD">
      <w:pPr>
        <w:pStyle w:val="2"/>
        <w:spacing w:line="360" w:lineRule="auto"/>
        <w:ind w:left="420" w:firstLine="0"/>
        <w:rPr>
          <w:rFonts w:ascii="宋体" w:hAnsi="宋体"/>
          <w:color w:val="000000" w:themeColor="text1"/>
          <w:highlight w:val="none"/>
          <w14:textFill>
            <w14:solidFill>
              <w14:schemeClr w14:val="tx1"/>
            </w14:solidFill>
          </w14:textFill>
        </w:rPr>
      </w:pPr>
    </w:p>
    <w:p w14:paraId="1BE60E9A">
      <w:pPr>
        <w:pStyle w:val="2"/>
        <w:spacing w:line="360" w:lineRule="auto"/>
        <w:ind w:left="420" w:firstLine="0"/>
        <w:rPr>
          <w:rFonts w:ascii="宋体" w:hAnsi="宋体"/>
          <w:color w:val="000000" w:themeColor="text1"/>
          <w:highlight w:val="none"/>
          <w14:textFill>
            <w14:solidFill>
              <w14:schemeClr w14:val="tx1"/>
            </w14:solidFill>
          </w14:textFill>
        </w:rPr>
      </w:pPr>
    </w:p>
    <w:p w14:paraId="6B2F1E5C">
      <w:pPr>
        <w:pStyle w:val="2"/>
        <w:spacing w:line="360" w:lineRule="auto"/>
        <w:ind w:left="420" w:firstLine="0"/>
        <w:rPr>
          <w:rFonts w:ascii="宋体" w:hAnsi="宋体"/>
          <w:color w:val="000000" w:themeColor="text1"/>
          <w:highlight w:val="none"/>
          <w14:textFill>
            <w14:solidFill>
              <w14:schemeClr w14:val="tx1"/>
            </w14:solidFill>
          </w14:textFill>
        </w:rPr>
      </w:pPr>
    </w:p>
    <w:p w14:paraId="184C9186">
      <w:pPr>
        <w:pStyle w:val="2"/>
        <w:spacing w:line="360" w:lineRule="auto"/>
        <w:ind w:left="420" w:firstLine="0"/>
        <w:rPr>
          <w:rFonts w:ascii="宋体" w:hAnsi="宋体"/>
          <w:color w:val="000000" w:themeColor="text1"/>
          <w:highlight w:val="none"/>
          <w14:textFill>
            <w14:solidFill>
              <w14:schemeClr w14:val="tx1"/>
            </w14:solidFill>
          </w14:textFill>
        </w:rPr>
      </w:pPr>
    </w:p>
    <w:p w14:paraId="0F7BB614">
      <w:pPr>
        <w:pStyle w:val="4"/>
        <w:numPr>
          <w:ilvl w:val="1"/>
          <w:numId w:val="0"/>
        </w:numPr>
        <w:spacing w:line="360" w:lineRule="auto"/>
        <w:jc w:val="center"/>
        <w:rPr>
          <w:rFonts w:ascii="宋体" w:hAnsi="宋体" w:eastAsia="宋体"/>
          <w:color w:val="000000" w:themeColor="text1"/>
          <w:kern w:val="0"/>
          <w:sz w:val="28"/>
          <w:szCs w:val="28"/>
          <w:highlight w:val="none"/>
          <w14:textFill>
            <w14:solidFill>
              <w14:schemeClr w14:val="tx1"/>
            </w14:solidFill>
          </w14:textFill>
        </w:rPr>
      </w:pPr>
      <w:bookmarkStart w:id="192" w:name="_Toc200414516"/>
      <w:bookmarkStart w:id="193" w:name="_Toc16624"/>
      <w:r>
        <w:rPr>
          <w:rFonts w:hint="eastAsia" w:ascii="宋体" w:hAnsi="宋体" w:eastAsia="宋体"/>
          <w:color w:val="000000" w:themeColor="text1"/>
          <w:kern w:val="0"/>
          <w:sz w:val="28"/>
          <w:szCs w:val="28"/>
          <w:highlight w:val="none"/>
          <w14:textFill>
            <w14:solidFill>
              <w14:schemeClr w14:val="tx1"/>
            </w14:solidFill>
          </w14:textFill>
        </w:rPr>
        <w:t>（二）法定代表人（负责人）证明书</w:t>
      </w:r>
      <w:bookmarkEnd w:id="192"/>
      <w:bookmarkEnd w:id="193"/>
    </w:p>
    <w:p w14:paraId="00C0B3BB">
      <w:pPr>
        <w:pStyle w:val="2"/>
        <w:spacing w:line="360" w:lineRule="auto"/>
        <w:rPr>
          <w:rFonts w:ascii="宋体" w:hAnsi="宋体"/>
          <w:color w:val="000000" w:themeColor="text1"/>
          <w:highlight w:val="none"/>
          <w14:textFill>
            <w14:solidFill>
              <w14:schemeClr w14:val="tx1"/>
            </w14:solidFill>
          </w14:textFill>
        </w:rPr>
      </w:pPr>
    </w:p>
    <w:p w14:paraId="07A1E9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0F0E8A45">
      <w:pPr>
        <w:spacing w:line="360" w:lineRule="auto"/>
        <w:ind w:firstLine="420" w:firstLineChars="200"/>
        <w:rPr>
          <w:rFonts w:ascii="宋体" w:hAnsi="宋体"/>
          <w:color w:val="000000" w:themeColor="text1"/>
          <w:highlight w:val="none"/>
          <w14:textFill>
            <w14:solidFill>
              <w14:schemeClr w14:val="tx1"/>
            </w14:solidFill>
          </w14:textFill>
        </w:rPr>
      </w:pPr>
    </w:p>
    <w:p w14:paraId="2C09102D">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5751DC4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555D12A">
      <w:pPr>
        <w:spacing w:line="360" w:lineRule="auto"/>
        <w:ind w:firstLine="420" w:firstLineChars="200"/>
        <w:rPr>
          <w:rFonts w:ascii="宋体" w:hAnsi="宋体"/>
          <w:color w:val="000000" w:themeColor="text1"/>
          <w:highlight w:val="none"/>
          <w14:textFill>
            <w14:solidFill>
              <w14:schemeClr w14:val="tx1"/>
            </w14:solidFill>
          </w14:textFill>
        </w:rPr>
      </w:pPr>
    </w:p>
    <w:p w14:paraId="1BFEEF2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附：代表人性别： 年龄：岁    </w:t>
      </w:r>
    </w:p>
    <w:p w14:paraId="22217B42">
      <w:pPr>
        <w:spacing w:line="360" w:lineRule="auto"/>
        <w:ind w:firstLine="420" w:firstLineChars="200"/>
        <w:rPr>
          <w:rFonts w:ascii="宋体" w:hAnsi="宋体"/>
          <w:color w:val="000000" w:themeColor="text1"/>
          <w:highlight w:val="none"/>
          <w14:textFill>
            <w14:solidFill>
              <w14:schemeClr w14:val="tx1"/>
            </w14:solidFill>
          </w14:textFill>
        </w:rPr>
      </w:pPr>
    </w:p>
    <w:p w14:paraId="6E1A7EE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77F07C5E">
      <w:pPr>
        <w:pStyle w:val="2"/>
        <w:spacing w:line="360" w:lineRule="auto"/>
        <w:rPr>
          <w:rFonts w:ascii="宋体" w:hAnsi="宋体"/>
          <w:color w:val="000000" w:themeColor="text1"/>
          <w:highlight w:val="none"/>
          <w14:textFill>
            <w14:solidFill>
              <w14:schemeClr w14:val="tx1"/>
            </w14:solidFill>
          </w14:textFill>
        </w:rPr>
      </w:pPr>
    </w:p>
    <w:p w14:paraId="494F6519">
      <w:pPr>
        <w:pStyle w:val="2"/>
        <w:spacing w:line="360" w:lineRule="auto"/>
        <w:rPr>
          <w:rFonts w:ascii="宋体" w:hAnsi="宋体"/>
          <w:color w:val="000000" w:themeColor="text1"/>
          <w:highlight w:val="none"/>
          <w14:textFill>
            <w14:solidFill>
              <w14:schemeClr w14:val="tx1"/>
            </w14:solidFill>
          </w14:textFill>
        </w:rPr>
      </w:pPr>
    </w:p>
    <w:p w14:paraId="7D9F3226">
      <w:pPr>
        <w:pStyle w:val="2"/>
        <w:spacing w:line="360" w:lineRule="auto"/>
        <w:rPr>
          <w:rFonts w:ascii="宋体" w:hAnsi="宋体"/>
          <w:color w:val="000000" w:themeColor="text1"/>
          <w:highlight w:val="none"/>
          <w14:textFill>
            <w14:solidFill>
              <w14:schemeClr w14:val="tx1"/>
            </w14:solidFill>
          </w14:textFill>
        </w:rPr>
      </w:pPr>
    </w:p>
    <w:p w14:paraId="5131F5C4">
      <w:pPr>
        <w:pStyle w:val="2"/>
        <w:spacing w:line="360" w:lineRule="auto"/>
        <w:ind w:firstLine="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pict>
          <v:shape id="自选图形 193" o:spid="_x0000_s1026" o:spt="176" type="#_x0000_t176" style="position:absolute;left:0pt;margin-left:62.75pt;margin-top:6.95pt;height:140.3pt;width:275.8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">
            <v:path/>
            <v:fill focussize="0,0"/>
            <v:stroke joinstyle="miter"/>
            <v:imagedata o:title=""/>
            <o:lock v:ext="edit"/>
            <v:textbox>
              <w:txbxContent>
                <w:p w14:paraId="53E1EB66">
                  <w:pPr>
                    <w:rPr>
                      <w:rFonts w:ascii="宋体" w:hAnsi="宋体"/>
                      <w:szCs w:val="21"/>
                    </w:rPr>
                  </w:pPr>
                </w:p>
                <w:p w14:paraId="5B457199">
                  <w:pPr>
                    <w:rPr>
                      <w:rFonts w:ascii="宋体" w:hAnsi="宋体"/>
                      <w:szCs w:val="21"/>
                    </w:rPr>
                  </w:pPr>
                </w:p>
                <w:p w14:paraId="107CA76E">
                  <w:pPr>
                    <w:rPr>
                      <w:rFonts w:ascii="宋体" w:hAnsi="宋体"/>
                      <w:szCs w:val="21"/>
                    </w:rPr>
                  </w:pPr>
                </w:p>
                <w:p w14:paraId="68B1F2D6">
                  <w:pPr>
                    <w:jc w:val="center"/>
                    <w:rPr>
                      <w:rFonts w:ascii="宋体" w:hAnsi="宋体"/>
                      <w:szCs w:val="21"/>
                    </w:rPr>
                  </w:pPr>
                  <w:r>
                    <w:rPr>
                      <w:rFonts w:hint="eastAsia" w:ascii="宋体" w:hAnsi="宋体"/>
                      <w:szCs w:val="21"/>
                    </w:rPr>
                    <w:t>身份证正反面复印件</w:t>
                  </w:r>
                </w:p>
              </w:txbxContent>
            </v:textbox>
          </v:shape>
        </w:pict>
      </w:r>
    </w:p>
    <w:p w14:paraId="0B2C7034">
      <w:pPr>
        <w:pStyle w:val="2"/>
        <w:spacing w:line="360" w:lineRule="auto"/>
        <w:ind w:firstLine="0"/>
        <w:rPr>
          <w:rFonts w:ascii="宋体" w:hAnsi="宋体"/>
          <w:color w:val="000000" w:themeColor="text1"/>
          <w:highlight w:val="none"/>
          <w14:textFill>
            <w14:solidFill>
              <w14:schemeClr w14:val="tx1"/>
            </w14:solidFill>
          </w14:textFill>
        </w:rPr>
      </w:pPr>
    </w:p>
    <w:p w14:paraId="1F89B5B9">
      <w:pPr>
        <w:pStyle w:val="2"/>
        <w:spacing w:line="360" w:lineRule="auto"/>
        <w:ind w:firstLine="0"/>
        <w:rPr>
          <w:rFonts w:ascii="宋体" w:hAnsi="宋体"/>
          <w:color w:val="000000" w:themeColor="text1"/>
          <w:highlight w:val="none"/>
          <w14:textFill>
            <w14:solidFill>
              <w14:schemeClr w14:val="tx1"/>
            </w14:solidFill>
          </w14:textFill>
        </w:rPr>
      </w:pPr>
    </w:p>
    <w:p w14:paraId="28B3497F">
      <w:pPr>
        <w:pStyle w:val="2"/>
        <w:spacing w:line="360" w:lineRule="auto"/>
        <w:ind w:firstLine="0"/>
        <w:rPr>
          <w:rFonts w:ascii="宋体" w:hAnsi="宋体"/>
          <w:color w:val="000000" w:themeColor="text1"/>
          <w:highlight w:val="none"/>
          <w14:textFill>
            <w14:solidFill>
              <w14:schemeClr w14:val="tx1"/>
            </w14:solidFill>
          </w14:textFill>
        </w:rPr>
      </w:pPr>
    </w:p>
    <w:p w14:paraId="65CC8026">
      <w:pPr>
        <w:pStyle w:val="2"/>
        <w:spacing w:line="360" w:lineRule="auto"/>
        <w:rPr>
          <w:rFonts w:ascii="宋体" w:hAnsi="宋体"/>
          <w:color w:val="000000" w:themeColor="text1"/>
          <w:highlight w:val="none"/>
          <w14:textFill>
            <w14:solidFill>
              <w14:schemeClr w14:val="tx1"/>
            </w14:solidFill>
          </w14:textFill>
        </w:rPr>
      </w:pPr>
    </w:p>
    <w:p w14:paraId="33B7D5CF">
      <w:pPr>
        <w:pStyle w:val="2"/>
        <w:spacing w:line="360" w:lineRule="auto"/>
        <w:rPr>
          <w:rFonts w:ascii="宋体" w:hAnsi="宋体"/>
          <w:color w:val="000000" w:themeColor="text1"/>
          <w:highlight w:val="none"/>
          <w14:textFill>
            <w14:solidFill>
              <w14:schemeClr w14:val="tx1"/>
            </w14:solidFill>
          </w14:textFill>
        </w:rPr>
      </w:pPr>
    </w:p>
    <w:p w14:paraId="7DF7617F">
      <w:pPr>
        <w:pStyle w:val="2"/>
        <w:spacing w:line="360" w:lineRule="auto"/>
        <w:rPr>
          <w:rFonts w:ascii="宋体" w:hAnsi="宋体"/>
          <w:color w:val="000000" w:themeColor="text1"/>
          <w:highlight w:val="none"/>
          <w14:textFill>
            <w14:solidFill>
              <w14:schemeClr w14:val="tx1"/>
            </w14:solidFill>
          </w14:textFill>
        </w:rPr>
      </w:pPr>
    </w:p>
    <w:p w14:paraId="018487B8">
      <w:pPr>
        <w:pStyle w:val="2"/>
        <w:spacing w:line="360" w:lineRule="auto"/>
        <w:rPr>
          <w:rFonts w:ascii="宋体" w:hAnsi="宋体"/>
          <w:color w:val="000000" w:themeColor="text1"/>
          <w:highlight w:val="none"/>
          <w14:textFill>
            <w14:solidFill>
              <w14:schemeClr w14:val="tx1"/>
            </w14:solidFill>
          </w14:textFill>
        </w:rPr>
      </w:pPr>
    </w:p>
    <w:p w14:paraId="380E5DF8">
      <w:pPr>
        <w:pStyle w:val="2"/>
        <w:spacing w:line="360" w:lineRule="auto"/>
        <w:rPr>
          <w:rFonts w:ascii="宋体" w:hAnsi="宋体"/>
          <w:color w:val="000000" w:themeColor="text1"/>
          <w:highlight w:val="none"/>
          <w14:textFill>
            <w14:solidFill>
              <w14:schemeClr w14:val="tx1"/>
            </w14:solidFill>
          </w14:textFill>
        </w:rPr>
      </w:pPr>
    </w:p>
    <w:p w14:paraId="4C443137">
      <w:pPr>
        <w:pStyle w:val="2"/>
        <w:spacing w:line="360" w:lineRule="auto"/>
        <w:rPr>
          <w:rFonts w:ascii="宋体" w:hAnsi="宋体"/>
          <w:color w:val="000000" w:themeColor="text1"/>
          <w:highlight w:val="none"/>
          <w14:textFill>
            <w14:solidFill>
              <w14:schemeClr w14:val="tx1"/>
            </w14:solidFill>
          </w14:textFill>
        </w:rPr>
      </w:pPr>
    </w:p>
    <w:p w14:paraId="2501ED99">
      <w:pPr>
        <w:pStyle w:val="2"/>
        <w:spacing w:line="360" w:lineRule="auto"/>
        <w:rPr>
          <w:rFonts w:ascii="宋体" w:hAnsi="宋体"/>
          <w:color w:val="000000" w:themeColor="text1"/>
          <w:highlight w:val="none"/>
          <w14:textFill>
            <w14:solidFill>
              <w14:schemeClr w14:val="tx1"/>
            </w14:solidFill>
          </w14:textFill>
        </w:rPr>
      </w:pPr>
    </w:p>
    <w:p w14:paraId="321D2ADE">
      <w:pPr>
        <w:pStyle w:val="2"/>
        <w:spacing w:line="360" w:lineRule="auto"/>
        <w:rPr>
          <w:rFonts w:ascii="宋体" w:hAnsi="宋体"/>
          <w:color w:val="000000" w:themeColor="text1"/>
          <w:highlight w:val="none"/>
          <w14:textFill>
            <w14:solidFill>
              <w14:schemeClr w14:val="tx1"/>
            </w14:solidFill>
          </w14:textFill>
        </w:rPr>
      </w:pPr>
    </w:p>
    <w:p w14:paraId="1461CA2F">
      <w:pPr>
        <w:pStyle w:val="2"/>
        <w:spacing w:line="360" w:lineRule="auto"/>
        <w:rPr>
          <w:rFonts w:ascii="宋体" w:hAnsi="宋体"/>
          <w:color w:val="000000" w:themeColor="text1"/>
          <w:highlight w:val="none"/>
          <w14:textFill>
            <w14:solidFill>
              <w14:schemeClr w14:val="tx1"/>
            </w14:solidFill>
          </w14:textFill>
        </w:rPr>
      </w:pPr>
    </w:p>
    <w:p w14:paraId="6AC4D572">
      <w:pPr>
        <w:pStyle w:val="2"/>
        <w:spacing w:line="360" w:lineRule="auto"/>
        <w:rPr>
          <w:rFonts w:ascii="宋体" w:hAnsi="宋体"/>
          <w:color w:val="000000" w:themeColor="text1"/>
          <w:highlight w:val="none"/>
          <w14:textFill>
            <w14:solidFill>
              <w14:schemeClr w14:val="tx1"/>
            </w14:solidFill>
          </w14:textFill>
        </w:rPr>
      </w:pPr>
    </w:p>
    <w:p w14:paraId="479B5387">
      <w:pPr>
        <w:pStyle w:val="2"/>
        <w:spacing w:line="360" w:lineRule="auto"/>
        <w:rPr>
          <w:rFonts w:ascii="宋体" w:hAnsi="宋体"/>
          <w:color w:val="000000" w:themeColor="text1"/>
          <w:highlight w:val="none"/>
          <w14:textFill>
            <w14:solidFill>
              <w14:schemeClr w14:val="tx1"/>
            </w14:solidFill>
          </w14:textFill>
        </w:rPr>
      </w:pPr>
    </w:p>
    <w:p w14:paraId="218CEEA3">
      <w:pPr>
        <w:pStyle w:val="2"/>
        <w:spacing w:line="360" w:lineRule="auto"/>
        <w:rPr>
          <w:rFonts w:ascii="宋体" w:hAnsi="宋体"/>
          <w:color w:val="000000" w:themeColor="text1"/>
          <w:highlight w:val="none"/>
          <w14:textFill>
            <w14:solidFill>
              <w14:schemeClr w14:val="tx1"/>
            </w14:solidFill>
          </w14:textFill>
        </w:rPr>
      </w:pPr>
    </w:p>
    <w:p w14:paraId="46234428">
      <w:pPr>
        <w:pStyle w:val="2"/>
        <w:spacing w:line="360" w:lineRule="auto"/>
        <w:rPr>
          <w:rFonts w:ascii="宋体" w:hAnsi="宋体"/>
          <w:color w:val="000000" w:themeColor="text1"/>
          <w:highlight w:val="none"/>
          <w14:textFill>
            <w14:solidFill>
              <w14:schemeClr w14:val="tx1"/>
            </w14:solidFill>
          </w14:textFill>
        </w:rPr>
      </w:pPr>
    </w:p>
    <w:p w14:paraId="55D436E3">
      <w:pPr>
        <w:pStyle w:val="2"/>
        <w:spacing w:line="360" w:lineRule="auto"/>
        <w:ind w:firstLine="0"/>
        <w:rPr>
          <w:rFonts w:ascii="宋体" w:hAnsi="宋体"/>
          <w:color w:val="000000" w:themeColor="text1"/>
          <w:highlight w:val="none"/>
          <w14:textFill>
            <w14:solidFill>
              <w14:schemeClr w14:val="tx1"/>
            </w14:solidFill>
          </w14:textFill>
        </w:rPr>
      </w:pPr>
    </w:p>
    <w:p w14:paraId="6FD75D1B">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4" w:name="_Toc14820"/>
      <w:bookmarkStart w:id="195" w:name="_Toc200414517"/>
      <w:r>
        <w:rPr>
          <w:rFonts w:hint="eastAsia" w:ascii="宋体" w:hAnsi="宋体" w:eastAsia="宋体"/>
          <w:color w:val="000000" w:themeColor="text1"/>
          <w:sz w:val="28"/>
          <w:szCs w:val="28"/>
          <w:highlight w:val="none"/>
          <w14:textFill>
            <w14:solidFill>
              <w14:schemeClr w14:val="tx1"/>
            </w14:solidFill>
          </w14:textFill>
        </w:rPr>
        <w:t>（三）法定代表人（负责人）授权书</w:t>
      </w:r>
      <w:bookmarkEnd w:id="194"/>
      <w:bookmarkEnd w:id="195"/>
    </w:p>
    <w:p w14:paraId="489E3C15">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bCs/>
          <w:color w:val="000000" w:themeColor="text1"/>
          <w:szCs w:val="21"/>
          <w:highlight w:val="none"/>
          <w14:textFill>
            <w14:solidFill>
              <w14:schemeClr w14:val="tx1"/>
            </w14:solidFill>
          </w14:textFill>
        </w:rPr>
        <w:t>谈判项目（项目编号</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的活动。代理人在开标、评标、合同谈判过程中所签署的一切文件和处理与之有关的一切事务，我均予以承认。本授权委托书自签署之日起生效，特此声明。</w:t>
      </w:r>
    </w:p>
    <w:p w14:paraId="041BCAC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4DCBBE17">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7C67DD7B">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10BF591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    性别：   年龄：   职务：</w:t>
      </w:r>
    </w:p>
    <w:p w14:paraId="73A3AA3F">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43B6A71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92AE5D6">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4155D969">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2E43415F">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（注：供应商的谈判响应文件为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亲自递交谈判响应文件和参加谈判的，不须提供该委托书，但需提供法定代表人（负责人）证明书及法定代表人（负责人）的身份证复印件。）</w:t>
      </w:r>
    </w:p>
    <w:p w14:paraId="01A58EE0">
      <w:pPr>
        <w:spacing w:line="360" w:lineRule="auto"/>
        <w:rPr>
          <w:rFonts w:ascii="宋体" w:hAnsi="宋体"/>
          <w:color w:val="000000" w:themeColor="text1"/>
          <w:szCs w:val="21"/>
          <w:highlight w:val="none"/>
          <w14:textFill>
            <w14:solidFill>
              <w14:schemeClr w14:val="tx1"/>
            </w14:solidFill>
          </w14:textFill>
        </w:rPr>
      </w:pPr>
    </w:p>
    <w:p w14:paraId="3395908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pict>
          <v:shape id="自选图形 192" o:spid="_x0000_s1027" o:spt="176" type="#_x0000_t176" style="position:absolute;left:0pt;margin-left:99.75pt;margin-top:10.95pt;height:140.3pt;width:275.8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">
            <v:path/>
            <v:fill focussize="0,0"/>
            <v:stroke joinstyle="miter"/>
            <v:imagedata o:title=""/>
            <o:lock v:ext="edit"/>
            <v:textbox>
              <w:txbxContent>
                <w:p w14:paraId="0A08747F">
                  <w:pPr>
                    <w:rPr>
                      <w:rFonts w:ascii="宋体" w:hAnsi="宋体"/>
                      <w:szCs w:val="21"/>
                    </w:rPr>
                  </w:pPr>
                </w:p>
                <w:p w14:paraId="472BD315">
                  <w:pPr>
                    <w:rPr>
                      <w:rFonts w:ascii="宋体" w:hAnsi="宋体"/>
                      <w:szCs w:val="21"/>
                    </w:rPr>
                  </w:pPr>
                </w:p>
                <w:p w14:paraId="28921504">
                  <w:pPr>
                    <w:rPr>
                      <w:rFonts w:ascii="宋体" w:hAnsi="宋体"/>
                      <w:szCs w:val="21"/>
                    </w:rPr>
                  </w:pPr>
                </w:p>
                <w:p w14:paraId="19D4F446">
                  <w:pPr>
                    <w:jc w:val="center"/>
                    <w:rPr>
                      <w:rFonts w:ascii="宋体" w:hAnsi="宋体"/>
                      <w:szCs w:val="21"/>
                    </w:rPr>
                  </w:pPr>
                  <w:r>
                    <w:rPr>
                      <w:rFonts w:hint="eastAsia" w:ascii="宋体" w:hAnsi="宋体"/>
                      <w:szCs w:val="21"/>
                    </w:rPr>
                    <w:t>身份证正反面复印件</w:t>
                  </w:r>
                </w:p>
              </w:txbxContent>
            </v:textbox>
          </v:shape>
        </w:pict>
      </w:r>
    </w:p>
    <w:p w14:paraId="6ECB0C7E">
      <w:pPr>
        <w:spacing w:line="360" w:lineRule="auto"/>
        <w:rPr>
          <w:rFonts w:ascii="宋体" w:hAnsi="宋体"/>
          <w:color w:val="000000" w:themeColor="text1"/>
          <w:szCs w:val="21"/>
          <w:highlight w:val="none"/>
          <w14:textFill>
            <w14:solidFill>
              <w14:schemeClr w14:val="tx1"/>
            </w14:solidFill>
          </w14:textFill>
        </w:rPr>
      </w:pPr>
    </w:p>
    <w:p w14:paraId="4BFE119E">
      <w:pPr>
        <w:spacing w:line="360" w:lineRule="auto"/>
        <w:rPr>
          <w:rFonts w:ascii="宋体" w:hAnsi="宋体"/>
          <w:color w:val="000000" w:themeColor="text1"/>
          <w:szCs w:val="21"/>
          <w:highlight w:val="none"/>
          <w14:textFill>
            <w14:solidFill>
              <w14:schemeClr w14:val="tx1"/>
            </w14:solidFill>
          </w14:textFill>
        </w:rPr>
      </w:pPr>
    </w:p>
    <w:p w14:paraId="62C961DD">
      <w:pPr>
        <w:spacing w:line="360" w:lineRule="auto"/>
        <w:rPr>
          <w:rFonts w:ascii="宋体" w:hAnsi="宋体"/>
          <w:color w:val="000000" w:themeColor="text1"/>
          <w:szCs w:val="21"/>
          <w:highlight w:val="none"/>
          <w14:textFill>
            <w14:solidFill>
              <w14:schemeClr w14:val="tx1"/>
            </w14:solidFill>
          </w14:textFill>
        </w:rPr>
      </w:pPr>
    </w:p>
    <w:p w14:paraId="316951DE">
      <w:pPr>
        <w:spacing w:line="360" w:lineRule="auto"/>
        <w:rPr>
          <w:rFonts w:ascii="宋体" w:hAnsi="宋体"/>
          <w:color w:val="000000" w:themeColor="text1"/>
          <w:szCs w:val="21"/>
          <w:highlight w:val="none"/>
          <w14:textFill>
            <w14:solidFill>
              <w14:schemeClr w14:val="tx1"/>
            </w14:solidFill>
          </w14:textFill>
        </w:rPr>
      </w:pPr>
    </w:p>
    <w:p w14:paraId="724190F5">
      <w:pPr>
        <w:spacing w:line="360" w:lineRule="auto"/>
        <w:rPr>
          <w:rFonts w:ascii="宋体" w:hAnsi="宋体"/>
          <w:color w:val="000000" w:themeColor="text1"/>
          <w:szCs w:val="21"/>
          <w:highlight w:val="none"/>
          <w14:textFill>
            <w14:solidFill>
              <w14:schemeClr w14:val="tx1"/>
            </w14:solidFill>
          </w14:textFill>
        </w:rPr>
      </w:pPr>
    </w:p>
    <w:p w14:paraId="2E50621F">
      <w:pPr>
        <w:spacing w:line="360" w:lineRule="auto"/>
        <w:rPr>
          <w:rFonts w:ascii="宋体" w:hAnsi="宋体"/>
          <w:color w:val="000000" w:themeColor="text1"/>
          <w:szCs w:val="21"/>
          <w:highlight w:val="none"/>
          <w14:textFill>
            <w14:solidFill>
              <w14:schemeClr w14:val="tx1"/>
            </w14:solidFill>
          </w14:textFill>
        </w:rPr>
      </w:pPr>
    </w:p>
    <w:p w14:paraId="4A7A268C">
      <w:pPr>
        <w:spacing w:line="360" w:lineRule="auto"/>
        <w:rPr>
          <w:rFonts w:ascii="宋体" w:hAnsi="宋体"/>
          <w:color w:val="000000" w:themeColor="text1"/>
          <w:szCs w:val="21"/>
          <w:highlight w:val="none"/>
          <w14:textFill>
            <w14:solidFill>
              <w14:schemeClr w14:val="tx1"/>
            </w14:solidFill>
          </w14:textFill>
        </w:rPr>
      </w:pPr>
    </w:p>
    <w:p w14:paraId="3BDD4DD1">
      <w:pPr>
        <w:spacing w:line="360" w:lineRule="auto"/>
        <w:rPr>
          <w:rFonts w:ascii="宋体" w:hAnsi="宋体"/>
          <w:color w:val="000000" w:themeColor="text1"/>
          <w:szCs w:val="21"/>
          <w:highlight w:val="none"/>
          <w14:textFill>
            <w14:solidFill>
              <w14:schemeClr w14:val="tx1"/>
            </w14:solidFill>
          </w14:textFill>
        </w:rPr>
      </w:pPr>
    </w:p>
    <w:p w14:paraId="52E58C38">
      <w:pPr>
        <w:spacing w:line="360" w:lineRule="auto"/>
        <w:rPr>
          <w:rFonts w:ascii="宋体" w:hAnsi="宋体"/>
          <w:color w:val="000000" w:themeColor="text1"/>
          <w:szCs w:val="21"/>
          <w:highlight w:val="none"/>
          <w14:textFill>
            <w14:solidFill>
              <w14:schemeClr w14:val="tx1"/>
            </w14:solidFill>
          </w14:textFill>
        </w:rPr>
      </w:pPr>
    </w:p>
    <w:p w14:paraId="166BCFF2">
      <w:pPr>
        <w:spacing w:line="360" w:lineRule="auto"/>
        <w:rPr>
          <w:rFonts w:ascii="宋体" w:hAnsi="宋体"/>
          <w:color w:val="000000" w:themeColor="text1"/>
          <w:highlight w:val="none"/>
          <w14:textFill>
            <w14:solidFill>
              <w14:schemeClr w14:val="tx1"/>
            </w14:solidFill>
          </w14:textFill>
        </w:rPr>
      </w:pPr>
    </w:p>
    <w:p w14:paraId="7C07C294">
      <w:pPr>
        <w:spacing w:line="360" w:lineRule="auto"/>
        <w:rPr>
          <w:rFonts w:ascii="宋体" w:hAnsi="宋体"/>
          <w:color w:val="000000" w:themeColor="text1"/>
          <w:highlight w:val="none"/>
          <w14:textFill>
            <w14:solidFill>
              <w14:schemeClr w14:val="tx1"/>
            </w14:solidFill>
          </w14:textFill>
        </w:rPr>
      </w:pPr>
    </w:p>
    <w:p w14:paraId="3460E7B9">
      <w:pPr>
        <w:spacing w:line="360" w:lineRule="auto"/>
        <w:rPr>
          <w:rFonts w:ascii="宋体" w:hAnsi="宋体"/>
          <w:color w:val="000000" w:themeColor="text1"/>
          <w:highlight w:val="none"/>
          <w14:textFill>
            <w14:solidFill>
              <w14:schemeClr w14:val="tx1"/>
            </w14:solidFill>
          </w14:textFill>
        </w:rPr>
      </w:pPr>
    </w:p>
    <w:p w14:paraId="37FDEA4A">
      <w:pPr>
        <w:spacing w:line="360" w:lineRule="auto"/>
        <w:rPr>
          <w:rFonts w:ascii="宋体" w:hAnsi="宋体"/>
          <w:color w:val="000000" w:themeColor="text1"/>
          <w:highlight w:val="none"/>
          <w14:textFill>
            <w14:solidFill>
              <w14:schemeClr w14:val="tx1"/>
            </w14:solidFill>
          </w14:textFill>
        </w:rPr>
      </w:pPr>
    </w:p>
    <w:p w14:paraId="4965D7F9">
      <w:pPr>
        <w:spacing w:line="360" w:lineRule="auto"/>
        <w:rPr>
          <w:rFonts w:ascii="宋体" w:hAnsi="宋体"/>
          <w:color w:val="000000" w:themeColor="text1"/>
          <w:highlight w:val="none"/>
          <w14:textFill>
            <w14:solidFill>
              <w14:schemeClr w14:val="tx1"/>
            </w14:solidFill>
          </w14:textFill>
        </w:rPr>
      </w:pPr>
    </w:p>
    <w:p w14:paraId="431620FB">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6" w:name="_Toc200414522"/>
      <w:bookmarkStart w:id="197" w:name="_Toc2473"/>
      <w:r>
        <w:rPr>
          <w:rFonts w:hint="eastAsia" w:ascii="宋体" w:hAnsi="宋体" w:eastAsia="宋体"/>
          <w:color w:val="000000" w:themeColor="text1"/>
          <w:sz w:val="28"/>
          <w:szCs w:val="28"/>
          <w:highlight w:val="none"/>
          <w14:textFill>
            <w14:solidFill>
              <w14:schemeClr w14:val="tx1"/>
            </w14:solidFill>
          </w14:textFill>
        </w:rPr>
        <w:t>（四）</w:t>
      </w:r>
      <w:bookmarkEnd w:id="196"/>
      <w:r>
        <w:rPr>
          <w:rFonts w:hint="eastAsia" w:ascii="宋体" w:hAnsi="宋体" w:eastAsia="宋体"/>
          <w:color w:val="000000" w:themeColor="text1"/>
          <w:sz w:val="28"/>
          <w:szCs w:val="28"/>
          <w:highlight w:val="none"/>
          <w14:textFill>
            <w14:solidFill>
              <w14:schemeClr w14:val="tx1"/>
            </w14:solidFill>
          </w14:textFill>
        </w:rPr>
        <w:t>资格审查文件要求提交的其它有效证明文件</w:t>
      </w:r>
      <w:bookmarkEnd w:id="197"/>
    </w:p>
    <w:p w14:paraId="10EAC269">
      <w:pPr>
        <w:tabs>
          <w:tab w:val="center" w:pos="4483"/>
        </w:tabs>
        <w:spacing w:line="360" w:lineRule="auto"/>
        <w:rPr>
          <w:rFonts w:ascii="宋体" w:hAnsi="宋体"/>
          <w:color w:val="000000" w:themeColor="text1"/>
          <w:kern w:val="0"/>
          <w:szCs w:val="21"/>
          <w:highlight w:val="none"/>
          <w14:textFill>
            <w14:solidFill>
              <w14:schemeClr w14:val="tx1"/>
            </w14:solidFill>
          </w14:textFill>
        </w:rPr>
      </w:pPr>
    </w:p>
    <w:p w14:paraId="4D7BF8A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6F84BF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43609574">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8" w:type="default"/>
          <w:pgSz w:w="11906" w:h="16838"/>
          <w:pgMar w:top="1418" w:right="1474" w:bottom="1418" w:left="1474" w:header="851" w:footer="851" w:gutter="0"/>
          <w:cols w:space="720" w:num="1"/>
          <w:titlePg/>
          <w:docGrid w:linePitch="312" w:charSpace="0"/>
        </w:sectPr>
      </w:pPr>
    </w:p>
    <w:p w14:paraId="164062D2">
      <w:pPr>
        <w:pStyle w:val="4"/>
        <w:numPr>
          <w:ilvl w:val="1"/>
          <w:numId w:val="0"/>
        </w:numPr>
        <w:spacing w:line="360" w:lineRule="auto"/>
        <w:ind w:firstLine="2249" w:firstLineChars="800"/>
        <w:rPr>
          <w:rFonts w:ascii="宋体" w:hAnsi="宋体" w:eastAsia="宋体"/>
          <w:color w:val="000000" w:themeColor="text1"/>
          <w:sz w:val="28"/>
          <w:szCs w:val="28"/>
          <w:highlight w:val="none"/>
          <w14:textFill>
            <w14:solidFill>
              <w14:schemeClr w14:val="tx1"/>
            </w14:solidFill>
          </w14:textFill>
        </w:rPr>
      </w:pPr>
      <w:bookmarkStart w:id="198" w:name="_Toc23270"/>
      <w:bookmarkStart w:id="199" w:name="_Toc200414524"/>
      <w:r>
        <w:rPr>
          <w:rFonts w:hint="eastAsia" w:ascii="宋体" w:hAnsi="宋体" w:eastAsia="宋体"/>
          <w:color w:val="000000" w:themeColor="text1"/>
          <w:sz w:val="28"/>
          <w:szCs w:val="28"/>
          <w:highlight w:val="none"/>
          <w14:textFill>
            <w14:solidFill>
              <w14:schemeClr w14:val="tx1"/>
            </w14:solidFill>
          </w14:textFill>
        </w:rPr>
        <w:t>第二章  谈判响应文件商务及技术部分</w:t>
      </w:r>
      <w:bookmarkEnd w:id="198"/>
      <w:bookmarkEnd w:id="199"/>
    </w:p>
    <w:p w14:paraId="31C46088">
      <w:pPr>
        <w:pStyle w:val="4"/>
        <w:numPr>
          <w:ilvl w:val="1"/>
          <w:numId w:val="0"/>
        </w:numPr>
        <w:spacing w:line="360" w:lineRule="auto"/>
        <w:ind w:firstLine="3373" w:firstLineChars="1200"/>
        <w:rPr>
          <w:rFonts w:ascii="宋体" w:hAnsi="宋体" w:eastAsia="宋体"/>
          <w:color w:val="000000" w:themeColor="text1"/>
          <w:sz w:val="28"/>
          <w:szCs w:val="28"/>
          <w:highlight w:val="none"/>
          <w14:textFill>
            <w14:solidFill>
              <w14:schemeClr w14:val="tx1"/>
            </w14:solidFill>
          </w14:textFill>
        </w:rPr>
      </w:pPr>
      <w:bookmarkStart w:id="200" w:name="_Toc5180"/>
      <w:bookmarkStart w:id="201" w:name="_Toc200414525"/>
      <w:r>
        <w:rPr>
          <w:rFonts w:hint="eastAsia" w:ascii="宋体" w:hAnsi="宋体" w:eastAsia="宋体"/>
          <w:color w:val="000000" w:themeColor="text1"/>
          <w:sz w:val="28"/>
          <w:szCs w:val="28"/>
          <w:highlight w:val="none"/>
          <w14:textFill>
            <w14:solidFill>
              <w14:schemeClr w14:val="tx1"/>
            </w14:solidFill>
          </w14:textFill>
        </w:rPr>
        <w:t>附件一：谈判响应函</w:t>
      </w:r>
      <w:bookmarkEnd w:id="200"/>
      <w:bookmarkEnd w:id="201"/>
    </w:p>
    <w:p w14:paraId="38A9E5D4">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025C484D">
      <w:pPr>
        <w:adjustRightInd w:val="0"/>
        <w:snapToGrid w:val="0"/>
        <w:spacing w:beforeLines="50" w:line="360" w:lineRule="auto"/>
        <w:ind w:firstLine="420"/>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根据贵方就</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
          <w:bCs/>
          <w:color w:val="000000" w:themeColor="text1"/>
          <w:szCs w:val="21"/>
          <w:highlight w:val="none"/>
          <w14:textFill>
            <w14:solidFill>
              <w14:schemeClr w14:val="tx1"/>
            </w14:solidFill>
          </w14:textFill>
        </w:rPr>
        <w:t>的投标邀请（项目编号:</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14:textFill>
            <w14:solidFill>
              <w14:schemeClr w14:val="tx1"/>
            </w14:solidFill>
          </w14:textFill>
        </w:rPr>
        <w:t>，我方正式响应谈判文件内容并提交谈判文件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
          <w:bCs/>
          <w:color w:val="000000" w:themeColor="text1"/>
          <w:szCs w:val="21"/>
          <w:highlight w:val="none"/>
          <w14:textFill>
            <w14:solidFill>
              <w14:schemeClr w14:val="tx1"/>
            </w14:solidFill>
          </w14:textFill>
        </w:rPr>
        <w:t>：</w:t>
      </w:r>
    </w:p>
    <w:p w14:paraId="6AED8FD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 xml:space="preserve">据此函，签字代表宣布同意如下：   </w:t>
      </w:r>
    </w:p>
    <w:p w14:paraId="7609A121">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所附投标价格表中规定的应提交和交付的货物投标总价为人民币：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（用文字和数字表示的谈判总价）  </w:t>
      </w:r>
      <w:r>
        <w:rPr>
          <w:rFonts w:hint="eastAsia" w:ascii="宋体" w:hAnsi="宋体"/>
          <w:color w:val="000000" w:themeColor="text1"/>
          <w:szCs w:val="21"/>
          <w:highlight w:val="none"/>
          <w14:textFill>
            <w14:solidFill>
              <w14:schemeClr w14:val="tx1"/>
            </w14:solidFill>
          </w14:textFill>
        </w:rPr>
        <w:t>。</w:t>
      </w:r>
    </w:p>
    <w:p w14:paraId="0BD80546">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color w:val="000000" w:themeColor="text1"/>
          <w:spacing w:val="-6"/>
          <w:szCs w:val="21"/>
          <w:highlight w:val="none"/>
          <w:lang w:eastAsia="zh-CN"/>
          <w14:textFill>
            <w14:solidFill>
              <w14:schemeClr w14:val="tx1"/>
            </w14:solidFill>
          </w14:textFill>
        </w:rPr>
        <w:t>。</w:t>
      </w:r>
    </w:p>
    <w:p w14:paraId="48F11C1E">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eastAsia="宋体" w:cs="宋体"/>
          <w:color w:val="000000" w:themeColor="text1"/>
          <w:highlight w:val="none"/>
          <w:lang w:eastAsia="zh-CN"/>
          <w14:textFill>
            <w14:solidFill>
              <w14:schemeClr w14:val="tx1"/>
            </w14:solidFill>
          </w14:textFill>
        </w:rPr>
        <w:t>。</w:t>
      </w:r>
    </w:p>
    <w:p w14:paraId="3A8B76E2">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本次投标所报内容完全按照谈判文件要求填报，所有内容都是真实、准确的。</w:t>
      </w:r>
    </w:p>
    <w:p w14:paraId="1873D986">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供应商将按谈判文件的规定履行全部合同责任和义务。</w:t>
      </w:r>
    </w:p>
    <w:p w14:paraId="4AF1F6B1">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供应商已详细审查全部谈判文件，包括修改文件（如有的话）以及全部参考资料和有关附件。我们完全理解并同意放弃对这方面有不明及误解的权利。</w:t>
      </w:r>
    </w:p>
    <w:p w14:paraId="57D8E00F">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本次投标自递交谈判响应文件截止之日起有效期为90天。</w:t>
      </w:r>
    </w:p>
    <w:p w14:paraId="3BF93834">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如果在规定的递交谈判响应文件截止之日后，供应商在投标有效期内撤回投标，投标保证金将被贵方没收。</w:t>
      </w:r>
    </w:p>
    <w:p w14:paraId="3F1B19E5">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供应商同意提供按照贵方可能要求与其投标有关的一切数据或资料，完全理解贵方不一定接受最低价的投标或收到的任何投标。</w:t>
      </w:r>
    </w:p>
    <w:p w14:paraId="19351003">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与本投标有关的一切正式往来通讯请寄至谈判响应文件封面指定地址、联系方式。</w:t>
      </w:r>
    </w:p>
    <w:p w14:paraId="1D2DAE9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6A1B02E5">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13B3128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025ED03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444E4F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0E093422">
      <w:pPr>
        <w:pStyle w:val="22"/>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注：本投标函为供应商响应本次谈判项目的郑重承诺，供应商不得改动且必须满足。</w:t>
      </w:r>
    </w:p>
    <w:p w14:paraId="3FAB1FDE">
      <w:pPr>
        <w:pStyle w:val="22"/>
        <w:spacing w:line="360" w:lineRule="auto"/>
        <w:rPr>
          <w:rFonts w:hAnsi="宋体"/>
          <w:color w:val="000000" w:themeColor="text1"/>
          <w:highlight w:val="none"/>
          <w14:textFill>
            <w14:solidFill>
              <w14:schemeClr w14:val="tx1"/>
            </w14:solidFill>
          </w14:textFill>
        </w:rPr>
      </w:pPr>
    </w:p>
    <w:p w14:paraId="4F5937A9">
      <w:pPr>
        <w:rPr>
          <w:rFonts w:hint="eastAsia" w:ascii="宋体" w:hAnsi="宋体" w:eastAsia="宋体"/>
          <w:color w:val="000000" w:themeColor="text1"/>
          <w:sz w:val="28"/>
          <w:szCs w:val="28"/>
          <w:highlight w:val="none"/>
          <w14:textFill>
            <w14:solidFill>
              <w14:schemeClr w14:val="tx1"/>
            </w14:solidFill>
          </w14:textFill>
        </w:rPr>
      </w:pPr>
      <w:bookmarkStart w:id="202" w:name="_Toc200414526"/>
      <w:bookmarkStart w:id="203" w:name="_Toc21767"/>
      <w:r>
        <w:rPr>
          <w:rFonts w:hint="eastAsia" w:ascii="宋体" w:hAnsi="宋体" w:eastAsia="宋体"/>
          <w:color w:val="000000" w:themeColor="text1"/>
          <w:sz w:val="28"/>
          <w:szCs w:val="28"/>
          <w:highlight w:val="none"/>
          <w14:textFill>
            <w14:solidFill>
              <w14:schemeClr w14:val="tx1"/>
            </w14:solidFill>
          </w14:textFill>
        </w:rPr>
        <w:br w:type="page"/>
      </w:r>
    </w:p>
    <w:p w14:paraId="602EE498">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附件二：第一次报价一览表</w:t>
      </w:r>
      <w:bookmarkEnd w:id="202"/>
      <w:bookmarkEnd w:id="203"/>
    </w:p>
    <w:p w14:paraId="5BEB9F22">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p>
    <w:p w14:paraId="40EAAED5">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6B1B0088">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43"/>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4B95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A860318">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5669EF7">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报价（元）</w:t>
            </w:r>
          </w:p>
        </w:tc>
        <w:tc>
          <w:tcPr>
            <w:tcW w:w="1501" w:type="dxa"/>
            <w:vAlign w:val="center"/>
          </w:tcPr>
          <w:p w14:paraId="04C81C90">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56DE32A0">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19C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21F0F9B5">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31C7C8EA">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p>
          <w:p w14:paraId="46D87E76">
            <w:pPr>
              <w:spacing w:line="360" w:lineRule="auto"/>
              <w:rPr>
                <w:rFonts w:ascii="宋体" w:hAnsi="宋体"/>
                <w:bCs/>
                <w:color w:val="000000" w:themeColor="text1"/>
                <w:highlight w:val="none"/>
                <w14:textFill>
                  <w14:solidFill>
                    <w14:schemeClr w14:val="tx1"/>
                  </w14:solidFill>
                </w14:textFill>
              </w:rPr>
            </w:pPr>
          </w:p>
          <w:p w14:paraId="77812E53">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p>
          <w:p w14:paraId="1C9F5A0D">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2B6E481A">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BE27BC8">
            <w:pPr>
              <w:spacing w:line="360" w:lineRule="auto"/>
              <w:rPr>
                <w:rFonts w:ascii="宋体" w:hAnsi="宋体"/>
                <w:bCs/>
                <w:color w:val="000000" w:themeColor="text1"/>
                <w:szCs w:val="21"/>
                <w:highlight w:val="none"/>
                <w14:textFill>
                  <w14:solidFill>
                    <w14:schemeClr w14:val="tx1"/>
                  </w14:solidFill>
                </w14:textFill>
              </w:rPr>
            </w:pPr>
          </w:p>
        </w:tc>
      </w:tr>
    </w:tbl>
    <w:p w14:paraId="5D2139B7">
      <w:pPr>
        <w:spacing w:line="360" w:lineRule="auto"/>
        <w:rPr>
          <w:rFonts w:ascii="宋体" w:hAnsi="宋体"/>
          <w:bCs/>
          <w:color w:val="000000" w:themeColor="text1"/>
          <w:highlight w:val="none"/>
          <w:u w:val="single"/>
          <w14:textFill>
            <w14:solidFill>
              <w14:schemeClr w14:val="tx1"/>
            </w14:solidFill>
          </w14:textFill>
        </w:rPr>
      </w:pPr>
    </w:p>
    <w:p w14:paraId="5934B61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469B8785">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3792A9D5">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本报价表为供应商的第一次报价，谈判后，代理采购机构将向合格的供应商发最终报价表。</w:t>
      </w:r>
    </w:p>
    <w:p w14:paraId="131CE1A7">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0BBB20DE">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962E39E">
      <w:pPr>
        <w:tabs>
          <w:tab w:val="left" w:pos="845"/>
        </w:tabs>
        <w:spacing w:line="360" w:lineRule="auto"/>
        <w:rPr>
          <w:rFonts w:ascii="宋体" w:hAnsi="宋体"/>
          <w:bCs/>
          <w:color w:val="000000" w:themeColor="text1"/>
          <w:highlight w:val="none"/>
          <w14:textFill>
            <w14:solidFill>
              <w14:schemeClr w14:val="tx1"/>
            </w14:solidFill>
          </w14:textFill>
        </w:rPr>
      </w:pPr>
    </w:p>
    <w:p w14:paraId="42EC3F07">
      <w:pPr>
        <w:tabs>
          <w:tab w:val="left" w:pos="845"/>
        </w:tabs>
        <w:spacing w:line="360" w:lineRule="auto"/>
        <w:rPr>
          <w:rFonts w:ascii="宋体" w:hAnsi="宋体"/>
          <w:bCs/>
          <w:color w:val="000000" w:themeColor="text1"/>
          <w:highlight w:val="none"/>
          <w14:textFill>
            <w14:solidFill>
              <w14:schemeClr w14:val="tx1"/>
            </w14:solidFill>
          </w14:textFill>
        </w:rPr>
      </w:pPr>
    </w:p>
    <w:p w14:paraId="0D081318">
      <w:pPr>
        <w:tabs>
          <w:tab w:val="left" w:pos="845"/>
        </w:tabs>
        <w:spacing w:line="360" w:lineRule="auto"/>
        <w:rPr>
          <w:rFonts w:ascii="宋体" w:hAnsi="宋体"/>
          <w:bCs/>
          <w:color w:val="000000" w:themeColor="text1"/>
          <w:highlight w:val="none"/>
          <w14:textFill>
            <w14:solidFill>
              <w14:schemeClr w14:val="tx1"/>
            </w14:solidFill>
          </w14:textFill>
        </w:rPr>
      </w:pPr>
    </w:p>
    <w:p w14:paraId="558AFC21">
      <w:pPr>
        <w:tabs>
          <w:tab w:val="left" w:pos="845"/>
        </w:tabs>
        <w:spacing w:line="360" w:lineRule="auto"/>
        <w:rPr>
          <w:rFonts w:ascii="宋体" w:hAnsi="宋体"/>
          <w:bCs/>
          <w:color w:val="000000" w:themeColor="text1"/>
          <w:highlight w:val="none"/>
          <w14:textFill>
            <w14:solidFill>
              <w14:schemeClr w14:val="tx1"/>
            </w14:solidFill>
          </w14:textFill>
        </w:rPr>
      </w:pPr>
    </w:p>
    <w:p w14:paraId="2B0ABB3F">
      <w:pPr>
        <w:tabs>
          <w:tab w:val="left" w:pos="845"/>
        </w:tabs>
        <w:spacing w:line="360" w:lineRule="auto"/>
        <w:rPr>
          <w:rFonts w:ascii="宋体" w:hAnsi="宋体"/>
          <w:bCs/>
          <w:color w:val="000000" w:themeColor="text1"/>
          <w:highlight w:val="none"/>
          <w14:textFill>
            <w14:solidFill>
              <w14:schemeClr w14:val="tx1"/>
            </w14:solidFill>
          </w14:textFill>
        </w:rPr>
      </w:pPr>
    </w:p>
    <w:p w14:paraId="58089D73">
      <w:pPr>
        <w:tabs>
          <w:tab w:val="left" w:pos="845"/>
        </w:tabs>
        <w:spacing w:line="360" w:lineRule="auto"/>
        <w:rPr>
          <w:rFonts w:ascii="宋体" w:hAnsi="宋体"/>
          <w:bCs/>
          <w:color w:val="000000" w:themeColor="text1"/>
          <w:highlight w:val="none"/>
          <w14:textFill>
            <w14:solidFill>
              <w14:schemeClr w14:val="tx1"/>
            </w14:solidFill>
          </w14:textFill>
        </w:rPr>
      </w:pPr>
    </w:p>
    <w:p w14:paraId="079DD213">
      <w:pPr>
        <w:tabs>
          <w:tab w:val="left" w:pos="845"/>
        </w:tabs>
        <w:spacing w:line="360" w:lineRule="auto"/>
        <w:rPr>
          <w:rFonts w:ascii="宋体" w:hAnsi="宋体"/>
          <w:bCs/>
          <w:color w:val="000000" w:themeColor="text1"/>
          <w:highlight w:val="none"/>
          <w14:textFill>
            <w14:solidFill>
              <w14:schemeClr w14:val="tx1"/>
            </w14:solidFill>
          </w14:textFill>
        </w:rPr>
      </w:pPr>
    </w:p>
    <w:p w14:paraId="627382EC">
      <w:pPr>
        <w:tabs>
          <w:tab w:val="left" w:pos="845"/>
        </w:tabs>
        <w:spacing w:line="360" w:lineRule="auto"/>
        <w:rPr>
          <w:rFonts w:ascii="宋体" w:hAnsi="宋体"/>
          <w:bCs/>
          <w:color w:val="000000" w:themeColor="text1"/>
          <w:highlight w:val="none"/>
          <w14:textFill>
            <w14:solidFill>
              <w14:schemeClr w14:val="tx1"/>
            </w14:solidFill>
          </w14:textFill>
        </w:rPr>
      </w:pPr>
    </w:p>
    <w:p w14:paraId="693409BC">
      <w:pPr>
        <w:tabs>
          <w:tab w:val="left" w:pos="845"/>
        </w:tabs>
        <w:spacing w:line="360" w:lineRule="auto"/>
        <w:rPr>
          <w:rFonts w:ascii="宋体" w:hAnsi="宋体"/>
          <w:bCs/>
          <w:color w:val="000000" w:themeColor="text1"/>
          <w:highlight w:val="none"/>
          <w14:textFill>
            <w14:solidFill>
              <w14:schemeClr w14:val="tx1"/>
            </w14:solidFill>
          </w14:textFill>
        </w:rPr>
      </w:pPr>
    </w:p>
    <w:p w14:paraId="20212A6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5FD68B6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AEA02F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49A7ADFC">
      <w:pPr>
        <w:pStyle w:val="22"/>
        <w:spacing w:line="360" w:lineRule="auto"/>
        <w:rPr>
          <w:rFonts w:hAnsi="宋体"/>
          <w:color w:val="000000" w:themeColor="text1"/>
          <w:highlight w:val="none"/>
          <w14:textFill>
            <w14:solidFill>
              <w14:schemeClr w14:val="tx1"/>
            </w14:solidFill>
          </w14:textFill>
        </w:rPr>
      </w:pPr>
    </w:p>
    <w:p w14:paraId="4EDDB1F8">
      <w:pPr>
        <w:pStyle w:val="22"/>
        <w:spacing w:line="360" w:lineRule="auto"/>
        <w:rPr>
          <w:rFonts w:hAnsi="宋体"/>
          <w:color w:val="000000" w:themeColor="text1"/>
          <w:highlight w:val="non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7744DCC1">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04" w:name="_Toc12403"/>
      <w:bookmarkStart w:id="205" w:name="_Toc200414527"/>
      <w:r>
        <w:rPr>
          <w:rFonts w:hint="eastAsia" w:ascii="宋体" w:hAnsi="宋体" w:eastAsia="宋体"/>
          <w:color w:val="000000" w:themeColor="text1"/>
          <w:highlight w:val="none"/>
          <w14:textFill>
            <w14:solidFill>
              <w14:schemeClr w14:val="tx1"/>
            </w14:solidFill>
          </w14:textFill>
        </w:rPr>
        <w:t>附件三：谈判分项报价</w:t>
      </w:r>
      <w:r>
        <w:rPr>
          <w:rFonts w:ascii="宋体" w:hAnsi="宋体" w:eastAsia="宋体"/>
          <w:color w:val="000000" w:themeColor="text1"/>
          <w:highlight w:val="none"/>
          <w14:textFill>
            <w14:solidFill>
              <w14:schemeClr w14:val="tx1"/>
            </w14:solidFill>
          </w14:textFill>
        </w:rPr>
        <w:t>表</w:t>
      </w:r>
      <w:bookmarkEnd w:id="204"/>
      <w:bookmarkEnd w:id="205"/>
    </w:p>
    <w:p w14:paraId="3C92D33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p>
    <w:p w14:paraId="060D5786">
      <w:pPr>
        <w:adjustRightInd w:val="0"/>
        <w:snapToGrid w:val="0"/>
        <w:spacing w:line="360" w:lineRule="auto"/>
        <w:jc w:val="left"/>
        <w:rPr>
          <w:rFonts w:ascii="宋体" w:hAnsi="宋体"/>
          <w:color w:val="000000" w:themeColor="text1"/>
          <w:spacing w:val="1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59B27174">
      <w:pPr>
        <w:adjustRightInd w:val="0"/>
        <w:snapToGrid w:val="0"/>
        <w:spacing w:line="360" w:lineRule="auto"/>
        <w:ind w:firstLine="7665" w:firstLineChars="365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（单位：元）</w:t>
      </w:r>
    </w:p>
    <w:tbl>
      <w:tblPr>
        <w:tblStyle w:val="43"/>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1AC3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87E1C1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842" w:type="dxa"/>
            <w:vAlign w:val="center"/>
          </w:tcPr>
          <w:p w14:paraId="315E6E24">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内容</w:t>
            </w:r>
          </w:p>
        </w:tc>
        <w:tc>
          <w:tcPr>
            <w:tcW w:w="1281" w:type="dxa"/>
            <w:vAlign w:val="center"/>
          </w:tcPr>
          <w:p w14:paraId="3908F5E8">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281" w:type="dxa"/>
            <w:vAlign w:val="center"/>
          </w:tcPr>
          <w:p w14:paraId="5804C85E">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282" w:type="dxa"/>
            <w:gridSpan w:val="2"/>
            <w:vAlign w:val="center"/>
          </w:tcPr>
          <w:p w14:paraId="50D77461">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281" w:type="dxa"/>
            <w:vAlign w:val="center"/>
          </w:tcPr>
          <w:p w14:paraId="6725DDDD">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287" w:type="dxa"/>
            <w:vAlign w:val="center"/>
          </w:tcPr>
          <w:p w14:paraId="078116D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r>
      <w:tr w14:paraId="770C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453883E">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842" w:type="dxa"/>
            <w:vAlign w:val="center"/>
          </w:tcPr>
          <w:p w14:paraId="5138652C">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服务内容</w:t>
            </w:r>
          </w:p>
        </w:tc>
        <w:tc>
          <w:tcPr>
            <w:tcW w:w="1281" w:type="dxa"/>
            <w:vAlign w:val="center"/>
          </w:tcPr>
          <w:p w14:paraId="113B0715">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058DDCD8">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49CC7B60">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212C5255">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6EB77D8F">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7226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081FB29B">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842" w:type="dxa"/>
            <w:vAlign w:val="center"/>
          </w:tcPr>
          <w:p w14:paraId="55FF5F3C">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服务时间</w:t>
            </w:r>
          </w:p>
        </w:tc>
        <w:tc>
          <w:tcPr>
            <w:tcW w:w="1281" w:type="dxa"/>
            <w:vAlign w:val="center"/>
          </w:tcPr>
          <w:p w14:paraId="534004E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4F67852">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32FF2E8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573ABAA">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29E6D5A3">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0048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40F0DEB">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842" w:type="dxa"/>
            <w:vAlign w:val="center"/>
          </w:tcPr>
          <w:p w14:paraId="4D55301E">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单价</w:t>
            </w:r>
          </w:p>
        </w:tc>
        <w:tc>
          <w:tcPr>
            <w:tcW w:w="1281" w:type="dxa"/>
            <w:vAlign w:val="center"/>
          </w:tcPr>
          <w:p w14:paraId="2FA362E9">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61658D0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209C248C">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6CDA574">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08F578C2">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5924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6B68C3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842" w:type="dxa"/>
            <w:vAlign w:val="center"/>
          </w:tcPr>
          <w:p w14:paraId="1731A032">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总价</w:t>
            </w:r>
          </w:p>
        </w:tc>
        <w:tc>
          <w:tcPr>
            <w:tcW w:w="1281" w:type="dxa"/>
            <w:vAlign w:val="center"/>
          </w:tcPr>
          <w:p w14:paraId="10BDBFA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69EC1148">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2FBBCED2">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55686E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3B915EF9">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243B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21512A0">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842" w:type="dxa"/>
            <w:vAlign w:val="center"/>
          </w:tcPr>
          <w:p w14:paraId="1F85A9A4">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保险费</w:t>
            </w:r>
          </w:p>
        </w:tc>
        <w:tc>
          <w:tcPr>
            <w:tcW w:w="6412" w:type="dxa"/>
            <w:gridSpan w:val="6"/>
            <w:vAlign w:val="center"/>
          </w:tcPr>
          <w:p w14:paraId="0E5D8AE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6BCA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77FB5A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842" w:type="dxa"/>
            <w:vAlign w:val="center"/>
          </w:tcPr>
          <w:p w14:paraId="2E116F55">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税金</w:t>
            </w:r>
          </w:p>
        </w:tc>
        <w:tc>
          <w:tcPr>
            <w:tcW w:w="6412" w:type="dxa"/>
            <w:gridSpan w:val="6"/>
            <w:vAlign w:val="center"/>
          </w:tcPr>
          <w:p w14:paraId="566766D6">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659B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ACC1CF8">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842" w:type="dxa"/>
            <w:vAlign w:val="center"/>
          </w:tcPr>
          <w:p w14:paraId="3E245625">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技术服务费</w:t>
            </w:r>
          </w:p>
        </w:tc>
        <w:tc>
          <w:tcPr>
            <w:tcW w:w="6412" w:type="dxa"/>
            <w:gridSpan w:val="6"/>
            <w:vAlign w:val="center"/>
          </w:tcPr>
          <w:p w14:paraId="4427E02A">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46D6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07D6BC90">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842" w:type="dxa"/>
            <w:vAlign w:val="center"/>
          </w:tcPr>
          <w:p w14:paraId="2BA93ED9">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培训费</w:t>
            </w:r>
          </w:p>
        </w:tc>
        <w:tc>
          <w:tcPr>
            <w:tcW w:w="6412" w:type="dxa"/>
            <w:gridSpan w:val="6"/>
            <w:vAlign w:val="center"/>
          </w:tcPr>
          <w:p w14:paraId="6821D53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5480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3F34987">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842" w:type="dxa"/>
            <w:vAlign w:val="center"/>
          </w:tcPr>
          <w:p w14:paraId="42B5D071">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质量保证期内的服务费用</w:t>
            </w:r>
          </w:p>
        </w:tc>
        <w:tc>
          <w:tcPr>
            <w:tcW w:w="6412" w:type="dxa"/>
            <w:gridSpan w:val="6"/>
            <w:vAlign w:val="center"/>
          </w:tcPr>
          <w:p w14:paraId="7C4524FF">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43E6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04AD85E4">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1842" w:type="dxa"/>
            <w:vAlign w:val="center"/>
          </w:tcPr>
          <w:p w14:paraId="1514FCD8">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其他费用</w:t>
            </w:r>
          </w:p>
          <w:p w14:paraId="475ED351">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（该表中无体现的费用但本项目有产生的其他费用）</w:t>
            </w:r>
          </w:p>
        </w:tc>
        <w:tc>
          <w:tcPr>
            <w:tcW w:w="6412" w:type="dxa"/>
            <w:gridSpan w:val="6"/>
            <w:vAlign w:val="center"/>
          </w:tcPr>
          <w:p w14:paraId="07516FBD">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0B82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900C869">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842" w:type="dxa"/>
            <w:vAlign w:val="center"/>
          </w:tcPr>
          <w:p w14:paraId="4760FAE8">
            <w:pPr>
              <w:pStyle w:val="2"/>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报价总价</w:t>
            </w:r>
          </w:p>
        </w:tc>
        <w:tc>
          <w:tcPr>
            <w:tcW w:w="3208" w:type="dxa"/>
            <w:gridSpan w:val="3"/>
            <w:vAlign w:val="center"/>
          </w:tcPr>
          <w:p w14:paraId="43488F1E">
            <w:pPr>
              <w:pStyle w:val="2"/>
              <w:snapToGrid w:val="0"/>
              <w:ind w:firstLine="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（大写）人民币</w:t>
            </w:r>
          </w:p>
        </w:tc>
        <w:tc>
          <w:tcPr>
            <w:tcW w:w="3204" w:type="dxa"/>
            <w:gridSpan w:val="3"/>
            <w:vAlign w:val="center"/>
          </w:tcPr>
          <w:p w14:paraId="330DF299">
            <w:pPr>
              <w:pStyle w:val="2"/>
              <w:snapToGrid w:val="0"/>
              <w:ind w:firstLine="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（小写）￥</w:t>
            </w:r>
          </w:p>
        </w:tc>
      </w:tr>
      <w:tr w14:paraId="2CCC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83B5980">
            <w:pPr>
              <w:pStyle w:val="2"/>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842" w:type="dxa"/>
            <w:vAlign w:val="center"/>
          </w:tcPr>
          <w:p w14:paraId="28BD295B">
            <w:pPr>
              <w:pStyle w:val="2"/>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备注</w:t>
            </w:r>
          </w:p>
        </w:tc>
        <w:tc>
          <w:tcPr>
            <w:tcW w:w="6412" w:type="dxa"/>
            <w:gridSpan w:val="6"/>
            <w:vAlign w:val="center"/>
          </w:tcPr>
          <w:p w14:paraId="0C48DC62">
            <w:pPr>
              <w:pStyle w:val="2"/>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p>
        </w:tc>
      </w:tr>
    </w:tbl>
    <w:p w14:paraId="451FD0E9">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B8D371D">
      <w:pPr>
        <w:adjustRightInd w:val="0"/>
        <w:snapToGrid w:val="0"/>
        <w:spacing w:line="360" w:lineRule="auto"/>
        <w:ind w:firstLine="6615" w:firstLineChars="3150"/>
        <w:jc w:val="left"/>
        <w:rPr>
          <w:rFonts w:ascii="宋体" w:hAnsi="宋体"/>
          <w:bCs/>
          <w:color w:val="000000" w:themeColor="text1"/>
          <w:szCs w:val="21"/>
          <w:highlight w:val="none"/>
          <w14:textFill>
            <w14:solidFill>
              <w14:schemeClr w14:val="tx1"/>
            </w14:solidFill>
          </w14:textFill>
        </w:rPr>
      </w:pPr>
    </w:p>
    <w:p w14:paraId="13F12D7E">
      <w:pPr>
        <w:spacing w:line="46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注：1、若最终报价在第一次报价的基础上有浮动，则最终报价中的各分项报价须按比例统一浮动。</w:t>
      </w:r>
    </w:p>
    <w:p w14:paraId="1D0EF95B">
      <w:pPr>
        <w:spacing w:line="4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2、如本表格式内容不能满足需要，供应商可自行划表填写。</w:t>
      </w:r>
    </w:p>
    <w:p w14:paraId="0661401B">
      <w:pPr>
        <w:adjustRightInd w:val="0"/>
        <w:snapToGrid w:val="0"/>
        <w:spacing w:line="40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2961DD93">
      <w:pPr>
        <w:adjustRightInd w:val="0"/>
        <w:snapToGrid w:val="0"/>
        <w:spacing w:line="400" w:lineRule="exact"/>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BC3E93C">
      <w:pPr>
        <w:rPr>
          <w:rFonts w:ascii="宋体" w:hAnsi="宋体"/>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bookmarkStart w:id="206" w:name="_Toc200414528"/>
    </w:p>
    <w:p w14:paraId="3B3FAA5C">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07" w:name="_Toc22582"/>
      <w:r>
        <w:rPr>
          <w:rFonts w:hint="eastAsia" w:ascii="宋体" w:hAnsi="宋体" w:eastAsia="宋体"/>
          <w:color w:val="000000" w:themeColor="text1"/>
          <w:sz w:val="28"/>
          <w:szCs w:val="28"/>
          <w:highlight w:val="none"/>
          <w14:textFill>
            <w14:solidFill>
              <w14:schemeClr w14:val="tx1"/>
            </w14:solidFill>
          </w14:textFill>
        </w:rPr>
        <w:t>附件四：商务条款偏离一览表</w:t>
      </w:r>
      <w:bookmarkEnd w:id="206"/>
      <w:bookmarkEnd w:id="207"/>
    </w:p>
    <w:p w14:paraId="7386BA41">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3FA8319E">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tbl>
      <w:tblPr>
        <w:tblStyle w:val="43"/>
        <w:tblW w:w="9271" w:type="dxa"/>
        <w:jc w:val="center"/>
        <w:tblLayout w:type="fixed"/>
        <w:tblCellMar>
          <w:top w:w="0" w:type="dxa"/>
          <w:left w:w="54" w:type="dxa"/>
          <w:bottom w:w="0" w:type="dxa"/>
          <w:right w:w="54" w:type="dxa"/>
        </w:tblCellMar>
      </w:tblPr>
      <w:tblGrid>
        <w:gridCol w:w="583"/>
        <w:gridCol w:w="850"/>
        <w:gridCol w:w="3189"/>
        <w:gridCol w:w="2906"/>
        <w:gridCol w:w="993"/>
        <w:gridCol w:w="750"/>
      </w:tblGrid>
      <w:tr w14:paraId="19AE6F6D">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F8DEA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850" w:type="dxa"/>
            <w:tcBorders>
              <w:top w:val="single" w:color="auto" w:sz="6" w:space="0"/>
              <w:left w:val="single" w:color="auto" w:sz="6" w:space="0"/>
              <w:bottom w:val="single" w:color="auto" w:sz="6" w:space="0"/>
              <w:right w:val="single" w:color="auto" w:sz="4" w:space="0"/>
            </w:tcBorders>
            <w:vAlign w:val="center"/>
          </w:tcPr>
          <w:p w14:paraId="283DC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4896F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谈判文件规格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37D7C69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77D9C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49301B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3ACC74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D565A95">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F1766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288E9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86D39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4BAC5D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8859D9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7A8E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7212CC">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50085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561180E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7D7764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005D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14F7EC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BAD2F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00439A">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F325A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0D5B2F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29462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455A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2DE36A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1FF78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D1D4EF">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59085A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5AACDE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D08F3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1222F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74EAB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660E1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F63ED85">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C39C0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1CEC69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26A43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84A2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767FAC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54C57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9254AA3">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462BB0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14B3CF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0BEF53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74407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DFB90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FAD6B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6B8F5A3">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472E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82502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13CA6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4F0C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6CA2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EE6F4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B5DCA8">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1E66F0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D99924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5E867E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A82336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502BD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F6D6A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E304E50">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02A72A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E7D5C7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F39CE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FCB18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74B6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5F3DC9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172B98">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846854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95E4B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3BDCF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DD1C3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9F086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3A8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8A5CA9">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1B6C4D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28A35AE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6864B6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06129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979EA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C28A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100B3D6">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348E1E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3244AB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F642B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E7455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AC1E9C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A69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7B4A84">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FBD53D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FEF0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21E86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70F8B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FC88ED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C7351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0C5DF4C">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E1B12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4CD5DC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80823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4C7A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210F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F0E19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9A85453">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1BFE51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r>
        <w:rPr>
          <w:rFonts w:hint="eastAsia" w:ascii="宋体" w:hAnsi="宋体"/>
          <w:bCs/>
          <w:color w:val="000000" w:themeColor="text1"/>
          <w:highlight w:val="none"/>
          <w14:textFill>
            <w14:solidFill>
              <w14:schemeClr w14:val="tx1"/>
            </w14:solidFill>
          </w14:textFill>
        </w:rPr>
        <w:t>1）对“偏离”一栏，填写“无偏离、正偏离、负偏离”；</w:t>
      </w:r>
    </w:p>
    <w:p w14:paraId="1710933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2）对谈判文件中商务条款按上列格式逐条说明。</w:t>
      </w:r>
    </w:p>
    <w:p w14:paraId="223DA7FB">
      <w:pPr>
        <w:adjustRightInd w:val="0"/>
        <w:snapToGrid w:val="0"/>
        <w:spacing w:line="360" w:lineRule="auto"/>
        <w:rPr>
          <w:rFonts w:hint="eastAsia" w:ascii="宋体" w:hAnsi="宋体"/>
          <w:b/>
          <w:bCs/>
          <w:color w:val="000000" w:themeColor="text1"/>
          <w:szCs w:val="21"/>
          <w:highlight w:val="none"/>
          <w14:textFill>
            <w14:solidFill>
              <w14:schemeClr w14:val="tx1"/>
            </w14:solidFill>
          </w14:textFill>
        </w:rPr>
      </w:pPr>
    </w:p>
    <w:p w14:paraId="492658F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供应商声明：表中未列全的商务条款，我方均表示完全响应谈判文件商务条款的所有要求。</w:t>
      </w:r>
    </w:p>
    <w:p w14:paraId="301D34C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06ACDB7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614D0A7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34AEAF0F">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74DBD40E">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08" w:name="_Toc200414529"/>
      <w:bookmarkStart w:id="209" w:name="_Toc14476"/>
      <w:r>
        <w:rPr>
          <w:rFonts w:hint="eastAsia" w:ascii="宋体" w:hAnsi="宋体" w:eastAsia="宋体"/>
          <w:color w:val="000000" w:themeColor="text1"/>
          <w:sz w:val="28"/>
          <w:szCs w:val="28"/>
          <w:highlight w:val="none"/>
          <w14:textFill>
            <w14:solidFill>
              <w14:schemeClr w14:val="tx1"/>
            </w14:solidFill>
          </w14:textFill>
        </w:rPr>
        <w:t>附件五：技术条款偏离一览表</w:t>
      </w:r>
      <w:bookmarkEnd w:id="208"/>
      <w:bookmarkEnd w:id="209"/>
    </w:p>
    <w:p w14:paraId="76831428">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278D0C35">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tbl>
      <w:tblPr>
        <w:tblStyle w:val="43"/>
        <w:tblW w:w="9271" w:type="dxa"/>
        <w:jc w:val="center"/>
        <w:tblLayout w:type="fixed"/>
        <w:tblCellMar>
          <w:top w:w="0" w:type="dxa"/>
          <w:left w:w="54" w:type="dxa"/>
          <w:bottom w:w="0" w:type="dxa"/>
          <w:right w:w="54" w:type="dxa"/>
        </w:tblCellMar>
      </w:tblPr>
      <w:tblGrid>
        <w:gridCol w:w="441"/>
        <w:gridCol w:w="1134"/>
        <w:gridCol w:w="3047"/>
        <w:gridCol w:w="3190"/>
        <w:gridCol w:w="850"/>
        <w:gridCol w:w="609"/>
      </w:tblGrid>
      <w:tr w14:paraId="4EF57453">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49F5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1134" w:type="dxa"/>
            <w:tcBorders>
              <w:top w:val="single" w:color="auto" w:sz="6" w:space="0"/>
              <w:left w:val="single" w:color="auto" w:sz="6" w:space="0"/>
              <w:bottom w:val="single" w:color="auto" w:sz="6" w:space="0"/>
              <w:right w:val="single" w:color="auto" w:sz="4" w:space="0"/>
            </w:tcBorders>
            <w:vAlign w:val="center"/>
          </w:tcPr>
          <w:p w14:paraId="7FED49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185AE1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谈判文件规格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AA851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4E2CCA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0001FA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D5B41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2FF6A4F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55E72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024C9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8506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6EBD7A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B00BD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9034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A2726D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93D29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2EA91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550AD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CD935B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EC1AF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F35CA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6005489">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2AFCB4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252EE0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DC876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7A3B1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E05B6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992546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DE2233">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AB37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D8F9D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E0B5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70A0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86B0F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EA05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464DEB0">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9D3099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E4052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E852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B7848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C61338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1246DD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A1CF512">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4DE8EC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66596B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120B5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A044D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AA3B4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17C0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F40DEA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ED4B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B3C38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4D98B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AAA3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05B55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F33E6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3E4A616">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55037D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08D21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8199E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7E0FA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31F7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AFC76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75A0F2B">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B31866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4520F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2B8A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DDAF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2089A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96A9BD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0C921D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15688D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4F35B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2D19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CB59C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11397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8F11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A3F7BF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9349B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1C56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29C23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161FC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60235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517DD1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87EEDD7">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F65EC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8B640E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9CE79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AEE2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5B1D5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D5B4C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1D0602">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2DF023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1703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864C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8A10D8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654A17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5A029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4F4E1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216DD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5C0F47C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8749D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ED7549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07DE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0B5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F5C5B23">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p>
    <w:p w14:paraId="32DF49FD">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r>
        <w:rPr>
          <w:rFonts w:hint="eastAsia" w:ascii="宋体" w:hAnsi="宋体"/>
          <w:bCs/>
          <w:color w:val="000000" w:themeColor="text1"/>
          <w:highlight w:val="none"/>
          <w14:textFill>
            <w14:solidFill>
              <w14:schemeClr w14:val="tx1"/>
            </w14:solidFill>
          </w14:textFill>
        </w:rPr>
        <w:t>1）对“偏离”一栏，填写“无偏离、正偏离、负偏离”；</w:t>
      </w:r>
    </w:p>
    <w:p w14:paraId="2C08ADE4">
      <w:pPr>
        <w:adjustRightInd w:val="0"/>
        <w:snapToGrid w:val="0"/>
        <w:spacing w:line="360" w:lineRule="auto"/>
        <w:ind w:left="-271" w:leftChars="-129" w:right="-384" w:rightChars="-183" w:firstLine="630" w:firstLineChars="300"/>
        <w:rPr>
          <w:rFonts w:hint="eastAsia"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2）对谈判文件中技术条款按上列格式逐条说明</w:t>
      </w:r>
      <w:r>
        <w:rPr>
          <w:rFonts w:hint="eastAsia" w:ascii="宋体" w:hAnsi="宋体"/>
          <w:b/>
          <w:bCs/>
          <w:color w:val="000000" w:themeColor="text1"/>
          <w:szCs w:val="21"/>
          <w:highlight w:val="none"/>
          <w14:textFill>
            <w14:solidFill>
              <w14:schemeClr w14:val="tx1"/>
            </w14:solidFill>
          </w14:textFill>
        </w:rPr>
        <w:t xml:space="preserve">。 </w:t>
      </w:r>
    </w:p>
    <w:p w14:paraId="0C42E2DE">
      <w:pPr>
        <w:pStyle w:val="2"/>
        <w:rPr>
          <w:rFonts w:hint="eastAsia"/>
          <w:color w:val="000000" w:themeColor="text1"/>
          <w:highlight w:val="none"/>
          <w14:textFill>
            <w14:solidFill>
              <w14:schemeClr w14:val="tx1"/>
            </w14:solidFill>
          </w14:textFill>
        </w:rPr>
      </w:pPr>
    </w:p>
    <w:p w14:paraId="244E0EF6">
      <w:pPr>
        <w:adjustRightInd w:val="0"/>
        <w:snapToGrid w:val="0"/>
        <w:spacing w:line="360" w:lineRule="auto"/>
        <w:ind w:right="-384" w:rightChars="-183"/>
        <w:rPr>
          <w:rFonts w:hint="eastAsia" w:ascii="宋体" w:hAnsi="宋体"/>
          <w:b/>
          <w:bCs/>
          <w:color w:val="000000" w:themeColor="text1"/>
          <w:szCs w:val="21"/>
          <w:highlight w:val="none"/>
          <w14:textFill>
            <w14:solidFill>
              <w14:schemeClr w14:val="tx1"/>
            </w14:solidFill>
          </w14:textFill>
        </w:rPr>
      </w:pPr>
    </w:p>
    <w:p w14:paraId="13C29DC0">
      <w:pPr>
        <w:adjustRightInd w:val="0"/>
        <w:snapToGrid w:val="0"/>
        <w:spacing w:line="360" w:lineRule="auto"/>
        <w:ind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供应商声明：表中未列全的技术条款，我方均表示完全响应谈判文件技术条款的所有要求。</w:t>
      </w:r>
    </w:p>
    <w:p w14:paraId="62DE7A68">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18F0EDF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64164DAE">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51A70912">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10" w:name="_Toc16285"/>
      <w:r>
        <w:rPr>
          <w:rFonts w:hint="eastAsia" w:ascii="宋体" w:hAnsi="宋体" w:eastAsia="宋体"/>
          <w:color w:val="000000" w:themeColor="text1"/>
          <w:sz w:val="28"/>
          <w:szCs w:val="28"/>
          <w:highlight w:val="none"/>
          <w14:textFill>
            <w14:solidFill>
              <w14:schemeClr w14:val="tx1"/>
            </w14:solidFill>
          </w14:textFill>
        </w:rPr>
        <w:t>附件六：同类业绩一览表</w:t>
      </w:r>
      <w:bookmarkEnd w:id="210"/>
    </w:p>
    <w:p w14:paraId="0F040673">
      <w:pPr>
        <w:adjustRightInd w:val="0"/>
        <w:snapToGrid w:val="0"/>
        <w:spacing w:line="360" w:lineRule="auto"/>
        <w:jc w:val="left"/>
        <w:rPr>
          <w:rFonts w:hint="eastAsia" w:ascii="宋体" w:hAnsi="宋体" w:eastAsia="宋体"/>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2B27C0D2">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bl>
      <w:tblPr>
        <w:tblStyle w:val="43"/>
        <w:tblW w:w="10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34"/>
        <w:gridCol w:w="1267"/>
        <w:gridCol w:w="1117"/>
        <w:gridCol w:w="1400"/>
        <w:gridCol w:w="1233"/>
        <w:gridCol w:w="1183"/>
        <w:gridCol w:w="1220"/>
        <w:gridCol w:w="737"/>
      </w:tblGrid>
      <w:tr w14:paraId="7D15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705" w:type="dxa"/>
            <w:vAlign w:val="center"/>
          </w:tcPr>
          <w:p w14:paraId="113B5408">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序号</w:t>
            </w:r>
          </w:p>
        </w:tc>
        <w:tc>
          <w:tcPr>
            <w:tcW w:w="1234" w:type="dxa"/>
            <w:vAlign w:val="center"/>
          </w:tcPr>
          <w:p w14:paraId="7F61E09A">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项目名称</w:t>
            </w:r>
          </w:p>
        </w:tc>
        <w:tc>
          <w:tcPr>
            <w:tcW w:w="1267" w:type="dxa"/>
            <w:vAlign w:val="center"/>
          </w:tcPr>
          <w:p w14:paraId="3B71B119">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内容</w:t>
            </w:r>
          </w:p>
        </w:tc>
        <w:tc>
          <w:tcPr>
            <w:tcW w:w="1117" w:type="dxa"/>
            <w:vAlign w:val="center"/>
          </w:tcPr>
          <w:p w14:paraId="7FFCF23E">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数量</w:t>
            </w:r>
          </w:p>
        </w:tc>
        <w:tc>
          <w:tcPr>
            <w:tcW w:w="1400" w:type="dxa"/>
            <w:vAlign w:val="center"/>
          </w:tcPr>
          <w:p w14:paraId="63E01895">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成交额（元）</w:t>
            </w:r>
          </w:p>
        </w:tc>
        <w:tc>
          <w:tcPr>
            <w:tcW w:w="1233" w:type="dxa"/>
            <w:vAlign w:val="center"/>
          </w:tcPr>
          <w:p w14:paraId="6A4CD26A">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完成日期</w:t>
            </w:r>
          </w:p>
        </w:tc>
        <w:tc>
          <w:tcPr>
            <w:tcW w:w="1183" w:type="dxa"/>
            <w:vAlign w:val="center"/>
          </w:tcPr>
          <w:p w14:paraId="0DEC97B2">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用户单位</w:t>
            </w:r>
          </w:p>
        </w:tc>
        <w:tc>
          <w:tcPr>
            <w:tcW w:w="1220" w:type="dxa"/>
            <w:vAlign w:val="center"/>
          </w:tcPr>
          <w:p w14:paraId="187DA3C1">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联系电话</w:t>
            </w:r>
          </w:p>
        </w:tc>
        <w:tc>
          <w:tcPr>
            <w:tcW w:w="737" w:type="dxa"/>
            <w:vAlign w:val="center"/>
          </w:tcPr>
          <w:p w14:paraId="18CE2DBC">
            <w:pPr>
              <w:pStyle w:val="2"/>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备注</w:t>
            </w:r>
          </w:p>
        </w:tc>
      </w:tr>
      <w:tr w14:paraId="40B7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52D271A8">
            <w:pPr>
              <w:pStyle w:val="2"/>
              <w:snapToGrid w:val="0"/>
              <w:ind w:firstLine="0"/>
              <w:jc w:val="center"/>
              <w:rPr>
                <w:rFonts w:hAnsi="宋体"/>
                <w:bCs/>
                <w:color w:val="000000" w:themeColor="text1"/>
                <w:szCs w:val="24"/>
                <w:highlight w:val="none"/>
                <w14:textFill>
                  <w14:solidFill>
                    <w14:schemeClr w14:val="tx1"/>
                  </w14:solidFill>
                </w14:textFill>
              </w:rPr>
            </w:pPr>
          </w:p>
        </w:tc>
        <w:tc>
          <w:tcPr>
            <w:tcW w:w="1234" w:type="dxa"/>
            <w:vAlign w:val="center"/>
          </w:tcPr>
          <w:p w14:paraId="17811A8F">
            <w:pPr>
              <w:pStyle w:val="2"/>
              <w:snapToGrid w:val="0"/>
              <w:ind w:firstLine="0"/>
              <w:jc w:val="center"/>
              <w:rPr>
                <w:rFonts w:hAnsi="宋体"/>
                <w:bCs/>
                <w:color w:val="000000" w:themeColor="text1"/>
                <w:szCs w:val="24"/>
                <w:highlight w:val="none"/>
                <w14:textFill>
                  <w14:solidFill>
                    <w14:schemeClr w14:val="tx1"/>
                  </w14:solidFill>
                </w14:textFill>
              </w:rPr>
            </w:pPr>
          </w:p>
        </w:tc>
        <w:tc>
          <w:tcPr>
            <w:tcW w:w="1267" w:type="dxa"/>
            <w:vAlign w:val="center"/>
          </w:tcPr>
          <w:p w14:paraId="5D0B3CA6">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061B063C">
            <w:pPr>
              <w:pStyle w:val="2"/>
              <w:snapToGrid w:val="0"/>
              <w:ind w:firstLine="0"/>
              <w:jc w:val="center"/>
              <w:rPr>
                <w:rFonts w:hAnsi="宋体"/>
                <w:bCs/>
                <w:color w:val="000000" w:themeColor="text1"/>
                <w:szCs w:val="24"/>
                <w:highlight w:val="none"/>
                <w14:textFill>
                  <w14:solidFill>
                    <w14:schemeClr w14:val="tx1"/>
                  </w14:solidFill>
                </w14:textFill>
              </w:rPr>
            </w:pPr>
          </w:p>
        </w:tc>
        <w:tc>
          <w:tcPr>
            <w:tcW w:w="1400" w:type="dxa"/>
            <w:vAlign w:val="center"/>
          </w:tcPr>
          <w:p w14:paraId="0E2783A4">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2F57D494">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4E4CA640">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980D403">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1D001039">
            <w:pPr>
              <w:pStyle w:val="2"/>
              <w:snapToGrid w:val="0"/>
              <w:jc w:val="center"/>
              <w:rPr>
                <w:rFonts w:hAnsi="宋体"/>
                <w:bCs/>
                <w:color w:val="000000" w:themeColor="text1"/>
                <w:szCs w:val="24"/>
                <w:highlight w:val="none"/>
                <w14:textFill>
                  <w14:solidFill>
                    <w14:schemeClr w14:val="tx1"/>
                  </w14:solidFill>
                </w14:textFill>
              </w:rPr>
            </w:pPr>
          </w:p>
        </w:tc>
      </w:tr>
      <w:tr w14:paraId="0B8C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768BCD2E">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656D16B9">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874038A">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5FE4D082">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7E3A616C">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762F924F">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1C783722">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458D826E">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3BC7C308">
            <w:pPr>
              <w:pStyle w:val="2"/>
              <w:snapToGrid w:val="0"/>
              <w:jc w:val="center"/>
              <w:rPr>
                <w:rFonts w:hAnsi="宋体"/>
                <w:bCs/>
                <w:color w:val="000000" w:themeColor="text1"/>
                <w:szCs w:val="24"/>
                <w:highlight w:val="none"/>
                <w14:textFill>
                  <w14:solidFill>
                    <w14:schemeClr w14:val="tx1"/>
                  </w14:solidFill>
                </w14:textFill>
              </w:rPr>
            </w:pPr>
          </w:p>
        </w:tc>
      </w:tr>
      <w:tr w14:paraId="30EC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17DD1BB6">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02D32AED">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63806B4">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29B0B85C">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389D6703">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31496ED">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45E9E5C6">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096C3BDF">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7A847B39">
            <w:pPr>
              <w:pStyle w:val="2"/>
              <w:snapToGrid w:val="0"/>
              <w:jc w:val="center"/>
              <w:rPr>
                <w:rFonts w:hAnsi="宋体"/>
                <w:bCs/>
                <w:color w:val="000000" w:themeColor="text1"/>
                <w:szCs w:val="24"/>
                <w:highlight w:val="none"/>
                <w14:textFill>
                  <w14:solidFill>
                    <w14:schemeClr w14:val="tx1"/>
                  </w14:solidFill>
                </w14:textFill>
              </w:rPr>
            </w:pPr>
          </w:p>
        </w:tc>
      </w:tr>
      <w:tr w14:paraId="5911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687D86EE">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71F2595D">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75F0D3D">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104AC0AB">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07550A51">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5E37BF01">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5D60CB21">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4B5DDC5">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59338B0D">
            <w:pPr>
              <w:pStyle w:val="2"/>
              <w:snapToGrid w:val="0"/>
              <w:jc w:val="center"/>
              <w:rPr>
                <w:rFonts w:hAnsi="宋体"/>
                <w:bCs/>
                <w:color w:val="000000" w:themeColor="text1"/>
                <w:szCs w:val="24"/>
                <w:highlight w:val="none"/>
                <w14:textFill>
                  <w14:solidFill>
                    <w14:schemeClr w14:val="tx1"/>
                  </w14:solidFill>
                </w14:textFill>
              </w:rPr>
            </w:pPr>
          </w:p>
        </w:tc>
      </w:tr>
      <w:tr w14:paraId="72E9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0E313430">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68AB664C">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939A377">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709CA425">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6C5E33F0">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72764B4A">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3256E6CB">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4C04C71F">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00C2AB74">
            <w:pPr>
              <w:pStyle w:val="2"/>
              <w:snapToGrid w:val="0"/>
              <w:jc w:val="center"/>
              <w:rPr>
                <w:rFonts w:hAnsi="宋体"/>
                <w:bCs/>
                <w:color w:val="000000" w:themeColor="text1"/>
                <w:szCs w:val="24"/>
                <w:highlight w:val="none"/>
                <w14:textFill>
                  <w14:solidFill>
                    <w14:schemeClr w14:val="tx1"/>
                  </w14:solidFill>
                </w14:textFill>
              </w:rPr>
            </w:pPr>
          </w:p>
        </w:tc>
      </w:tr>
      <w:tr w14:paraId="14A7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55483DB6">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4BE9692B">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1C9C5B4B">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2AF034DA">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5AB7AF97">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954E155">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30D343BF">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E313DAC">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73B13B17">
            <w:pPr>
              <w:pStyle w:val="2"/>
              <w:snapToGrid w:val="0"/>
              <w:jc w:val="center"/>
              <w:rPr>
                <w:rFonts w:hAnsi="宋体"/>
                <w:bCs/>
                <w:color w:val="000000" w:themeColor="text1"/>
                <w:szCs w:val="24"/>
                <w:highlight w:val="none"/>
                <w14:textFill>
                  <w14:solidFill>
                    <w14:schemeClr w14:val="tx1"/>
                  </w14:solidFill>
                </w14:textFill>
              </w:rPr>
            </w:pPr>
          </w:p>
        </w:tc>
      </w:tr>
      <w:tr w14:paraId="010D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2C6F1B79">
            <w:pPr>
              <w:pStyle w:val="2"/>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0010A36D">
            <w:pPr>
              <w:pStyle w:val="2"/>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2AAB78FE">
            <w:pPr>
              <w:pStyle w:val="2"/>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00646D14">
            <w:pPr>
              <w:pStyle w:val="2"/>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1D980891">
            <w:pPr>
              <w:pStyle w:val="2"/>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FCAD448">
            <w:pPr>
              <w:pStyle w:val="2"/>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6910EC93">
            <w:pPr>
              <w:pStyle w:val="2"/>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ED6D50C">
            <w:pPr>
              <w:pStyle w:val="2"/>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47F06396">
            <w:pPr>
              <w:pStyle w:val="2"/>
              <w:snapToGrid w:val="0"/>
              <w:jc w:val="center"/>
              <w:rPr>
                <w:rFonts w:hAnsi="宋体"/>
                <w:bCs/>
                <w:color w:val="000000" w:themeColor="text1"/>
                <w:szCs w:val="24"/>
                <w:highlight w:val="none"/>
                <w14:textFill>
                  <w14:solidFill>
                    <w14:schemeClr w14:val="tx1"/>
                  </w14:solidFill>
                </w14:textFill>
              </w:rPr>
            </w:pPr>
          </w:p>
        </w:tc>
      </w:tr>
    </w:tbl>
    <w:p w14:paraId="4080D669">
      <w:pPr>
        <w:pStyle w:val="2"/>
        <w:snapToGrid w:val="0"/>
        <w:spacing w:line="360" w:lineRule="auto"/>
        <w:ind w:firstLine="0"/>
        <w:rPr>
          <w:rFonts w:hAnsi="宋体"/>
          <w:bCs/>
          <w:color w:val="000000" w:themeColor="text1"/>
          <w:highlight w:val="none"/>
          <w14:textFill>
            <w14:solidFill>
              <w14:schemeClr w14:val="tx1"/>
            </w14:solidFill>
          </w14:textFill>
        </w:rPr>
      </w:pPr>
    </w:p>
    <w:p w14:paraId="4C834D6B">
      <w:pPr>
        <w:pStyle w:val="2"/>
        <w:snapToGrid w:val="0"/>
        <w:spacing w:line="360" w:lineRule="auto"/>
        <w:ind w:firstLine="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注：如本表格式内容不能满足需要，</w:t>
      </w:r>
      <w:r>
        <w:rPr>
          <w:rFonts w:hint="eastAsia" w:ascii="宋体" w:hAnsi="宋体"/>
          <w:bCs/>
          <w:color w:val="000000" w:themeColor="text1"/>
          <w:highlight w:val="none"/>
          <w14:textFill>
            <w14:solidFill>
              <w14:schemeClr w14:val="tx1"/>
            </w14:solidFill>
          </w14:textFill>
        </w:rPr>
        <w:t>供应商</w:t>
      </w:r>
      <w:r>
        <w:rPr>
          <w:rFonts w:hint="eastAsia" w:hAnsi="宋体"/>
          <w:bCs/>
          <w:color w:val="000000" w:themeColor="text1"/>
          <w:highlight w:val="none"/>
          <w14:textFill>
            <w14:solidFill>
              <w14:schemeClr w14:val="tx1"/>
            </w14:solidFill>
          </w14:textFill>
        </w:rPr>
        <w:t>可自行划表填写，但必须体现以上内容。</w:t>
      </w:r>
    </w:p>
    <w:p w14:paraId="3489386D">
      <w:pPr>
        <w:pStyle w:val="2"/>
        <w:snapToGrid w:val="0"/>
        <w:spacing w:line="360" w:lineRule="auto"/>
        <w:ind w:firstLine="0"/>
        <w:rPr>
          <w:rFonts w:hAnsi="宋体"/>
          <w:bCs/>
          <w:color w:val="000000" w:themeColor="text1"/>
          <w:highlight w:val="none"/>
          <w14:textFill>
            <w14:solidFill>
              <w14:schemeClr w14:val="tx1"/>
            </w14:solidFill>
          </w14:textFill>
        </w:rPr>
      </w:pPr>
    </w:p>
    <w:p w14:paraId="732EC498">
      <w:pPr>
        <w:pStyle w:val="2"/>
        <w:snapToGrid w:val="0"/>
        <w:spacing w:line="360" w:lineRule="auto"/>
        <w:ind w:firstLine="0"/>
        <w:rPr>
          <w:rFonts w:hAnsi="宋体"/>
          <w:bCs/>
          <w:color w:val="000000" w:themeColor="text1"/>
          <w:highlight w:val="none"/>
          <w14:textFill>
            <w14:solidFill>
              <w14:schemeClr w14:val="tx1"/>
            </w14:solidFill>
          </w14:textFill>
        </w:rPr>
      </w:pPr>
    </w:p>
    <w:p w14:paraId="52FD3939">
      <w:pPr>
        <w:pStyle w:val="2"/>
        <w:snapToGrid w:val="0"/>
        <w:spacing w:line="360" w:lineRule="auto"/>
        <w:ind w:firstLine="0"/>
        <w:rPr>
          <w:rFonts w:hAnsi="宋体"/>
          <w:bCs/>
          <w:color w:val="000000" w:themeColor="text1"/>
          <w:highlight w:val="none"/>
          <w14:textFill>
            <w14:solidFill>
              <w14:schemeClr w14:val="tx1"/>
            </w14:solidFill>
          </w14:textFill>
        </w:rPr>
      </w:pPr>
    </w:p>
    <w:p w14:paraId="47E62399">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供应商法定代表人（负责人）或授权代理人（签字）： </w:t>
      </w:r>
    </w:p>
    <w:p w14:paraId="1DD4820C">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供应商名称（加盖公章）：</w:t>
      </w:r>
    </w:p>
    <w:p w14:paraId="19FE8C1B">
      <w:pPr>
        <w:pStyle w:val="2"/>
        <w:snapToGrid w:val="0"/>
        <w:spacing w:line="360" w:lineRule="auto"/>
        <w:ind w:firstLine="0"/>
        <w:rPr>
          <w:rFonts w:ascii="宋体" w:hAnsi="宋体"/>
          <w:color w:val="000000" w:themeColor="text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r>
        <w:rPr>
          <w:rFonts w:hint="eastAsia" w:ascii="宋体" w:hAnsi="宋体"/>
          <w:bCs/>
          <w:color w:val="000000" w:themeColor="text1"/>
          <w:szCs w:val="21"/>
          <w:highlight w:val="none"/>
          <w14:textFill>
            <w14:solidFill>
              <w14:schemeClr w14:val="tx1"/>
            </w14:solidFill>
          </w14:textFill>
        </w:rPr>
        <w:t>日期： 年月 日</w:t>
      </w:r>
    </w:p>
    <w:p w14:paraId="5BD41347">
      <w:pPr>
        <w:pStyle w:val="4"/>
        <w:numPr>
          <w:ilvl w:val="0"/>
          <w:numId w:val="0"/>
        </w:numPr>
        <w:spacing w:line="400" w:lineRule="exact"/>
        <w:jc w:val="center"/>
        <w:rPr>
          <w:rFonts w:ascii="宋体" w:hAnsi="宋体" w:eastAsia="宋体" w:cs="宋体"/>
          <w:color w:val="000000" w:themeColor="text1"/>
          <w:sz w:val="28"/>
          <w:szCs w:val="28"/>
          <w:highlight w:val="none"/>
          <w14:textFill>
            <w14:solidFill>
              <w14:schemeClr w14:val="tx1"/>
            </w14:solidFill>
          </w14:textFill>
        </w:rPr>
      </w:pPr>
      <w:bookmarkStart w:id="211" w:name="_Toc430771089"/>
      <w:bookmarkStart w:id="212" w:name="_Toc7149"/>
      <w:bookmarkStart w:id="213" w:name="_Toc432682754"/>
      <w:bookmarkStart w:id="214" w:name="_Toc25952"/>
      <w:bookmarkStart w:id="215" w:name="_Toc432695229"/>
      <w:bookmarkStart w:id="216" w:name="_Toc340507472"/>
      <w:bookmarkStart w:id="217" w:name="_Toc366072562"/>
      <w:bookmarkStart w:id="218" w:name="_Toc339362330"/>
      <w:bookmarkStart w:id="219" w:name="_Toc336681610"/>
      <w:bookmarkStart w:id="220" w:name="_Toc333238664"/>
      <w:bookmarkStart w:id="221" w:name="_Toc331512931"/>
      <w:bookmarkStart w:id="222" w:name="_Toc339441117"/>
      <w:bookmarkStart w:id="223" w:name="_Toc336681965"/>
      <w:bookmarkStart w:id="224" w:name="_Toc333237819"/>
      <w:bookmarkStart w:id="225" w:name="_Toc102451601"/>
      <w:bookmarkStart w:id="226" w:name="_Toc339019919"/>
      <w:bookmarkStart w:id="227" w:name="_Toc365967105"/>
      <w:bookmarkStart w:id="228" w:name="_Toc343247130"/>
      <w:bookmarkStart w:id="229" w:name="_Toc331684072"/>
      <w:bookmarkStart w:id="230" w:name="_Toc332206739"/>
      <w:bookmarkStart w:id="231" w:name="_Toc340672899"/>
      <w:bookmarkStart w:id="232" w:name="_Toc340677100"/>
      <w:bookmarkStart w:id="233" w:name="_Toc345312627"/>
      <w:bookmarkStart w:id="234" w:name="_Toc333935717"/>
      <w:bookmarkStart w:id="235" w:name="_Toc339020045"/>
      <w:bookmarkStart w:id="236" w:name="_Toc350438779"/>
      <w:bookmarkStart w:id="237" w:name="_Toc333237708"/>
      <w:bookmarkStart w:id="238" w:name="_Toc342060405"/>
      <w:bookmarkStart w:id="239" w:name="_Toc332270377"/>
      <w:bookmarkStart w:id="240" w:name="_Toc339020263"/>
      <w:bookmarkStart w:id="241" w:name="_Toc342398160"/>
      <w:bookmarkStart w:id="242" w:name="_Toc339020125"/>
      <w:bookmarkStart w:id="243" w:name="_Toc342296791"/>
      <w:bookmarkStart w:id="244" w:name="_Toc333935376"/>
      <w:bookmarkStart w:id="245" w:name="_Toc341348370"/>
      <w:bookmarkStart w:id="246" w:name="_Toc330460016"/>
      <w:bookmarkStart w:id="247" w:name="_Toc365985211"/>
      <w:bookmarkStart w:id="248" w:name="_Toc343248448"/>
      <w:bookmarkStart w:id="249" w:name="_Toc337632388"/>
      <w:bookmarkStart w:id="250" w:name="_Toc350756480"/>
      <w:bookmarkStart w:id="251" w:name="_Toc343612950"/>
      <w:bookmarkStart w:id="252" w:name="_Toc342312473"/>
      <w:bookmarkStart w:id="253" w:name="_Toc200414534"/>
      <w:r>
        <w:rPr>
          <w:rFonts w:hint="eastAsia" w:ascii="宋体" w:hAnsi="宋体" w:eastAsia="宋体" w:cs="宋体"/>
          <w:color w:val="000000" w:themeColor="text1"/>
          <w:sz w:val="28"/>
          <w:szCs w:val="28"/>
          <w:highlight w:val="none"/>
          <w14:textFill>
            <w14:solidFill>
              <w14:schemeClr w14:val="tx1"/>
            </w14:solidFill>
          </w14:textFill>
        </w:rPr>
        <w:t>附件七：中小微企业声明函</w:t>
      </w:r>
      <w:bookmarkEnd w:id="211"/>
      <w:bookmarkEnd w:id="212"/>
      <w:bookmarkEnd w:id="213"/>
      <w:bookmarkEnd w:id="214"/>
      <w:bookmarkEnd w:id="215"/>
    </w:p>
    <w:p w14:paraId="58566976">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本公司郑重声明，根据《政府采购促进中小企业发展管理办法》（财库﹝2020﹞46 号）的规定，本公司为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7FA05B5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407AFB7C">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67E4320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195F0D8F">
      <w:pPr>
        <w:spacing w:line="440" w:lineRule="exact"/>
        <w:rPr>
          <w:rFonts w:ascii="宋体"/>
          <w:color w:val="000000" w:themeColor="text1"/>
          <w:highlight w:val="none"/>
          <w14:textFill>
            <w14:solidFill>
              <w14:schemeClr w14:val="tx1"/>
            </w14:solidFill>
          </w14:textFill>
        </w:rPr>
      </w:pPr>
    </w:p>
    <w:p w14:paraId="75DCF0A8">
      <w:pPr>
        <w:adjustRightInd w:val="0"/>
        <w:snapToGrid w:val="0"/>
        <w:spacing w:line="360" w:lineRule="auto"/>
        <w:rPr>
          <w:rFonts w:ascii="宋体" w:hAnsi="宋体"/>
          <w:bCs/>
          <w:color w:val="000000" w:themeColor="text1"/>
          <w:highlight w:val="none"/>
          <w14:textFill>
            <w14:solidFill>
              <w14:schemeClr w14:val="tx1"/>
            </w14:solidFill>
          </w14:textFill>
        </w:rPr>
      </w:pPr>
    </w:p>
    <w:p w14:paraId="2530644A">
      <w:pPr>
        <w:adjustRightInd w:val="0"/>
        <w:snapToGrid w:val="0"/>
        <w:spacing w:line="360" w:lineRule="auto"/>
        <w:rPr>
          <w:rFonts w:ascii="宋体" w:hAnsi="宋体"/>
          <w:bCs/>
          <w:color w:val="000000" w:themeColor="text1"/>
          <w:highlight w:val="none"/>
          <w14:textFill>
            <w14:solidFill>
              <w14:schemeClr w14:val="tx1"/>
            </w14:solidFill>
          </w14:textFill>
        </w:rPr>
      </w:pPr>
    </w:p>
    <w:p w14:paraId="784F6FD8">
      <w:pPr>
        <w:adjustRightInd w:val="0"/>
        <w:snapToGrid w:val="0"/>
        <w:spacing w:line="360" w:lineRule="auto"/>
        <w:rPr>
          <w:rFonts w:ascii="宋体" w:hAnsi="宋体"/>
          <w:bCs/>
          <w:color w:val="000000" w:themeColor="text1"/>
          <w:highlight w:val="none"/>
          <w14:textFill>
            <w14:solidFill>
              <w14:schemeClr w14:val="tx1"/>
            </w14:solidFill>
          </w14:textFill>
        </w:rPr>
      </w:pPr>
    </w:p>
    <w:p w14:paraId="1D39D916">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供应商法定代表人（负责人）或授权代理人（签字）： </w:t>
      </w:r>
    </w:p>
    <w:p w14:paraId="3630A877">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供应商名称（加盖公章）：</w:t>
      </w:r>
    </w:p>
    <w:p w14:paraId="3AE8FE5C">
      <w:pPr>
        <w:spacing w:line="360" w:lineRule="auto"/>
        <w:rPr>
          <w:rFonts w:ascii="宋体"/>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650AF1A7">
      <w:pPr>
        <w:spacing w:line="440" w:lineRule="exact"/>
        <w:rPr>
          <w:rFonts w:ascii="宋体"/>
          <w:color w:val="000000" w:themeColor="text1"/>
          <w:highlight w:val="none"/>
          <w14:textFill>
            <w14:solidFill>
              <w14:schemeClr w14:val="tx1"/>
            </w14:solidFill>
          </w14:textFill>
        </w:rPr>
      </w:pPr>
    </w:p>
    <w:p w14:paraId="1B5DED45">
      <w:pPr>
        <w:spacing w:line="440" w:lineRule="exact"/>
        <w:jc w:val="center"/>
        <w:rPr>
          <w:rFonts w:ascii="宋体"/>
          <w:color w:val="000000" w:themeColor="text1"/>
          <w:highlight w:val="none"/>
          <w14:textFill>
            <w14:solidFill>
              <w14:schemeClr w14:val="tx1"/>
            </w14:solidFill>
          </w14:textFill>
        </w:rPr>
      </w:pPr>
    </w:p>
    <w:p w14:paraId="5CDB418C">
      <w:pPr>
        <w:spacing w:line="440" w:lineRule="exact"/>
        <w:jc w:val="center"/>
        <w:rPr>
          <w:rFonts w:ascii="宋体"/>
          <w:color w:val="000000" w:themeColor="text1"/>
          <w:highlight w:val="none"/>
          <w14:textFill>
            <w14:solidFill>
              <w14:schemeClr w14:val="tx1"/>
            </w14:solidFill>
          </w14:textFill>
        </w:rPr>
      </w:pPr>
    </w:p>
    <w:p w14:paraId="582CE539">
      <w:pPr>
        <w:spacing w:line="440" w:lineRule="exact"/>
        <w:jc w:val="center"/>
        <w:rPr>
          <w:rFonts w:ascii="宋体"/>
          <w:color w:val="000000" w:themeColor="text1"/>
          <w:highlight w:val="none"/>
          <w14:textFill>
            <w14:solidFill>
              <w14:schemeClr w14:val="tx1"/>
            </w14:solidFill>
          </w14:textFill>
        </w:rPr>
      </w:pPr>
    </w:p>
    <w:p w14:paraId="1C3F5BB4">
      <w:pPr>
        <w:spacing w:line="440" w:lineRule="exact"/>
        <w:jc w:val="center"/>
        <w:rPr>
          <w:rFonts w:ascii="宋体"/>
          <w:color w:val="000000" w:themeColor="text1"/>
          <w:highlight w:val="none"/>
          <w14:textFill>
            <w14:solidFill>
              <w14:schemeClr w14:val="tx1"/>
            </w14:solidFill>
          </w14:textFill>
        </w:rPr>
      </w:pPr>
    </w:p>
    <w:p w14:paraId="687836A5">
      <w:pPr>
        <w:spacing w:line="440" w:lineRule="exact"/>
        <w:jc w:val="center"/>
        <w:rPr>
          <w:rFonts w:ascii="宋体"/>
          <w:color w:val="000000" w:themeColor="text1"/>
          <w:highlight w:val="none"/>
          <w14:textFill>
            <w14:solidFill>
              <w14:schemeClr w14:val="tx1"/>
            </w14:solidFill>
          </w14:textFill>
        </w:rPr>
      </w:pPr>
    </w:p>
    <w:p w14:paraId="43B8EB44">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D576090">
      <w:pPr>
        <w:pStyle w:val="2"/>
        <w:rPr>
          <w:color w:val="000000" w:themeColor="text1"/>
          <w:highlight w:val="none"/>
          <w14:textFill>
            <w14:solidFill>
              <w14:schemeClr w14:val="tx1"/>
            </w14:solidFill>
          </w14:textFill>
        </w:rPr>
      </w:pPr>
    </w:p>
    <w:p w14:paraId="7FC7B256">
      <w:pPr>
        <w:pStyle w:val="2"/>
        <w:rPr>
          <w:color w:val="000000" w:themeColor="text1"/>
          <w:highlight w:val="none"/>
          <w14:textFill>
            <w14:solidFill>
              <w14:schemeClr w14:val="tx1"/>
            </w14:solidFill>
          </w14:textFill>
        </w:rPr>
      </w:pPr>
    </w:p>
    <w:p w14:paraId="779C85B0">
      <w:pPr>
        <w:pStyle w:val="2"/>
        <w:rPr>
          <w:color w:val="000000" w:themeColor="text1"/>
          <w:highlight w:val="none"/>
          <w14:textFill>
            <w14:solidFill>
              <w14:schemeClr w14:val="tx1"/>
            </w14:solidFill>
          </w14:textFill>
        </w:rPr>
      </w:pPr>
    </w:p>
    <w:p w14:paraId="6144BBBA">
      <w:pPr>
        <w:pStyle w:val="2"/>
        <w:rPr>
          <w:color w:val="000000" w:themeColor="text1"/>
          <w:highlight w:val="none"/>
          <w14:textFill>
            <w14:solidFill>
              <w14:schemeClr w14:val="tx1"/>
            </w14:solidFill>
          </w14:textFill>
        </w:rPr>
      </w:pPr>
    </w:p>
    <w:p w14:paraId="4C7FECA4">
      <w:pPr>
        <w:pStyle w:val="2"/>
        <w:ind w:left="0" w:leftChars="0" w:firstLine="0" w:firstLineChars="0"/>
        <w:rPr>
          <w:color w:val="000000" w:themeColor="text1"/>
          <w:highlight w:val="none"/>
          <w14:textFill>
            <w14:solidFill>
              <w14:schemeClr w14:val="tx1"/>
            </w14:solidFill>
          </w14:textFill>
        </w:rPr>
      </w:pPr>
    </w:p>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14:paraId="59B09DC9">
      <w:pPr>
        <w:pStyle w:val="4"/>
        <w:keepLines w:val="0"/>
        <w:numPr>
          <w:ilvl w:val="0"/>
          <w:numId w:val="0"/>
        </w:numPr>
        <w:tabs>
          <w:tab w:val="left" w:pos="851"/>
        </w:tabs>
        <w:spacing w:before="0" w:after="0" w:line="360" w:lineRule="auto"/>
        <w:jc w:val="center"/>
        <w:rPr>
          <w:rFonts w:ascii="宋体" w:hAnsi="宋体" w:eastAsia="宋体" w:cs="宋体"/>
          <w:color w:val="000000" w:themeColor="text1"/>
          <w:sz w:val="28"/>
          <w:szCs w:val="28"/>
          <w:highlight w:val="none"/>
          <w14:textFill>
            <w14:solidFill>
              <w14:schemeClr w14:val="tx1"/>
            </w14:solidFill>
          </w14:textFill>
        </w:rPr>
      </w:pPr>
      <w:bookmarkStart w:id="254" w:name="_Toc20242"/>
      <w:bookmarkStart w:id="255" w:name="_Toc32373"/>
      <w:bookmarkStart w:id="256" w:name="_Toc27042"/>
      <w:r>
        <w:rPr>
          <w:rFonts w:hint="eastAsia" w:ascii="宋体" w:hAnsi="宋体" w:eastAsia="宋体" w:cs="宋体"/>
          <w:color w:val="000000" w:themeColor="text1"/>
          <w:sz w:val="28"/>
          <w:szCs w:val="28"/>
          <w:highlight w:val="none"/>
          <w14:textFill>
            <w14:solidFill>
              <w14:schemeClr w14:val="tx1"/>
            </w14:solidFill>
          </w14:textFill>
        </w:rPr>
        <w:t>附件八：残疾人福利性单位声明函</w:t>
      </w:r>
      <w:bookmarkEnd w:id="254"/>
      <w:bookmarkEnd w:id="255"/>
      <w:bookmarkEnd w:id="256"/>
    </w:p>
    <w:p w14:paraId="419008AE">
      <w:pPr>
        <w:spacing w:line="360" w:lineRule="auto"/>
        <w:jc w:val="center"/>
        <w:rPr>
          <w:rFonts w:ascii="宋体" w:hAnsi="宋体"/>
          <w:b/>
          <w:color w:val="000000" w:themeColor="text1"/>
          <w:sz w:val="24"/>
          <w:highlight w:val="none"/>
          <w14:textFill>
            <w14:solidFill>
              <w14:schemeClr w14:val="tx1"/>
            </w14:solidFill>
          </w14:textFill>
        </w:rPr>
      </w:pPr>
    </w:p>
    <w:p w14:paraId="00D072BC">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2E71EECE">
      <w:pPr>
        <w:spacing w:line="360" w:lineRule="auto"/>
        <w:jc w:val="center"/>
        <w:rPr>
          <w:rFonts w:ascii="宋体" w:hAnsi="宋体"/>
          <w:b/>
          <w:color w:val="000000" w:themeColor="text1"/>
          <w:sz w:val="24"/>
          <w:highlight w:val="none"/>
          <w14:textFill>
            <w14:solidFill>
              <w14:schemeClr w14:val="tx1"/>
            </w14:solidFill>
          </w14:textFill>
        </w:rPr>
      </w:pPr>
    </w:p>
    <w:p w14:paraId="0739A9D6">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0A8E987">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D377F65">
      <w:pPr>
        <w:spacing w:line="360" w:lineRule="auto"/>
        <w:ind w:firstLine="420" w:firstLineChars="200"/>
        <w:rPr>
          <w:rFonts w:ascii="宋体" w:hAnsi="宋体" w:cs="宋体"/>
          <w:color w:val="000000" w:themeColor="text1"/>
          <w:highlight w:val="none"/>
          <w14:textFill>
            <w14:solidFill>
              <w14:schemeClr w14:val="tx1"/>
            </w14:solidFill>
          </w14:textFill>
        </w:rPr>
      </w:pPr>
    </w:p>
    <w:p w14:paraId="307DF0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01237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8922A24">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226614FA">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43DA7820">
      <w:pPr>
        <w:pStyle w:val="2"/>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 xml:space="preserve">供应商法定代表人（负责人）或授权代理人（签字）： </w:t>
      </w:r>
    </w:p>
    <w:p w14:paraId="39E64493">
      <w:pPr>
        <w:pStyle w:val="2"/>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供应商名称（加盖公章）：</w:t>
      </w:r>
    </w:p>
    <w:p w14:paraId="5F0CE429">
      <w:pPr>
        <w:pStyle w:val="2"/>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日期： 年月 日</w:t>
      </w:r>
    </w:p>
    <w:p w14:paraId="5C08ED64">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501154D0">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33C3E910">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53537552">
      <w:pPr>
        <w:pStyle w:val="2"/>
        <w:rPr>
          <w:color w:val="000000" w:themeColor="text1"/>
          <w:highlight w:val="none"/>
          <w14:textFill>
            <w14:solidFill>
              <w14:schemeClr w14:val="tx1"/>
            </w14:solidFill>
          </w14:textFill>
        </w:rPr>
      </w:pPr>
    </w:p>
    <w:p w14:paraId="253A1F34">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57" w:name="_Toc18666"/>
      <w:r>
        <w:rPr>
          <w:rFonts w:hint="eastAsia" w:ascii="宋体" w:hAnsi="宋体" w:eastAsia="宋体"/>
          <w:color w:val="000000" w:themeColor="text1"/>
          <w:sz w:val="28"/>
          <w:szCs w:val="28"/>
          <w:highlight w:val="none"/>
          <w14:textFill>
            <w14:solidFill>
              <w14:schemeClr w14:val="tx1"/>
            </w14:solidFill>
          </w14:textFill>
        </w:rPr>
        <w:t>附件九：成交服务费承诺</w:t>
      </w:r>
      <w:bookmarkEnd w:id="253"/>
      <w:bookmarkEnd w:id="257"/>
    </w:p>
    <w:p w14:paraId="410E6BB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73575B79">
      <w:pPr>
        <w:spacing w:line="360" w:lineRule="auto"/>
        <w:rPr>
          <w:rFonts w:ascii="宋体" w:hAnsi="宋体"/>
          <w:color w:val="000000" w:themeColor="text1"/>
          <w:szCs w:val="21"/>
          <w:highlight w:val="none"/>
          <w14:textFill>
            <w14:solidFill>
              <w14:schemeClr w14:val="tx1"/>
            </w14:solidFill>
          </w14:textFill>
        </w:rPr>
      </w:pPr>
    </w:p>
    <w:p w14:paraId="1DC984F4">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）谈判项目（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7D65CD67">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1.若我方成交，将严格遵照本项目谈判文件的规定向代理采购机构缴纳成交服务费。</w:t>
      </w:r>
    </w:p>
    <w:p w14:paraId="0E9F1C16">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2.若我方成交后拒绝如数缴纳或未按本项目谈判文件规定的期限缴纳成交服务费，则视为我方自动放弃该成交结果，贵方有权重新确定成交结果，我方对此无任何异议。</w:t>
      </w:r>
    </w:p>
    <w:p w14:paraId="66D3EACC">
      <w:pPr>
        <w:spacing w:line="360" w:lineRule="auto"/>
        <w:rPr>
          <w:rFonts w:ascii="宋体" w:hAnsi="宋体"/>
          <w:color w:val="000000" w:themeColor="text1"/>
          <w:szCs w:val="21"/>
          <w:highlight w:val="none"/>
          <w14:textFill>
            <w14:solidFill>
              <w14:schemeClr w14:val="tx1"/>
            </w14:solidFill>
          </w14:textFill>
        </w:rPr>
      </w:pPr>
    </w:p>
    <w:p w14:paraId="550B149A">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4F9E109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2709C6DC">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29C6514A">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466A061B">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E3B1B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4908D2">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E0844C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C3640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5D9C60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7DEEDD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E557736">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6E0525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424CE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059641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D1226D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385596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AB1EF7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F5D85FA">
      <w:pPr>
        <w:pStyle w:val="4"/>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58" w:name="_Toc200414535"/>
      <w:bookmarkStart w:id="259" w:name="_Toc16600"/>
      <w:r>
        <w:rPr>
          <w:rFonts w:hint="eastAsia" w:ascii="宋体" w:hAnsi="宋体" w:eastAsia="宋体"/>
          <w:color w:val="000000" w:themeColor="text1"/>
          <w:sz w:val="28"/>
          <w:szCs w:val="28"/>
          <w:highlight w:val="none"/>
          <w14:textFill>
            <w14:solidFill>
              <w14:schemeClr w14:val="tx1"/>
            </w14:solidFill>
          </w14:textFill>
        </w:rPr>
        <w:t>附件十：谈判供应商提交的其他资料</w:t>
      </w:r>
      <w:bookmarkEnd w:id="258"/>
      <w:bookmarkEnd w:id="259"/>
    </w:p>
    <w:p w14:paraId="770AF15D">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p>
    <w:p w14:paraId="2A98793A">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5F5B4F5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37186198">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1E85F4F">
      <w:pPr>
        <w:pStyle w:val="2"/>
        <w:spacing w:line="360" w:lineRule="auto"/>
        <w:rPr>
          <w:rFonts w:ascii="宋体" w:hAnsi="宋体"/>
          <w:color w:val="000000" w:themeColor="text1"/>
          <w:szCs w:val="21"/>
          <w:highlight w:val="none"/>
          <w14:textFill>
            <w14:solidFill>
              <w14:schemeClr w14:val="tx1"/>
            </w14:solidFill>
          </w14:textFill>
        </w:rPr>
      </w:pPr>
    </w:p>
    <w:p w14:paraId="23B92DDD">
      <w:pPr>
        <w:pStyle w:val="2"/>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本节无格式要求，供应商可根据自身实际情况以及谈判文件规定的“谈判采购项目要求”等进行编制。</w:t>
      </w:r>
    </w:p>
    <w:p w14:paraId="38B30D22">
      <w:pPr>
        <w:pStyle w:val="2"/>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一、</w:t>
      </w:r>
    </w:p>
    <w:p w14:paraId="5C90C8FC">
      <w:pPr>
        <w:pStyle w:val="2"/>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二、</w:t>
      </w:r>
    </w:p>
    <w:p w14:paraId="6DB122B8">
      <w:pPr>
        <w:pStyle w:val="2"/>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三、</w:t>
      </w:r>
      <w:r>
        <w:rPr>
          <w:rFonts w:ascii="宋体" w:hAnsi="宋体"/>
          <w:bCs/>
          <w:color w:val="000000" w:themeColor="text1"/>
          <w:szCs w:val="21"/>
          <w:highlight w:val="none"/>
          <w14:textFill>
            <w14:solidFill>
              <w14:schemeClr w14:val="tx1"/>
            </w14:solidFill>
          </w14:textFill>
        </w:rPr>
        <w:t>...</w:t>
      </w:r>
    </w:p>
    <w:p w14:paraId="248920D8">
      <w:pPr>
        <w:pStyle w:val="2"/>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四、</w:t>
      </w:r>
      <w:r>
        <w:rPr>
          <w:rFonts w:ascii="宋体" w:hAnsi="宋体"/>
          <w:bCs/>
          <w:color w:val="000000" w:themeColor="text1"/>
          <w:szCs w:val="21"/>
          <w:highlight w:val="none"/>
          <w14:textFill>
            <w14:solidFill>
              <w14:schemeClr w14:val="tx1"/>
            </w14:solidFill>
          </w14:textFill>
        </w:rPr>
        <w:t>...</w:t>
      </w:r>
    </w:p>
    <w:p w14:paraId="2B10C5B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3C905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B6C1E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2B8DF123">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0FE3A1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年月日</w:t>
      </w:r>
    </w:p>
    <w:p w14:paraId="08EFF46C">
      <w:pPr>
        <w:pStyle w:val="2"/>
        <w:spacing w:line="360" w:lineRule="auto"/>
        <w:rPr>
          <w:rFonts w:ascii="宋体" w:hAnsi="宋体"/>
          <w:color w:val="000000" w:themeColor="text1"/>
          <w:szCs w:val="21"/>
          <w:highlight w:val="none"/>
          <w14:textFill>
            <w14:solidFill>
              <w14:schemeClr w14:val="tx1"/>
            </w14:solidFill>
          </w14:textFill>
        </w:rPr>
      </w:pPr>
    </w:p>
    <w:p w14:paraId="70AA92BA">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43BCB3B6">
      <w:pPr>
        <w:pStyle w:val="2"/>
        <w:spacing w:line="360" w:lineRule="auto"/>
        <w:rPr>
          <w:rFonts w:ascii="宋体" w:hAnsi="宋体"/>
          <w:color w:val="000000" w:themeColor="text1"/>
          <w:highlight w:val="none"/>
          <w14:textFill>
            <w14:solidFill>
              <w14:schemeClr w14:val="tx1"/>
            </w14:solidFill>
          </w14:textFill>
        </w:rPr>
      </w:pPr>
    </w:p>
    <w:p w14:paraId="0E15577B">
      <w:pPr>
        <w:pStyle w:val="2"/>
        <w:spacing w:line="360" w:lineRule="auto"/>
        <w:rPr>
          <w:rFonts w:ascii="宋体" w:hAnsi="宋体"/>
          <w:color w:val="000000" w:themeColor="text1"/>
          <w:highlight w:val="none"/>
          <w14:textFill>
            <w14:solidFill>
              <w14:schemeClr w14:val="tx1"/>
            </w14:solidFill>
          </w14:textFill>
        </w:rPr>
      </w:pPr>
    </w:p>
    <w:p w14:paraId="1AE2BE37">
      <w:pPr>
        <w:pStyle w:val="2"/>
        <w:spacing w:line="360" w:lineRule="auto"/>
        <w:rPr>
          <w:rFonts w:ascii="宋体" w:hAnsi="宋体"/>
          <w:color w:val="000000" w:themeColor="text1"/>
          <w:highlight w:val="none"/>
          <w14:textFill>
            <w14:solidFill>
              <w14:schemeClr w14:val="tx1"/>
            </w14:solidFill>
          </w14:textFill>
        </w:rPr>
      </w:pPr>
    </w:p>
    <w:p w14:paraId="107B646F">
      <w:pPr>
        <w:pStyle w:val="2"/>
        <w:spacing w:line="360" w:lineRule="auto"/>
        <w:rPr>
          <w:rFonts w:ascii="宋体" w:hAnsi="宋体"/>
          <w:color w:val="000000" w:themeColor="text1"/>
          <w:highlight w:val="none"/>
          <w14:textFill>
            <w14:solidFill>
              <w14:schemeClr w14:val="tx1"/>
            </w14:solidFill>
          </w14:textFill>
        </w:rPr>
      </w:pPr>
    </w:p>
    <w:p w14:paraId="6A1C5518">
      <w:pPr>
        <w:pStyle w:val="2"/>
        <w:spacing w:line="360" w:lineRule="auto"/>
        <w:rPr>
          <w:rFonts w:ascii="宋体" w:hAnsi="宋体"/>
          <w:color w:val="000000" w:themeColor="text1"/>
          <w:highlight w:val="none"/>
          <w14:textFill>
            <w14:solidFill>
              <w14:schemeClr w14:val="tx1"/>
            </w14:solidFill>
          </w14:textFill>
        </w:rPr>
      </w:pPr>
    </w:p>
    <w:p w14:paraId="121D9DF9">
      <w:pPr>
        <w:pStyle w:val="2"/>
        <w:spacing w:line="360" w:lineRule="auto"/>
        <w:rPr>
          <w:rFonts w:ascii="宋体" w:hAnsi="宋体"/>
          <w:color w:val="000000" w:themeColor="text1"/>
          <w:highlight w:val="none"/>
          <w14:textFill>
            <w14:solidFill>
              <w14:schemeClr w14:val="tx1"/>
            </w14:solidFill>
          </w14:textFill>
        </w:rPr>
      </w:pPr>
    </w:p>
    <w:p w14:paraId="4F4B55FD">
      <w:pPr>
        <w:pStyle w:val="2"/>
        <w:spacing w:line="360" w:lineRule="auto"/>
        <w:rPr>
          <w:rFonts w:ascii="宋体" w:hAnsi="宋体"/>
          <w:color w:val="000000" w:themeColor="text1"/>
          <w:highlight w:val="none"/>
          <w14:textFill>
            <w14:solidFill>
              <w14:schemeClr w14:val="tx1"/>
            </w14:solidFill>
          </w14:textFill>
        </w:rPr>
      </w:pPr>
    </w:p>
    <w:p w14:paraId="77B02982">
      <w:pPr>
        <w:pStyle w:val="2"/>
        <w:spacing w:line="360" w:lineRule="auto"/>
        <w:rPr>
          <w:rFonts w:ascii="宋体" w:hAnsi="宋体"/>
          <w:color w:val="000000" w:themeColor="text1"/>
          <w:highlight w:val="none"/>
          <w14:textFill>
            <w14:solidFill>
              <w14:schemeClr w14:val="tx1"/>
            </w14:solidFill>
          </w14:textFill>
        </w:rPr>
      </w:pPr>
    </w:p>
    <w:p w14:paraId="6C672A52">
      <w:pPr>
        <w:pStyle w:val="2"/>
        <w:spacing w:line="360" w:lineRule="auto"/>
        <w:rPr>
          <w:rFonts w:ascii="宋体" w:hAnsi="宋体"/>
          <w:color w:val="000000" w:themeColor="text1"/>
          <w:highlight w:val="none"/>
          <w14:textFill>
            <w14:solidFill>
              <w14:schemeClr w14:val="tx1"/>
            </w14:solidFill>
          </w14:textFill>
        </w:rPr>
      </w:pPr>
    </w:p>
    <w:p w14:paraId="3E212326">
      <w:pPr>
        <w:pStyle w:val="2"/>
        <w:spacing w:line="360" w:lineRule="auto"/>
        <w:rPr>
          <w:rFonts w:ascii="宋体" w:hAnsi="宋体"/>
          <w:color w:val="000000" w:themeColor="text1"/>
          <w:highlight w:val="none"/>
          <w14:textFill>
            <w14:solidFill>
              <w14:schemeClr w14:val="tx1"/>
            </w14:solidFill>
          </w14:textFill>
        </w:rPr>
      </w:pPr>
    </w:p>
    <w:p w14:paraId="3D12BDC6">
      <w:pPr>
        <w:pStyle w:val="2"/>
        <w:spacing w:line="360" w:lineRule="auto"/>
        <w:rPr>
          <w:rFonts w:ascii="宋体" w:hAnsi="宋体"/>
          <w:color w:val="000000" w:themeColor="text1"/>
          <w:highlight w:val="none"/>
          <w14:textFill>
            <w14:solidFill>
              <w14:schemeClr w14:val="tx1"/>
            </w14:solidFill>
          </w14:textFill>
        </w:rPr>
      </w:pPr>
    </w:p>
    <w:p w14:paraId="040F105C">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949A72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853848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sectPr>
          <w:headerReference r:id="rId9" w:type="default"/>
          <w:pgSz w:w="11906" w:h="16838"/>
          <w:pgMar w:top="1440" w:right="1800" w:bottom="1440" w:left="1800" w:header="851" w:footer="992" w:gutter="0"/>
          <w:cols w:space="720" w:num="1"/>
          <w:docGrid w:type="lines" w:linePitch="312" w:charSpace="0"/>
        </w:sect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注:供应商的法定代表人(其他组织的为负责人)或者授权代表的签名或盖章应真实、有效，如由投权代表签名或盖章的，应提供“法定代表人授权书”</w:t>
      </w:r>
    </w:p>
    <w:p w14:paraId="066D35B3">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p>
    <w:p w14:paraId="30EC7FA1">
      <w:pPr>
        <w:pStyle w:val="2"/>
        <w:spacing w:line="360" w:lineRule="auto"/>
        <w:rPr>
          <w:rFonts w:ascii="宋体" w:hAnsi="宋体"/>
          <w:color w:val="000000" w:themeColor="text1"/>
          <w:highlight w:val="none"/>
          <w14:textFill>
            <w14:solidFill>
              <w14:schemeClr w14:val="tx1"/>
            </w14:solidFill>
          </w14:textFill>
        </w:rPr>
      </w:pPr>
    </w:p>
    <w:p w14:paraId="32F739A1">
      <w:pPr>
        <w:pStyle w:val="2"/>
        <w:spacing w:line="360" w:lineRule="auto"/>
        <w:rPr>
          <w:rFonts w:ascii="宋体" w:hAnsi="宋体"/>
          <w:color w:val="000000" w:themeColor="text1"/>
          <w:highlight w:val="none"/>
          <w14:textFill>
            <w14:solidFill>
              <w14:schemeClr w14:val="tx1"/>
            </w14:solidFill>
          </w14:textFill>
        </w:rPr>
      </w:pPr>
    </w:p>
    <w:p w14:paraId="6F5FF93D">
      <w:pPr>
        <w:pStyle w:val="2"/>
        <w:spacing w:line="360" w:lineRule="auto"/>
        <w:rPr>
          <w:rFonts w:ascii="宋体" w:hAnsi="宋体"/>
          <w:color w:val="000000" w:themeColor="text1"/>
          <w:highlight w:val="none"/>
          <w14:textFill>
            <w14:solidFill>
              <w14:schemeClr w14:val="tx1"/>
            </w14:solidFill>
          </w14:textFill>
        </w:rPr>
      </w:pPr>
    </w:p>
    <w:p w14:paraId="021CC968">
      <w:pPr>
        <w:pStyle w:val="2"/>
        <w:spacing w:line="360" w:lineRule="auto"/>
        <w:rPr>
          <w:rFonts w:ascii="宋体" w:hAnsi="宋体"/>
          <w:color w:val="000000" w:themeColor="text1"/>
          <w:highlight w:val="none"/>
          <w14:textFill>
            <w14:solidFill>
              <w14:schemeClr w14:val="tx1"/>
            </w14:solidFill>
          </w14:textFill>
        </w:rPr>
      </w:pPr>
    </w:p>
    <w:p w14:paraId="41BDC501">
      <w:pPr>
        <w:pStyle w:val="2"/>
        <w:spacing w:line="360" w:lineRule="auto"/>
        <w:rPr>
          <w:rFonts w:ascii="宋体" w:hAnsi="宋体"/>
          <w:color w:val="000000" w:themeColor="text1"/>
          <w:highlight w:val="none"/>
          <w14:textFill>
            <w14:solidFill>
              <w14:schemeClr w14:val="tx1"/>
            </w14:solidFill>
          </w14:textFill>
        </w:rPr>
      </w:pPr>
    </w:p>
    <w:p w14:paraId="7BBFCE01">
      <w:pPr>
        <w:pStyle w:val="2"/>
        <w:spacing w:line="360" w:lineRule="auto"/>
        <w:rPr>
          <w:rFonts w:ascii="宋体" w:hAnsi="宋体"/>
          <w:color w:val="000000" w:themeColor="text1"/>
          <w:highlight w:val="none"/>
          <w14:textFill>
            <w14:solidFill>
              <w14:schemeClr w14:val="tx1"/>
            </w14:solidFill>
          </w14:textFill>
        </w:rPr>
      </w:pPr>
    </w:p>
    <w:p w14:paraId="0ADC9042">
      <w:pPr>
        <w:pStyle w:val="2"/>
        <w:spacing w:line="360" w:lineRule="auto"/>
        <w:rPr>
          <w:rFonts w:ascii="宋体" w:hAnsi="宋体"/>
          <w:color w:val="000000" w:themeColor="text1"/>
          <w:highlight w:val="none"/>
          <w14:textFill>
            <w14:solidFill>
              <w14:schemeClr w14:val="tx1"/>
            </w14:solidFill>
          </w14:textFill>
        </w:rPr>
      </w:pPr>
    </w:p>
    <w:p w14:paraId="0112E480">
      <w:pPr>
        <w:pStyle w:val="2"/>
        <w:spacing w:line="360" w:lineRule="auto"/>
        <w:rPr>
          <w:rFonts w:ascii="宋体" w:hAnsi="宋体"/>
          <w:color w:val="000000" w:themeColor="text1"/>
          <w:highlight w:val="none"/>
          <w14:textFill>
            <w14:solidFill>
              <w14:schemeClr w14:val="tx1"/>
            </w14:solidFill>
          </w14:textFill>
        </w:rPr>
      </w:pPr>
    </w:p>
    <w:p w14:paraId="7BC93905">
      <w:pPr>
        <w:pStyle w:val="2"/>
        <w:spacing w:line="360" w:lineRule="auto"/>
        <w:rPr>
          <w:rFonts w:ascii="宋体" w:hAnsi="宋体"/>
          <w:color w:val="000000" w:themeColor="text1"/>
          <w:highlight w:val="none"/>
          <w14:textFill>
            <w14:solidFill>
              <w14:schemeClr w14:val="tx1"/>
            </w14:solidFill>
          </w14:textFill>
        </w:rPr>
      </w:pPr>
    </w:p>
    <w:p w14:paraId="768E90A5">
      <w:pPr>
        <w:pStyle w:val="2"/>
        <w:spacing w:line="360" w:lineRule="auto"/>
        <w:rPr>
          <w:rFonts w:ascii="宋体" w:hAnsi="宋体"/>
          <w:color w:val="000000" w:themeColor="text1"/>
          <w:highlight w:val="none"/>
          <w14:textFill>
            <w14:solidFill>
              <w14:schemeClr w14:val="tx1"/>
            </w14:solidFill>
          </w14:textFill>
        </w:rPr>
      </w:pPr>
    </w:p>
    <w:p w14:paraId="0C854347">
      <w:pPr>
        <w:pStyle w:val="2"/>
        <w:spacing w:line="360" w:lineRule="auto"/>
        <w:rPr>
          <w:rFonts w:ascii="宋体" w:hAnsi="宋体"/>
          <w:color w:val="000000" w:themeColor="text1"/>
          <w:highlight w:val="none"/>
          <w14:textFill>
            <w14:solidFill>
              <w14:schemeClr w14:val="tx1"/>
            </w14:solidFill>
          </w14:textFill>
        </w:rPr>
      </w:pPr>
    </w:p>
    <w:p w14:paraId="034DBE2A">
      <w:pPr>
        <w:pStyle w:val="4"/>
        <w:numPr>
          <w:ilvl w:val="1"/>
          <w:numId w:val="0"/>
        </w:numPr>
        <w:spacing w:line="360" w:lineRule="auto"/>
        <w:jc w:val="center"/>
        <w:rPr>
          <w:rFonts w:ascii="宋体" w:hAnsi="宋体" w:eastAsia="宋体"/>
          <w:color w:val="000000" w:themeColor="text1"/>
          <w:sz w:val="52"/>
          <w:highlight w:val="none"/>
          <w14:textFill>
            <w14:solidFill>
              <w14:schemeClr w14:val="tx1"/>
            </w14:solidFill>
          </w14:textFill>
        </w:rPr>
      </w:pPr>
      <w:bookmarkStart w:id="260" w:name="_Toc18922"/>
      <w:bookmarkStart w:id="261" w:name="_Toc434832511"/>
      <w:r>
        <w:rPr>
          <w:rFonts w:hint="eastAsia" w:ascii="宋体" w:hAnsi="宋体" w:eastAsia="宋体"/>
          <w:color w:val="000000" w:themeColor="text1"/>
          <w:sz w:val="52"/>
          <w:highlight w:val="none"/>
          <w14:textFill>
            <w14:solidFill>
              <w14:schemeClr w14:val="tx1"/>
            </w14:solidFill>
          </w14:textFill>
        </w:rPr>
        <w:t>其 他 格 式</w:t>
      </w:r>
      <w:bookmarkEnd w:id="260"/>
      <w:bookmarkEnd w:id="261"/>
    </w:p>
    <w:p w14:paraId="11015B16">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（以下文件勿装订在谈判文件内</w:t>
      </w:r>
      <w:r>
        <w:rPr>
          <w:rFonts w:ascii="宋体" w:hAnsi="宋体"/>
          <w:b/>
          <w:color w:val="000000" w:themeColor="text1"/>
          <w:sz w:val="36"/>
          <w:highlight w:val="none"/>
          <w14:textFill>
            <w14:solidFill>
              <w14:schemeClr w14:val="tx1"/>
            </w14:solidFill>
          </w14:textFill>
        </w:rPr>
        <w:t>）</w:t>
      </w:r>
    </w:p>
    <w:p w14:paraId="42BA1220">
      <w:pPr>
        <w:spacing w:line="360" w:lineRule="auto"/>
        <w:rPr>
          <w:rFonts w:ascii="宋体" w:hAnsi="宋体"/>
          <w:color w:val="000000" w:themeColor="text1"/>
          <w:highlight w:val="none"/>
          <w14:textFill>
            <w14:solidFill>
              <w14:schemeClr w14:val="tx1"/>
            </w14:solidFill>
          </w14:textFill>
        </w:rPr>
      </w:pPr>
    </w:p>
    <w:p w14:paraId="41F23350">
      <w:pPr>
        <w:spacing w:line="360" w:lineRule="auto"/>
        <w:rPr>
          <w:rFonts w:ascii="宋体" w:hAnsi="宋体"/>
          <w:color w:val="000000" w:themeColor="text1"/>
          <w:highlight w:val="none"/>
          <w14:textFill>
            <w14:solidFill>
              <w14:schemeClr w14:val="tx1"/>
            </w14:solidFill>
          </w14:textFill>
        </w:rPr>
      </w:pPr>
    </w:p>
    <w:p w14:paraId="2C652088">
      <w:pPr>
        <w:spacing w:line="360" w:lineRule="auto"/>
        <w:rPr>
          <w:rFonts w:ascii="宋体" w:hAnsi="宋体"/>
          <w:color w:val="000000" w:themeColor="text1"/>
          <w:highlight w:val="none"/>
          <w14:textFill>
            <w14:solidFill>
              <w14:schemeClr w14:val="tx1"/>
            </w14:solidFill>
          </w14:textFill>
        </w:rPr>
      </w:pPr>
    </w:p>
    <w:p w14:paraId="4320DF70">
      <w:pPr>
        <w:spacing w:line="360" w:lineRule="auto"/>
        <w:rPr>
          <w:rFonts w:ascii="宋体" w:hAnsi="宋体"/>
          <w:color w:val="000000" w:themeColor="text1"/>
          <w:highlight w:val="none"/>
          <w14:textFill>
            <w14:solidFill>
              <w14:schemeClr w14:val="tx1"/>
            </w14:solidFill>
          </w14:textFill>
        </w:rPr>
      </w:pPr>
    </w:p>
    <w:p w14:paraId="16522606">
      <w:pPr>
        <w:spacing w:line="360" w:lineRule="auto"/>
        <w:rPr>
          <w:rFonts w:ascii="宋体" w:hAnsi="宋体"/>
          <w:color w:val="000000" w:themeColor="text1"/>
          <w:highlight w:val="none"/>
          <w14:textFill>
            <w14:solidFill>
              <w14:schemeClr w14:val="tx1"/>
            </w14:solidFill>
          </w14:textFill>
        </w:rPr>
      </w:pPr>
    </w:p>
    <w:p w14:paraId="4D6EB146">
      <w:pPr>
        <w:spacing w:line="360" w:lineRule="auto"/>
        <w:rPr>
          <w:rFonts w:ascii="宋体" w:hAnsi="宋体"/>
          <w:color w:val="000000" w:themeColor="text1"/>
          <w:highlight w:val="none"/>
          <w14:textFill>
            <w14:solidFill>
              <w14:schemeClr w14:val="tx1"/>
            </w14:solidFill>
          </w14:textFill>
        </w:rPr>
      </w:pPr>
    </w:p>
    <w:p w14:paraId="67A93A77">
      <w:pPr>
        <w:spacing w:line="360" w:lineRule="auto"/>
        <w:rPr>
          <w:rFonts w:ascii="宋体" w:hAnsi="宋体"/>
          <w:color w:val="000000" w:themeColor="text1"/>
          <w:highlight w:val="none"/>
          <w14:textFill>
            <w14:solidFill>
              <w14:schemeClr w14:val="tx1"/>
            </w14:solidFill>
          </w14:textFill>
        </w:rPr>
      </w:pPr>
    </w:p>
    <w:p w14:paraId="3C327123">
      <w:pPr>
        <w:spacing w:line="360" w:lineRule="auto"/>
        <w:rPr>
          <w:rFonts w:ascii="宋体" w:hAnsi="宋体"/>
          <w:color w:val="000000" w:themeColor="text1"/>
          <w:highlight w:val="none"/>
          <w14:textFill>
            <w14:solidFill>
              <w14:schemeClr w14:val="tx1"/>
            </w14:solidFill>
          </w14:textFill>
        </w:rPr>
      </w:pPr>
    </w:p>
    <w:p w14:paraId="07FCAA26">
      <w:pPr>
        <w:spacing w:line="360" w:lineRule="auto"/>
        <w:rPr>
          <w:rFonts w:ascii="宋体" w:hAnsi="宋体"/>
          <w:color w:val="000000" w:themeColor="text1"/>
          <w:highlight w:val="none"/>
          <w14:textFill>
            <w14:solidFill>
              <w14:schemeClr w14:val="tx1"/>
            </w14:solidFill>
          </w14:textFill>
        </w:rPr>
      </w:pPr>
    </w:p>
    <w:p w14:paraId="10142658">
      <w:pPr>
        <w:spacing w:line="360" w:lineRule="auto"/>
        <w:rPr>
          <w:rFonts w:ascii="宋体" w:hAnsi="宋体"/>
          <w:color w:val="000000" w:themeColor="text1"/>
          <w:highlight w:val="none"/>
          <w14:textFill>
            <w14:solidFill>
              <w14:schemeClr w14:val="tx1"/>
            </w14:solidFill>
          </w14:textFill>
        </w:rPr>
      </w:pPr>
    </w:p>
    <w:p w14:paraId="027C8E46">
      <w:pPr>
        <w:spacing w:line="360" w:lineRule="auto"/>
        <w:rPr>
          <w:rFonts w:ascii="宋体" w:hAnsi="宋体"/>
          <w:color w:val="000000" w:themeColor="text1"/>
          <w:highlight w:val="none"/>
          <w14:textFill>
            <w14:solidFill>
              <w14:schemeClr w14:val="tx1"/>
            </w14:solidFill>
          </w14:textFill>
        </w:rPr>
      </w:pPr>
    </w:p>
    <w:p w14:paraId="0CA080C0">
      <w:pPr>
        <w:spacing w:line="360" w:lineRule="auto"/>
        <w:rPr>
          <w:rFonts w:ascii="宋体" w:hAnsi="宋体"/>
          <w:color w:val="000000" w:themeColor="text1"/>
          <w:highlight w:val="none"/>
          <w14:textFill>
            <w14:solidFill>
              <w14:schemeClr w14:val="tx1"/>
            </w14:solidFill>
          </w14:textFill>
        </w:rPr>
      </w:pPr>
    </w:p>
    <w:p w14:paraId="774885A7">
      <w:pPr>
        <w:spacing w:line="360" w:lineRule="auto"/>
        <w:rPr>
          <w:rFonts w:ascii="宋体" w:hAnsi="宋体"/>
          <w:color w:val="000000" w:themeColor="text1"/>
          <w:highlight w:val="none"/>
          <w14:textFill>
            <w14:solidFill>
              <w14:schemeClr w14:val="tx1"/>
            </w14:solidFill>
          </w14:textFill>
        </w:rPr>
      </w:pPr>
    </w:p>
    <w:p w14:paraId="2A4D9CE7">
      <w:pPr>
        <w:spacing w:line="360" w:lineRule="auto"/>
        <w:rPr>
          <w:rFonts w:ascii="宋体" w:hAnsi="宋体"/>
          <w:color w:val="000000" w:themeColor="text1"/>
          <w:highlight w:val="none"/>
          <w14:textFill>
            <w14:solidFill>
              <w14:schemeClr w14:val="tx1"/>
            </w14:solidFill>
          </w14:textFill>
        </w:rPr>
      </w:pPr>
    </w:p>
    <w:p w14:paraId="0FD6A0C9">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2F888354">
      <w:pPr>
        <w:jc w:val="center"/>
        <w:rPr>
          <w:rFonts w:hint="eastAsia"/>
          <w:color w:val="000000" w:themeColor="text1"/>
          <w:szCs w:val="21"/>
          <w:highlight w:val="none"/>
          <w14:textFill>
            <w14:solidFill>
              <w14:schemeClr w14:val="tx1"/>
            </w14:solidFill>
          </w14:textFill>
        </w:rPr>
      </w:pPr>
    </w:p>
    <w:tbl>
      <w:tblPr>
        <w:tblStyle w:val="43"/>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6352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7B4C56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val="0"/>
            <w:vAlign w:val="top"/>
          </w:tcPr>
          <w:p w14:paraId="75DC9A2E">
            <w:pPr>
              <w:rPr>
                <w:rFonts w:hint="eastAsia"/>
                <w:color w:val="000000" w:themeColor="text1"/>
                <w:sz w:val="28"/>
                <w:szCs w:val="28"/>
                <w:highlight w:val="none"/>
                <w14:textFill>
                  <w14:solidFill>
                    <w14:schemeClr w14:val="tx1"/>
                  </w14:solidFill>
                </w14:textFill>
              </w:rPr>
            </w:pPr>
          </w:p>
        </w:tc>
      </w:tr>
      <w:tr w14:paraId="6198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32D4438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noWrap w:val="0"/>
            <w:vAlign w:val="top"/>
          </w:tcPr>
          <w:p w14:paraId="01304C85">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C1FB2F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val="0"/>
            <w:vAlign w:val="top"/>
          </w:tcPr>
          <w:p w14:paraId="674E482A">
            <w:pPr>
              <w:rPr>
                <w:rFonts w:hint="eastAsia"/>
                <w:color w:val="000000" w:themeColor="text1"/>
                <w:sz w:val="28"/>
                <w:szCs w:val="28"/>
                <w:highlight w:val="none"/>
                <w14:textFill>
                  <w14:solidFill>
                    <w14:schemeClr w14:val="tx1"/>
                  </w14:solidFill>
                </w14:textFill>
              </w:rPr>
            </w:pPr>
          </w:p>
        </w:tc>
      </w:tr>
      <w:tr w14:paraId="6B58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EE338D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noWrap w:val="0"/>
            <w:vAlign w:val="top"/>
          </w:tcPr>
          <w:p w14:paraId="75628B16">
            <w:pPr>
              <w:rPr>
                <w:rFonts w:hint="eastAsia"/>
                <w:color w:val="000000" w:themeColor="text1"/>
                <w:sz w:val="28"/>
                <w:szCs w:val="28"/>
                <w:highlight w:val="none"/>
                <w14:textFill>
                  <w14:solidFill>
                    <w14:schemeClr w14:val="tx1"/>
                  </w14:solidFill>
                </w14:textFill>
              </w:rPr>
            </w:pPr>
          </w:p>
        </w:tc>
      </w:tr>
      <w:tr w14:paraId="4E4E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18B1F02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val="0"/>
            <w:vAlign w:val="top"/>
          </w:tcPr>
          <w:p w14:paraId="7C620DD0">
            <w:pPr>
              <w:rPr>
                <w:rFonts w:hint="eastAsia"/>
                <w:color w:val="000000" w:themeColor="text1"/>
                <w:sz w:val="28"/>
                <w:szCs w:val="28"/>
                <w:highlight w:val="none"/>
                <w14:textFill>
                  <w14:solidFill>
                    <w14:schemeClr w14:val="tx1"/>
                  </w14:solidFill>
                </w14:textFill>
              </w:rPr>
            </w:pPr>
          </w:p>
        </w:tc>
      </w:tr>
      <w:tr w14:paraId="3A90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7EFDA0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val="0"/>
            <w:vAlign w:val="top"/>
          </w:tcPr>
          <w:p w14:paraId="05993246">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2D0AC149">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val="0"/>
            <w:vAlign w:val="top"/>
          </w:tcPr>
          <w:p w14:paraId="1BD78729">
            <w:pPr>
              <w:rPr>
                <w:rFonts w:hint="eastAsia"/>
                <w:color w:val="000000" w:themeColor="text1"/>
                <w:sz w:val="28"/>
                <w:szCs w:val="28"/>
                <w:highlight w:val="none"/>
                <w14:textFill>
                  <w14:solidFill>
                    <w14:schemeClr w14:val="tx1"/>
                  </w14:solidFill>
                </w14:textFill>
              </w:rPr>
            </w:pPr>
          </w:p>
        </w:tc>
      </w:tr>
      <w:tr w14:paraId="3A37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90CC38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val="0"/>
            <w:vAlign w:val="top"/>
          </w:tcPr>
          <w:p w14:paraId="4301A2DD">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06771F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val="0"/>
            <w:vAlign w:val="top"/>
          </w:tcPr>
          <w:p w14:paraId="29CE41AB">
            <w:pPr>
              <w:rPr>
                <w:rFonts w:hint="eastAsia"/>
                <w:color w:val="000000" w:themeColor="text1"/>
                <w:sz w:val="28"/>
                <w:szCs w:val="28"/>
                <w:highlight w:val="none"/>
                <w14:textFill>
                  <w14:solidFill>
                    <w14:schemeClr w14:val="tx1"/>
                  </w14:solidFill>
                </w14:textFill>
              </w:rPr>
            </w:pPr>
          </w:p>
        </w:tc>
      </w:tr>
      <w:tr w14:paraId="081A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6B973D2">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val="0"/>
            <w:vAlign w:val="top"/>
          </w:tcPr>
          <w:p w14:paraId="473B550A">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71696F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val="0"/>
            <w:vAlign w:val="top"/>
          </w:tcPr>
          <w:p w14:paraId="51ACE78B">
            <w:pPr>
              <w:rPr>
                <w:rFonts w:hint="eastAsia"/>
                <w:color w:val="000000" w:themeColor="text1"/>
                <w:sz w:val="28"/>
                <w:szCs w:val="28"/>
                <w:highlight w:val="none"/>
                <w14:textFill>
                  <w14:solidFill>
                    <w14:schemeClr w14:val="tx1"/>
                  </w14:solidFill>
                </w14:textFill>
              </w:rPr>
            </w:pPr>
          </w:p>
        </w:tc>
      </w:tr>
      <w:tr w14:paraId="54EE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D50B27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noWrap w:val="0"/>
            <w:vAlign w:val="top"/>
          </w:tcPr>
          <w:p w14:paraId="71946B8F">
            <w:pPr>
              <w:rPr>
                <w:rFonts w:hint="eastAsia"/>
                <w:color w:val="000000" w:themeColor="text1"/>
                <w:sz w:val="28"/>
                <w:szCs w:val="28"/>
                <w:highlight w:val="none"/>
                <w14:textFill>
                  <w14:solidFill>
                    <w14:schemeClr w14:val="tx1"/>
                  </w14:solidFill>
                </w14:textFill>
              </w:rPr>
            </w:pPr>
          </w:p>
        </w:tc>
      </w:tr>
      <w:tr w14:paraId="21A2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029C60D4">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noWrap w:val="0"/>
            <w:vAlign w:val="top"/>
          </w:tcPr>
          <w:p w14:paraId="5E0D593F">
            <w:pPr>
              <w:rPr>
                <w:rFonts w:hint="eastAsia"/>
                <w:color w:val="000000" w:themeColor="text1"/>
                <w:sz w:val="28"/>
                <w:szCs w:val="28"/>
                <w:highlight w:val="none"/>
                <w14:textFill>
                  <w14:solidFill>
                    <w14:schemeClr w14:val="tx1"/>
                  </w14:solidFill>
                </w14:textFill>
              </w:rPr>
            </w:pPr>
          </w:p>
        </w:tc>
      </w:tr>
      <w:tr w14:paraId="1210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0683C31">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val="0"/>
            <w:vAlign w:val="top"/>
          </w:tcPr>
          <w:p w14:paraId="71619D19">
            <w:pPr>
              <w:rPr>
                <w:rFonts w:hint="eastAsia"/>
                <w:color w:val="000000" w:themeColor="text1"/>
                <w:sz w:val="28"/>
                <w:szCs w:val="28"/>
                <w:highlight w:val="none"/>
                <w14:textFill>
                  <w14:solidFill>
                    <w14:schemeClr w14:val="tx1"/>
                  </w14:solidFill>
                </w14:textFill>
              </w:rPr>
            </w:pPr>
          </w:p>
        </w:tc>
      </w:tr>
    </w:tbl>
    <w:p w14:paraId="477B7667">
      <w:pPr>
        <w:spacing w:line="360" w:lineRule="auto"/>
        <w:jc w:val="center"/>
        <w:rPr>
          <w:rFonts w:hint="eastAsia" w:ascii="宋体" w:hAnsi="宋体"/>
          <w:b/>
          <w:color w:val="000000" w:themeColor="text1"/>
          <w:sz w:val="24"/>
          <w:highlight w:val="none"/>
          <w14:textFill>
            <w14:solidFill>
              <w14:schemeClr w14:val="tx1"/>
            </w14:solidFill>
          </w14:textFill>
        </w:rPr>
      </w:pPr>
    </w:p>
    <w:p w14:paraId="661A1EB4">
      <w:pPr>
        <w:pStyle w:val="2"/>
        <w:rPr>
          <w:rFonts w:hint="eastAsia" w:ascii="宋体" w:hAnsi="宋体"/>
          <w:b/>
          <w:color w:val="000000" w:themeColor="text1"/>
          <w:sz w:val="24"/>
          <w:highlight w:val="none"/>
          <w14:textFill>
            <w14:solidFill>
              <w14:schemeClr w14:val="tx1"/>
            </w14:solidFill>
          </w14:textFill>
        </w:rPr>
      </w:pPr>
    </w:p>
    <w:p w14:paraId="077C0C5C">
      <w:pPr>
        <w:pStyle w:val="2"/>
        <w:rPr>
          <w:rFonts w:hint="eastAsia" w:ascii="宋体" w:hAnsi="宋体"/>
          <w:b/>
          <w:color w:val="000000" w:themeColor="text1"/>
          <w:sz w:val="24"/>
          <w:highlight w:val="none"/>
          <w14:textFill>
            <w14:solidFill>
              <w14:schemeClr w14:val="tx1"/>
            </w14:solidFill>
          </w14:textFill>
        </w:rPr>
      </w:pPr>
    </w:p>
    <w:p w14:paraId="434D266D">
      <w:pPr>
        <w:pStyle w:val="2"/>
        <w:rPr>
          <w:rFonts w:hint="eastAsia" w:ascii="宋体" w:hAnsi="宋体"/>
          <w:b/>
          <w:color w:val="000000" w:themeColor="text1"/>
          <w:sz w:val="24"/>
          <w:highlight w:val="none"/>
          <w14:textFill>
            <w14:solidFill>
              <w14:schemeClr w14:val="tx1"/>
            </w14:solidFill>
          </w14:textFill>
        </w:rPr>
      </w:pPr>
    </w:p>
    <w:p w14:paraId="165E8558">
      <w:pPr>
        <w:pStyle w:val="2"/>
        <w:rPr>
          <w:rFonts w:hint="eastAsia" w:ascii="宋体" w:hAnsi="宋体"/>
          <w:b/>
          <w:color w:val="000000" w:themeColor="text1"/>
          <w:sz w:val="24"/>
          <w:highlight w:val="none"/>
          <w14:textFill>
            <w14:solidFill>
              <w14:schemeClr w14:val="tx1"/>
            </w14:solidFill>
          </w14:textFill>
        </w:rPr>
      </w:pPr>
    </w:p>
    <w:p w14:paraId="649E0FA6">
      <w:pPr>
        <w:pStyle w:val="2"/>
        <w:rPr>
          <w:rFonts w:hint="eastAsia" w:ascii="宋体" w:hAnsi="宋体"/>
          <w:b/>
          <w:color w:val="000000" w:themeColor="text1"/>
          <w:sz w:val="24"/>
          <w:highlight w:val="none"/>
          <w14:textFill>
            <w14:solidFill>
              <w14:schemeClr w14:val="tx1"/>
            </w14:solidFill>
          </w14:textFill>
        </w:rPr>
      </w:pPr>
    </w:p>
    <w:p w14:paraId="5F78052E">
      <w:pPr>
        <w:pStyle w:val="2"/>
        <w:rPr>
          <w:rFonts w:hint="eastAsia" w:ascii="宋体" w:hAnsi="宋体"/>
          <w:b/>
          <w:color w:val="000000" w:themeColor="text1"/>
          <w:sz w:val="24"/>
          <w:highlight w:val="none"/>
          <w14:textFill>
            <w14:solidFill>
              <w14:schemeClr w14:val="tx1"/>
            </w14:solidFill>
          </w14:textFill>
        </w:rPr>
      </w:pPr>
    </w:p>
    <w:p w14:paraId="0F0A8851">
      <w:pPr>
        <w:pStyle w:val="2"/>
        <w:rPr>
          <w:rFonts w:hint="eastAsia" w:ascii="宋体" w:hAnsi="宋体"/>
          <w:b/>
          <w:color w:val="000000" w:themeColor="text1"/>
          <w:sz w:val="24"/>
          <w:highlight w:val="none"/>
          <w14:textFill>
            <w14:solidFill>
              <w14:schemeClr w14:val="tx1"/>
            </w14:solidFill>
          </w14:textFill>
        </w:rPr>
      </w:pPr>
    </w:p>
    <w:p w14:paraId="4B1FCE91">
      <w:pPr>
        <w:pStyle w:val="2"/>
        <w:ind w:left="0" w:leftChars="0" w:firstLine="0" w:firstLineChars="0"/>
        <w:rPr>
          <w:rFonts w:hint="eastAsia" w:ascii="宋体" w:hAnsi="宋体"/>
          <w:b/>
          <w:color w:val="000000" w:themeColor="text1"/>
          <w:sz w:val="24"/>
          <w:highlight w:val="none"/>
          <w14:textFill>
            <w14:solidFill>
              <w14:schemeClr w14:val="tx1"/>
            </w14:solidFill>
          </w14:textFill>
        </w:rPr>
      </w:pPr>
    </w:p>
    <w:p w14:paraId="067F88CC">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询问函、质疑函格式</w:t>
      </w:r>
    </w:p>
    <w:p w14:paraId="091B6DE0">
      <w:pPr>
        <w:pStyle w:val="39"/>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1B8E2F4C">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1C2A0324">
      <w:pPr>
        <w:pStyle w:val="39"/>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7F116778">
      <w:pPr>
        <w:pStyle w:val="39"/>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1：询问函格式</w:t>
      </w:r>
    </w:p>
    <w:p w14:paraId="24597A7D">
      <w:pPr>
        <w:pStyle w:val="39"/>
        <w:spacing w:before="0" w:beforeAutospacing="0" w:after="0" w:afterAutospacing="0" w:line="360" w:lineRule="auto"/>
        <w:jc w:val="center"/>
        <w:rPr>
          <w:rStyle w:val="46"/>
          <w:color w:val="000000" w:themeColor="text1"/>
          <w:highlight w:val="none"/>
          <w14:textFill>
            <w14:solidFill>
              <w14:schemeClr w14:val="tx1"/>
            </w14:solidFill>
          </w14:textFill>
        </w:rPr>
      </w:pPr>
      <w:r>
        <w:rPr>
          <w:rStyle w:val="46"/>
          <w:rFonts w:hint="eastAsia"/>
          <w:b w:val="0"/>
          <w:color w:val="000000" w:themeColor="text1"/>
          <w:highlight w:val="none"/>
          <w14:textFill>
            <w14:solidFill>
              <w14:schemeClr w14:val="tx1"/>
            </w14:solidFill>
          </w14:textFill>
        </w:rPr>
        <w:t>询问函</w:t>
      </w:r>
    </w:p>
    <w:p w14:paraId="4CDC6266">
      <w:pPr>
        <w:widowControl/>
        <w:tabs>
          <w:tab w:val="left" w:pos="6300"/>
        </w:tabs>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广东业信采购招标有限公司：</w:t>
      </w:r>
    </w:p>
    <w:p w14:paraId="6E7C53E0">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我单位已报名并准备参与</w:t>
      </w:r>
      <w:r>
        <w:rPr>
          <w:rFonts w:hint="eastAsia" w:ascii="宋体" w:hAnsi="宋体"/>
          <w:color w:val="000000" w:themeColor="text1"/>
          <w:sz w:val="24"/>
          <w:highlight w:val="none"/>
          <w:u w:val="single"/>
          <w14:textFill>
            <w14:solidFill>
              <w14:schemeClr w14:val="tx1"/>
            </w14:solidFill>
          </w14:textFill>
        </w:rPr>
        <w:t>（项目名称）</w:t>
      </w:r>
      <w:r>
        <w:rPr>
          <w:rFonts w:hint="eastAsia" w:ascii="宋体" w:hAnsi="宋体"/>
          <w:color w:val="000000" w:themeColor="text1"/>
          <w:sz w:val="24"/>
          <w:highlight w:val="none"/>
          <w14:textFill>
            <w14:solidFill>
              <w14:schemeClr w14:val="tx1"/>
            </w14:solidFill>
          </w14:textFill>
        </w:rPr>
        <w:t>项目（采购文件编号：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）的投标（或报价）活动，现有以下几个内容（或条款）存在疑问（或无法理解），特提出询问。</w:t>
      </w:r>
    </w:p>
    <w:p w14:paraId="446CFC5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一、_____________________（事项一）</w:t>
      </w:r>
    </w:p>
    <w:p w14:paraId="0D0ADFC3">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（1）____________________（问题或条款内容）</w:t>
      </w:r>
    </w:p>
    <w:p w14:paraId="7C753331">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（2）____________________（说明疑问或无法理解原因）</w:t>
      </w:r>
    </w:p>
    <w:p w14:paraId="34AE8AB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（3）____________________（建议）</w:t>
      </w:r>
    </w:p>
    <w:p w14:paraId="6A4CE944">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二、_____________________（事项二）</w:t>
      </w:r>
    </w:p>
    <w:p w14:paraId="13D71CD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p w14:paraId="799F776B">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随附相关证明材料如下：（目录）。</w:t>
      </w:r>
    </w:p>
    <w:p w14:paraId="7E1D18F2">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询问人：（公章）</w:t>
      </w:r>
    </w:p>
    <w:p w14:paraId="004281B5">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法定代表人（负责人）（授权代表）：</w:t>
      </w:r>
    </w:p>
    <w:p w14:paraId="1F4BBD9E">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地址/邮编：</w:t>
      </w:r>
    </w:p>
    <w:p w14:paraId="5B033E0F">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电话/传真：</w:t>
      </w:r>
    </w:p>
    <w:p w14:paraId="4BC63673">
      <w:pPr>
        <w:spacing w:line="360" w:lineRule="auto"/>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FB75128">
      <w:pPr>
        <w:snapToGrid w:val="0"/>
        <w:spacing w:line="360" w:lineRule="auto"/>
        <w:ind w:firstLine="432" w:firstLineChars="180"/>
        <w:rPr>
          <w:rFonts w:ascii="宋体" w:hAnsi="宋体"/>
          <w:color w:val="000000" w:themeColor="text1"/>
          <w:sz w:val="24"/>
          <w:highlight w:val="none"/>
          <w14:textFill>
            <w14:solidFill>
              <w14:schemeClr w14:val="tx1"/>
            </w14:solidFill>
          </w14:textFill>
        </w:rPr>
      </w:pPr>
    </w:p>
    <w:p w14:paraId="6AE803C2">
      <w:pPr>
        <w:pStyle w:val="39"/>
        <w:adjustRightInd w:val="0"/>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2：质疑函格式</w:t>
      </w:r>
    </w:p>
    <w:p w14:paraId="5A24F1AC">
      <w:pPr>
        <w:pStyle w:val="39"/>
        <w:spacing w:before="0" w:beforeAutospacing="0" w:after="0" w:afterAutospacing="0" w:line="360" w:lineRule="auto"/>
        <w:jc w:val="center"/>
        <w:rPr>
          <w:rStyle w:val="46"/>
          <w:color w:val="000000" w:themeColor="text1"/>
          <w:highlight w:val="none"/>
          <w14:textFill>
            <w14:solidFill>
              <w14:schemeClr w14:val="tx1"/>
            </w14:solidFill>
          </w14:textFill>
        </w:rPr>
      </w:pPr>
      <w:r>
        <w:rPr>
          <w:rStyle w:val="46"/>
          <w:rFonts w:hint="eastAsia"/>
          <w:b w:val="0"/>
          <w:color w:val="000000" w:themeColor="text1"/>
          <w:highlight w:val="none"/>
          <w14:textFill>
            <w14:solidFill>
              <w14:schemeClr w14:val="tx1"/>
            </w14:solidFill>
          </w14:textFill>
        </w:rPr>
        <w:t>质疑函</w:t>
      </w:r>
    </w:p>
    <w:p w14:paraId="3DF623BD">
      <w:pPr>
        <w:adjustRightInd w:val="0"/>
        <w:snapToGrid w:val="0"/>
        <w:spacing w:beforeLines="100"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一、质疑供应商基本信息</w:t>
      </w:r>
    </w:p>
    <w:p w14:paraId="35D4E256">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质疑供应商：</w:t>
      </w:r>
      <w:r>
        <w:rPr>
          <w:rFonts w:hint="eastAsia" w:ascii="宋体" w:hAnsi="宋体" w:cs="仿宋"/>
          <w:color w:val="000000" w:themeColor="text1"/>
          <w:sz w:val="24"/>
          <w:highlight w:val="none"/>
          <w:u w:val="dotted"/>
          <w14:textFill>
            <w14:solidFill>
              <w14:schemeClr w14:val="tx1"/>
            </w14:solidFill>
          </w14:textFill>
        </w:rPr>
        <w:t xml:space="preserve">                                        </w:t>
      </w:r>
    </w:p>
    <w:p w14:paraId="3F963837">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61079B0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联系人：</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p>
    <w:p w14:paraId="1E8DBBF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授权代表：</w:t>
      </w:r>
      <w:r>
        <w:rPr>
          <w:rFonts w:hint="eastAsia" w:ascii="宋体" w:hAnsi="宋体" w:cs="仿宋"/>
          <w:color w:val="000000" w:themeColor="text1"/>
          <w:sz w:val="24"/>
          <w:highlight w:val="none"/>
          <w:u w:val="dotted"/>
          <w14:textFill>
            <w14:solidFill>
              <w14:schemeClr w14:val="tx1"/>
            </w14:solidFill>
          </w14:textFill>
        </w:rPr>
        <w:t xml:space="preserve">                                          </w:t>
      </w:r>
    </w:p>
    <w:p w14:paraId="5CC1848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r>
        <w:rPr>
          <w:rFonts w:ascii="宋体" w:hAnsi="宋体" w:cs="仿宋"/>
          <w:color w:val="000000" w:themeColor="text1"/>
          <w:sz w:val="24"/>
          <w:highlight w:val="none"/>
          <w14:textFill>
            <w14:solidFill>
              <w14:schemeClr w14:val="tx1"/>
            </w14:solidFill>
          </w14:textFill>
        </w:rPr>
        <w:t xml:space="preserve"> </w:t>
      </w:r>
    </w:p>
    <w:p w14:paraId="2CBA05A5">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ascii="宋体" w:hAnsi="宋体" w:cs="仿宋"/>
          <w:color w:val="000000" w:themeColor="text1"/>
          <w:sz w:val="24"/>
          <w:highlight w:val="none"/>
          <w14:textFill>
            <w14:solidFill>
              <w14:schemeClr w14:val="tx1"/>
            </w14:solidFill>
          </w14:textFill>
        </w:rPr>
        <w:t xml:space="preserve"> </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0E18DACD">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二、质疑项目基本情况</w:t>
      </w:r>
    </w:p>
    <w:p w14:paraId="4B6BABA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质疑项目的名称：</w:t>
      </w:r>
      <w:r>
        <w:rPr>
          <w:rFonts w:hint="eastAsia" w:ascii="宋体" w:hAnsi="宋体" w:cs="仿宋"/>
          <w:color w:val="000000" w:themeColor="text1"/>
          <w:sz w:val="24"/>
          <w:highlight w:val="none"/>
          <w:u w:val="dotted"/>
          <w14:textFill>
            <w14:solidFill>
              <w14:schemeClr w14:val="tx1"/>
            </w14:solidFill>
          </w14:textFill>
        </w:rPr>
        <w:t xml:space="preserve">                                      </w:t>
      </w:r>
    </w:p>
    <w:p w14:paraId="270FBF0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质疑项目的编号：</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包号：</w:t>
      </w:r>
      <w:r>
        <w:rPr>
          <w:rFonts w:hint="eastAsia" w:ascii="宋体" w:hAnsi="宋体" w:cs="仿宋"/>
          <w:color w:val="000000" w:themeColor="text1"/>
          <w:sz w:val="24"/>
          <w:highlight w:val="none"/>
          <w:u w:val="dotted"/>
          <w14:textFill>
            <w14:solidFill>
              <w14:schemeClr w14:val="tx1"/>
            </w14:solidFill>
          </w14:textFill>
        </w:rPr>
        <w:t xml:space="preserve">                 </w:t>
      </w:r>
    </w:p>
    <w:p w14:paraId="72209A0B">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采购人名称：</w:t>
      </w:r>
      <w:r>
        <w:rPr>
          <w:rFonts w:hint="eastAsia" w:ascii="宋体" w:hAnsi="宋体" w:cs="仿宋"/>
          <w:color w:val="000000" w:themeColor="text1"/>
          <w:sz w:val="24"/>
          <w:highlight w:val="none"/>
          <w:u w:val="dotted"/>
          <w14:textFill>
            <w14:solidFill>
              <w14:schemeClr w14:val="tx1"/>
            </w14:solidFill>
          </w14:textFill>
        </w:rPr>
        <w:t xml:space="preserve">                                         </w:t>
      </w:r>
    </w:p>
    <w:p w14:paraId="0F621742">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采购文件获取日期：</w:t>
      </w:r>
      <w:r>
        <w:rPr>
          <w:rFonts w:hint="eastAsia" w:ascii="宋体" w:hAnsi="宋体" w:cs="仿宋"/>
          <w:color w:val="000000" w:themeColor="text1"/>
          <w:sz w:val="24"/>
          <w:highlight w:val="none"/>
          <w:u w:val="dotted"/>
          <w14:textFill>
            <w14:solidFill>
              <w14:schemeClr w14:val="tx1"/>
            </w14:solidFill>
          </w14:textFill>
        </w:rPr>
        <w:t xml:space="preserve">                                           </w:t>
      </w:r>
    </w:p>
    <w:p w14:paraId="5BE332DE">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三、质疑事项具体内容</w:t>
      </w:r>
    </w:p>
    <w:p w14:paraId="653006FA">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质疑事项1：</w:t>
      </w:r>
      <w:r>
        <w:rPr>
          <w:rFonts w:hint="eastAsia" w:ascii="宋体" w:hAnsi="宋体" w:cs="仿宋"/>
          <w:color w:val="000000" w:themeColor="text1"/>
          <w:sz w:val="24"/>
          <w:highlight w:val="none"/>
          <w:u w:val="dotted"/>
          <w14:textFill>
            <w14:solidFill>
              <w14:schemeClr w14:val="tx1"/>
            </w14:solidFill>
          </w14:textFill>
        </w:rPr>
        <w:t xml:space="preserve">                                         </w:t>
      </w:r>
    </w:p>
    <w:p w14:paraId="6F10ABF8">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事实依据：</w:t>
      </w:r>
      <w:r>
        <w:rPr>
          <w:rFonts w:hint="eastAsia" w:ascii="宋体" w:hAnsi="宋体" w:cs="仿宋"/>
          <w:color w:val="000000" w:themeColor="text1"/>
          <w:sz w:val="24"/>
          <w:highlight w:val="none"/>
          <w:u w:val="dotted"/>
          <w14:textFill>
            <w14:solidFill>
              <w14:schemeClr w14:val="tx1"/>
            </w14:solidFill>
          </w14:textFill>
        </w:rPr>
        <w:t xml:space="preserve">                                          </w:t>
      </w:r>
    </w:p>
    <w:p w14:paraId="23CAC02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24AB0439">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法律依据：</w:t>
      </w:r>
      <w:r>
        <w:rPr>
          <w:rFonts w:hint="eastAsia" w:ascii="宋体" w:hAnsi="宋体" w:cs="仿宋"/>
          <w:color w:val="000000" w:themeColor="text1"/>
          <w:sz w:val="24"/>
          <w:highlight w:val="none"/>
          <w:u w:val="dotted"/>
          <w14:textFill>
            <w14:solidFill>
              <w14:schemeClr w14:val="tx1"/>
            </w14:solidFill>
          </w14:textFill>
        </w:rPr>
        <w:t xml:space="preserve">                                          </w:t>
      </w:r>
    </w:p>
    <w:p w14:paraId="09B1C6FA">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76CB55DF">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质疑事项2</w:t>
      </w:r>
    </w:p>
    <w:p w14:paraId="67EFE9CD">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w:t>
      </w:r>
    </w:p>
    <w:p w14:paraId="1CF47A0C">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四、与质疑事项相关的质疑请求</w:t>
      </w:r>
    </w:p>
    <w:p w14:paraId="4C3BE885">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请求：</w:t>
      </w:r>
      <w:r>
        <w:rPr>
          <w:rFonts w:hint="eastAsia" w:ascii="宋体" w:hAnsi="宋体" w:cs="仿宋"/>
          <w:color w:val="000000" w:themeColor="text1"/>
          <w:sz w:val="24"/>
          <w:highlight w:val="none"/>
          <w:u w:val="dotted"/>
          <w14:textFill>
            <w14:solidFill>
              <w14:schemeClr w14:val="tx1"/>
            </w14:solidFill>
          </w14:textFill>
        </w:rPr>
        <w:t xml:space="preserve">                                               </w:t>
      </w:r>
    </w:p>
    <w:p w14:paraId="56873FC4">
      <w:pPr>
        <w:rPr>
          <w:rFonts w:ascii="宋体" w:hAnsi="宋体"/>
          <w:color w:val="000000" w:themeColor="text1"/>
          <w:sz w:val="24"/>
          <w:highlight w:val="none"/>
          <w14:textFill>
            <w14:solidFill>
              <w14:schemeClr w14:val="tx1"/>
            </w14:solidFill>
          </w14:textFill>
        </w:rPr>
      </w:pPr>
    </w:p>
    <w:p w14:paraId="702BCFBE">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签字(签章)：                   公章：                      </w:t>
      </w:r>
    </w:p>
    <w:p w14:paraId="5C2F4E9F">
      <w:pPr>
        <w:rPr>
          <w:rFonts w:ascii="宋体" w:hAnsi="宋体"/>
          <w:color w:val="000000" w:themeColor="text1"/>
          <w:sz w:val="24"/>
          <w:highlight w:val="none"/>
          <w14:textFill>
            <w14:solidFill>
              <w14:schemeClr w14:val="tx1"/>
            </w14:solidFill>
          </w14:textFill>
        </w:rPr>
      </w:pPr>
    </w:p>
    <w:p w14:paraId="27E7891C">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日期：    </w:t>
      </w:r>
    </w:p>
    <w:p w14:paraId="715BA32E">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0CD8019B">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1625F911">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质疑函制作说明：</w:t>
      </w:r>
    </w:p>
    <w:p w14:paraId="7F99A65F">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6F3010A4">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064EBCF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465589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B45841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38B63EC7">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201FC555">
      <w:pPr>
        <w:widowControl/>
        <w:snapToGrid w:val="0"/>
        <w:spacing w:line="360" w:lineRule="auto"/>
        <w:ind w:right="960"/>
        <w:rPr>
          <w:rFonts w:ascii="宋体" w:hAnsi="宋体"/>
          <w:color w:val="000000" w:themeColor="text1"/>
          <w:sz w:val="24"/>
          <w:highlight w:val="none"/>
          <w14:textFill>
            <w14:solidFill>
              <w14:schemeClr w14:val="tx1"/>
            </w14:solidFill>
          </w14:textFill>
        </w:rPr>
      </w:pPr>
    </w:p>
    <w:p w14:paraId="42BF82A1">
      <w:pPr>
        <w:spacing w:line="360" w:lineRule="auto"/>
        <w:jc w:val="left"/>
        <w:rPr>
          <w:rFonts w:ascii="仿宋_GB2312" w:hAnsi="仿宋" w:eastAsia="仿宋_GB2312"/>
          <w:color w:val="000000" w:themeColor="text1"/>
          <w:sz w:val="24"/>
          <w:highlight w:val="none"/>
          <w14:textFill>
            <w14:solidFill>
              <w14:schemeClr w14:val="tx1"/>
            </w14:solidFill>
          </w14:textFill>
        </w:rPr>
      </w:pPr>
    </w:p>
    <w:p w14:paraId="064AAA18">
      <w:pPr>
        <w:rPr>
          <w:rFonts w:ascii="宋体" w:hAnsi="宋体"/>
          <w:b/>
          <w:color w:val="000000" w:themeColor="text1"/>
          <w:szCs w:val="21"/>
          <w:highlight w:val="none"/>
          <w14:textFill>
            <w14:solidFill>
              <w14:schemeClr w14:val="tx1"/>
            </w14:solidFill>
          </w14:textFill>
        </w:rPr>
      </w:pPr>
    </w:p>
    <w:p w14:paraId="7895DBA4">
      <w:pPr>
        <w:spacing w:line="360" w:lineRule="auto"/>
        <w:rPr>
          <w:rFonts w:ascii="宋体" w:hAnsi="宋体"/>
          <w:b/>
          <w:color w:val="000000" w:themeColor="text1"/>
          <w:szCs w:val="21"/>
          <w:highlight w:val="none"/>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长城仿宋">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6592B">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45</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70B94">
    <w:pPr>
      <w:pStyle w:val="28"/>
      <w:framePr w:wrap="around" w:vAnchor="text" w:hAnchor="margin" w:xAlign="center" w:y="1"/>
      <w:rPr>
        <w:rStyle w:val="47"/>
      </w:rPr>
    </w:pPr>
    <w:r>
      <w:fldChar w:fldCharType="begin"/>
    </w:r>
    <w:r>
      <w:rPr>
        <w:rStyle w:val="47"/>
      </w:rPr>
      <w:instrText xml:space="preserve">PAGE  </w:instrText>
    </w:r>
    <w:r>
      <w:fldChar w:fldCharType="end"/>
    </w:r>
  </w:p>
  <w:p w14:paraId="6C106E89">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04D36">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33</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33</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7485A">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FE6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72A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EE4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152"/>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
    <w:nsid w:val="04E751C0"/>
    <w:multiLevelType w:val="multilevel"/>
    <w:tmpl w:val="04E751C0"/>
    <w:lvl w:ilvl="0" w:tentative="0">
      <w:start w:val="2"/>
      <w:numFmt w:val="decimal"/>
      <w:pStyle w:val="149"/>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105A0FD2"/>
    <w:multiLevelType w:val="multilevel"/>
    <w:tmpl w:val="105A0FD2"/>
    <w:lvl w:ilvl="0" w:tentative="0">
      <w:start w:val="1"/>
      <w:numFmt w:val="chineseCountingThousand"/>
      <w:pStyle w:val="144"/>
      <w:lvlText w:val="%1、"/>
      <w:lvlJc w:val="left"/>
      <w:pPr>
        <w:tabs>
          <w:tab w:val="left" w:pos="420"/>
        </w:tabs>
        <w:ind w:left="420" w:hanging="420"/>
      </w:pPr>
      <w:rPr>
        <w:lang w:val="en-US"/>
      </w:rPr>
    </w:lvl>
    <w:lvl w:ilvl="1" w:tentative="0">
      <w:start w:val="1"/>
      <w:numFmt w:val="lowerLetter"/>
      <w:lvlText w:val="%2)"/>
      <w:lvlJc w:val="left"/>
      <w:pPr>
        <w:tabs>
          <w:tab w:val="left" w:pos="840"/>
        </w:tabs>
        <w:ind w:left="840" w:hanging="420"/>
      </w:pPr>
    </w:lvl>
    <w:lvl w:ilvl="2" w:tentative="0">
      <w:start w:val="4"/>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0FB16B7"/>
    <w:multiLevelType w:val="multilevel"/>
    <w:tmpl w:val="10FB16B7"/>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4">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F3007FA"/>
    <w:multiLevelType w:val="multilevel"/>
    <w:tmpl w:val="2F3007F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1"/>
      <w:numFmt w:val="decimal"/>
      <w:lvlText w:val="（%3）"/>
      <w:lvlJc w:val="left"/>
      <w:pPr>
        <w:tabs>
          <w:tab w:val="left" w:pos="2838"/>
        </w:tabs>
        <w:ind w:left="2838" w:hanging="720"/>
      </w:pPr>
      <w:rPr>
        <w:rFonts w:hint="eastAsia"/>
      </w:rPr>
    </w:lvl>
    <w:lvl w:ilvl="3" w:tentative="0">
      <w:start w:val="1"/>
      <w:numFmt w:val="decimal"/>
      <w:lvlText w:val="%4."/>
      <w:lvlJc w:val="left"/>
      <w:pPr>
        <w:tabs>
          <w:tab w:val="left" w:pos="2958"/>
        </w:tabs>
        <w:ind w:left="2958" w:hanging="420"/>
      </w:p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331A306D"/>
    <w:multiLevelType w:val="multilevel"/>
    <w:tmpl w:val="331A306D"/>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7">
    <w:nsid w:val="37E05C58"/>
    <w:multiLevelType w:val="multilevel"/>
    <w:tmpl w:val="37E05C58"/>
    <w:lvl w:ilvl="0" w:tentative="0">
      <w:start w:val="2"/>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ascii="宋体" w:hAnsi="宋体" w:eastAsia="宋体"/>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8">
    <w:nsid w:val="442616A1"/>
    <w:multiLevelType w:val="multilevel"/>
    <w:tmpl w:val="442616A1"/>
    <w:lvl w:ilvl="0" w:tentative="0">
      <w:start w:val="6"/>
      <w:numFmt w:val="decimal"/>
      <w:lvlText w:val="%1"/>
      <w:lvlJc w:val="left"/>
      <w:pPr>
        <w:tabs>
          <w:tab w:val="left" w:pos="360"/>
        </w:tabs>
        <w:ind w:left="360" w:hanging="360"/>
      </w:pPr>
      <w:rPr>
        <w:rFonts w:hint="eastAsia" w:hAnsi="Times New Roman"/>
        <w:color w:val="000000"/>
      </w:rPr>
    </w:lvl>
    <w:lvl w:ilvl="1" w:tentative="0">
      <w:start w:val="2"/>
      <w:numFmt w:val="decimal"/>
      <w:lvlText w:val="%1.%2"/>
      <w:lvlJc w:val="left"/>
      <w:pPr>
        <w:tabs>
          <w:tab w:val="left" w:pos="360"/>
        </w:tabs>
        <w:ind w:left="360" w:hanging="360"/>
      </w:pPr>
      <w:rPr>
        <w:rFonts w:hint="eastAsia" w:hAnsi="Times New Roman"/>
        <w:color w:val="000000"/>
      </w:rPr>
    </w:lvl>
    <w:lvl w:ilvl="2" w:tentative="0">
      <w:start w:val="1"/>
      <w:numFmt w:val="decimal"/>
      <w:lvlText w:val="%1.%2.%3"/>
      <w:lvlJc w:val="left"/>
      <w:pPr>
        <w:tabs>
          <w:tab w:val="left" w:pos="720"/>
        </w:tabs>
        <w:ind w:left="720" w:hanging="720"/>
      </w:pPr>
      <w:rPr>
        <w:rFonts w:hint="eastAsia" w:hAnsi="Times New Roman"/>
        <w:color w:val="000000"/>
      </w:rPr>
    </w:lvl>
    <w:lvl w:ilvl="3" w:tentative="0">
      <w:start w:val="1"/>
      <w:numFmt w:val="decimal"/>
      <w:lvlText w:val="%1.%2.%3.%4"/>
      <w:lvlJc w:val="left"/>
      <w:pPr>
        <w:tabs>
          <w:tab w:val="left" w:pos="1080"/>
        </w:tabs>
        <w:ind w:left="1080" w:hanging="1080"/>
      </w:pPr>
      <w:rPr>
        <w:rFonts w:hint="eastAsia" w:hAnsi="Times New Roman"/>
        <w:color w:val="000000"/>
      </w:rPr>
    </w:lvl>
    <w:lvl w:ilvl="4" w:tentative="0">
      <w:start w:val="1"/>
      <w:numFmt w:val="decimal"/>
      <w:lvlText w:val="%1.%2.%3.%4.%5"/>
      <w:lvlJc w:val="left"/>
      <w:pPr>
        <w:tabs>
          <w:tab w:val="left" w:pos="1080"/>
        </w:tabs>
        <w:ind w:left="1080" w:hanging="1080"/>
      </w:pPr>
      <w:rPr>
        <w:rFonts w:hint="eastAsia" w:hAnsi="Times New Roman"/>
        <w:color w:val="000000"/>
      </w:rPr>
    </w:lvl>
    <w:lvl w:ilvl="5" w:tentative="0">
      <w:start w:val="1"/>
      <w:numFmt w:val="decimal"/>
      <w:lvlText w:val="%1.%2.%3.%4.%5.%6"/>
      <w:lvlJc w:val="left"/>
      <w:pPr>
        <w:tabs>
          <w:tab w:val="left" w:pos="1440"/>
        </w:tabs>
        <w:ind w:left="1440" w:hanging="1440"/>
      </w:pPr>
      <w:rPr>
        <w:rFonts w:hint="eastAsia" w:hAnsi="Times New Roman"/>
        <w:color w:val="000000"/>
      </w:rPr>
    </w:lvl>
    <w:lvl w:ilvl="6" w:tentative="0">
      <w:start w:val="1"/>
      <w:numFmt w:val="decimal"/>
      <w:lvlText w:val="%1.%2.%3.%4.%5.%6.%7"/>
      <w:lvlJc w:val="left"/>
      <w:pPr>
        <w:tabs>
          <w:tab w:val="left" w:pos="1440"/>
        </w:tabs>
        <w:ind w:left="1440" w:hanging="1440"/>
      </w:pPr>
      <w:rPr>
        <w:rFonts w:hint="eastAsia" w:hAnsi="Times New Roman"/>
        <w:color w:val="000000"/>
      </w:rPr>
    </w:lvl>
    <w:lvl w:ilvl="7" w:tentative="0">
      <w:start w:val="1"/>
      <w:numFmt w:val="decimal"/>
      <w:lvlText w:val="%1.%2.%3.%4.%5.%6.%7.%8"/>
      <w:lvlJc w:val="left"/>
      <w:pPr>
        <w:tabs>
          <w:tab w:val="left" w:pos="1800"/>
        </w:tabs>
        <w:ind w:left="1800" w:hanging="1800"/>
      </w:pPr>
      <w:rPr>
        <w:rFonts w:hint="eastAsia" w:hAnsi="Times New Roman"/>
        <w:color w:val="000000"/>
      </w:rPr>
    </w:lvl>
    <w:lvl w:ilvl="8" w:tentative="0">
      <w:start w:val="1"/>
      <w:numFmt w:val="decimal"/>
      <w:lvlText w:val="%1.%2.%3.%4.%5.%6.%7.%8.%9"/>
      <w:lvlJc w:val="left"/>
      <w:pPr>
        <w:tabs>
          <w:tab w:val="left" w:pos="1800"/>
        </w:tabs>
        <w:ind w:left="1800" w:hanging="1800"/>
      </w:pPr>
      <w:rPr>
        <w:rFonts w:hint="eastAsia" w:hAnsi="Times New Roman"/>
        <w:color w:val="000000"/>
      </w:rPr>
    </w:lvl>
  </w:abstractNum>
  <w:abstractNum w:abstractNumId="9">
    <w:nsid w:val="4A9457FD"/>
    <w:multiLevelType w:val="multilevel"/>
    <w:tmpl w:val="4A9457FD"/>
    <w:lvl w:ilvl="0" w:tentative="0">
      <w:start w:val="1"/>
      <w:numFmt w:val="japaneseCounting"/>
      <w:lvlText w:val="第%1章"/>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29C5F43"/>
    <w:multiLevelType w:val="multilevel"/>
    <w:tmpl w:val="529C5F43"/>
    <w:lvl w:ilvl="0" w:tentative="0">
      <w:start w:val="15"/>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ascii="宋体" w:hAnsi="宋体" w:eastAsia="宋体"/>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11">
    <w:nsid w:val="5807494E"/>
    <w:multiLevelType w:val="multilevel"/>
    <w:tmpl w:val="5807494E"/>
    <w:lvl w:ilvl="0" w:tentative="0">
      <w:start w:val="7"/>
      <w:numFmt w:val="decimal"/>
      <w:lvlText w:val="%1"/>
      <w:lvlJc w:val="left"/>
      <w:pPr>
        <w:tabs>
          <w:tab w:val="left" w:pos="360"/>
        </w:tabs>
        <w:ind w:left="360" w:hanging="360"/>
      </w:pPr>
      <w:rPr>
        <w:rFonts w:hint="eastAsia" w:hAnsi="Times New Roman"/>
        <w:color w:val="000000"/>
      </w:rPr>
    </w:lvl>
    <w:lvl w:ilvl="1" w:tentative="0">
      <w:start w:val="3"/>
      <w:numFmt w:val="decimal"/>
      <w:lvlText w:val="%1.%2"/>
      <w:lvlJc w:val="left"/>
      <w:pPr>
        <w:tabs>
          <w:tab w:val="left" w:pos="360"/>
        </w:tabs>
        <w:ind w:left="360" w:hanging="360"/>
      </w:pPr>
      <w:rPr>
        <w:rFonts w:hint="eastAsia" w:hAnsi="Times New Roman"/>
        <w:color w:val="000000"/>
      </w:rPr>
    </w:lvl>
    <w:lvl w:ilvl="2" w:tentative="0">
      <w:start w:val="1"/>
      <w:numFmt w:val="decimal"/>
      <w:lvlText w:val="%1.%2.%3"/>
      <w:lvlJc w:val="left"/>
      <w:pPr>
        <w:tabs>
          <w:tab w:val="left" w:pos="720"/>
        </w:tabs>
        <w:ind w:left="720" w:hanging="720"/>
      </w:pPr>
      <w:rPr>
        <w:rFonts w:hint="eastAsia" w:hAnsi="Times New Roman"/>
        <w:color w:val="000000"/>
      </w:rPr>
    </w:lvl>
    <w:lvl w:ilvl="3" w:tentative="0">
      <w:start w:val="1"/>
      <w:numFmt w:val="decimal"/>
      <w:lvlText w:val="%1.%2.%3.%4"/>
      <w:lvlJc w:val="left"/>
      <w:pPr>
        <w:tabs>
          <w:tab w:val="left" w:pos="1080"/>
        </w:tabs>
        <w:ind w:left="1080" w:hanging="1080"/>
      </w:pPr>
      <w:rPr>
        <w:rFonts w:hint="eastAsia" w:hAnsi="Times New Roman"/>
        <w:color w:val="000000"/>
      </w:rPr>
    </w:lvl>
    <w:lvl w:ilvl="4" w:tentative="0">
      <w:start w:val="1"/>
      <w:numFmt w:val="decimal"/>
      <w:lvlText w:val="%1.%2.%3.%4.%5"/>
      <w:lvlJc w:val="left"/>
      <w:pPr>
        <w:tabs>
          <w:tab w:val="left" w:pos="1080"/>
        </w:tabs>
        <w:ind w:left="1080" w:hanging="1080"/>
      </w:pPr>
      <w:rPr>
        <w:rFonts w:hint="eastAsia" w:hAnsi="Times New Roman"/>
        <w:color w:val="000000"/>
      </w:rPr>
    </w:lvl>
    <w:lvl w:ilvl="5" w:tentative="0">
      <w:start w:val="1"/>
      <w:numFmt w:val="decimal"/>
      <w:lvlText w:val="%1.%2.%3.%4.%5.%6"/>
      <w:lvlJc w:val="left"/>
      <w:pPr>
        <w:tabs>
          <w:tab w:val="left" w:pos="1440"/>
        </w:tabs>
        <w:ind w:left="1440" w:hanging="1440"/>
      </w:pPr>
      <w:rPr>
        <w:rFonts w:hint="eastAsia" w:hAnsi="Times New Roman"/>
        <w:color w:val="000000"/>
      </w:rPr>
    </w:lvl>
    <w:lvl w:ilvl="6" w:tentative="0">
      <w:start w:val="1"/>
      <w:numFmt w:val="decimal"/>
      <w:lvlText w:val="%1.%2.%3.%4.%5.%6.%7"/>
      <w:lvlJc w:val="left"/>
      <w:pPr>
        <w:tabs>
          <w:tab w:val="left" w:pos="1440"/>
        </w:tabs>
        <w:ind w:left="1440" w:hanging="1440"/>
      </w:pPr>
      <w:rPr>
        <w:rFonts w:hint="eastAsia" w:hAnsi="Times New Roman"/>
        <w:color w:val="000000"/>
      </w:rPr>
    </w:lvl>
    <w:lvl w:ilvl="7" w:tentative="0">
      <w:start w:val="1"/>
      <w:numFmt w:val="decimal"/>
      <w:lvlText w:val="%1.%2.%3.%4.%5.%6.%7.%8"/>
      <w:lvlJc w:val="left"/>
      <w:pPr>
        <w:tabs>
          <w:tab w:val="left" w:pos="1800"/>
        </w:tabs>
        <w:ind w:left="1800" w:hanging="1800"/>
      </w:pPr>
      <w:rPr>
        <w:rFonts w:hint="eastAsia" w:hAnsi="Times New Roman"/>
        <w:color w:val="000000"/>
      </w:rPr>
    </w:lvl>
    <w:lvl w:ilvl="8" w:tentative="0">
      <w:start w:val="1"/>
      <w:numFmt w:val="decimal"/>
      <w:lvlText w:val="%1.%2.%3.%4.%5.%6.%7.%8.%9"/>
      <w:lvlJc w:val="left"/>
      <w:pPr>
        <w:tabs>
          <w:tab w:val="left" w:pos="1800"/>
        </w:tabs>
        <w:ind w:left="1800" w:hanging="1800"/>
      </w:pPr>
      <w:rPr>
        <w:rFonts w:hint="eastAsia" w:hAnsi="Times New Roman"/>
        <w:color w:val="000000"/>
      </w:rPr>
    </w:lvl>
  </w:abstractNum>
  <w:abstractNum w:abstractNumId="12">
    <w:nsid w:val="676D1F6B"/>
    <w:multiLevelType w:val="multilevel"/>
    <w:tmpl w:val="676D1F6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690B1CDA"/>
    <w:multiLevelType w:val="multilevel"/>
    <w:tmpl w:val="690B1CDA"/>
    <w:lvl w:ilvl="0" w:tentative="0">
      <w:start w:val="1"/>
      <w:numFmt w:val="japaneseCounting"/>
      <w:pStyle w:val="134"/>
      <w:lvlText w:val="%1、"/>
      <w:lvlJc w:val="left"/>
      <w:pPr>
        <w:tabs>
          <w:tab w:val="left" w:pos="1280"/>
        </w:tabs>
        <w:ind w:left="1280" w:hanging="720"/>
      </w:pPr>
      <w:rPr>
        <w:rFonts w:hint="default"/>
        <w:lang w:val="en-US"/>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14">
    <w:nsid w:val="749B2552"/>
    <w:multiLevelType w:val="singleLevel"/>
    <w:tmpl w:val="749B2552"/>
    <w:lvl w:ilvl="0" w:tentative="0">
      <w:start w:val="1"/>
      <w:numFmt w:val="decimal"/>
      <w:lvlText w:val="%1."/>
      <w:lvlJc w:val="left"/>
      <w:pPr>
        <w:tabs>
          <w:tab w:val="left" w:pos="425"/>
        </w:tabs>
        <w:ind w:left="425" w:hanging="425"/>
      </w:pPr>
      <w:rPr>
        <w:rFonts w:hint="eastAsia" w:ascii="宋体" w:hAnsi="宋体" w:eastAsia="宋体"/>
      </w:rPr>
    </w:lvl>
  </w:abstractNum>
  <w:abstractNum w:abstractNumId="15">
    <w:nsid w:val="78314949"/>
    <w:multiLevelType w:val="multilevel"/>
    <w:tmpl w:val="78314949"/>
    <w:lvl w:ilvl="0" w:tentative="0">
      <w:start w:val="12"/>
      <w:numFmt w:val="decimal"/>
      <w:lvlText w:val="%1"/>
      <w:lvlJc w:val="left"/>
      <w:pPr>
        <w:ind w:left="420" w:hanging="420"/>
      </w:pPr>
      <w:rPr>
        <w:rFonts w:hint="default"/>
      </w:rPr>
    </w:lvl>
    <w:lvl w:ilvl="1" w:tentative="0">
      <w:start w:val="3"/>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num w:numId="1">
    <w:abstractNumId w:val="3"/>
  </w:num>
  <w:num w:numId="2">
    <w:abstractNumId w:val="13"/>
  </w:num>
  <w:num w:numId="3">
    <w:abstractNumId w:val="2"/>
  </w:num>
  <w:num w:numId="4">
    <w:abstractNumId w:val="1"/>
  </w:num>
  <w:num w:numId="5">
    <w:abstractNumId w:val="0"/>
  </w:num>
  <w:num w:numId="6">
    <w:abstractNumId w:val="4"/>
  </w:num>
  <w:num w:numId="7">
    <w:abstractNumId w:val="7"/>
  </w:num>
  <w:num w:numId="8">
    <w:abstractNumId w:val="8"/>
  </w:num>
  <w:num w:numId="9">
    <w:abstractNumId w:val="11"/>
  </w:num>
  <w:num w:numId="10">
    <w:abstractNumId w:val="9"/>
  </w:num>
  <w:num w:numId="11">
    <w:abstractNumId w:val="15"/>
  </w:num>
  <w:num w:numId="12">
    <w:abstractNumId w:val="10"/>
  </w:num>
  <w:num w:numId="13">
    <w:abstractNumId w:val="5"/>
  </w:num>
  <w:num w:numId="14">
    <w:abstractNumId w:val="6"/>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jRhODA0MGJlYjkwYzhjNWY3NDVmZDZhNTM4ODVlZmIifQ=="/>
  </w:docVars>
  <w:rsids>
    <w:rsidRoot w:val="009833EC"/>
    <w:rsid w:val="00000C7F"/>
    <w:rsid w:val="00000CDA"/>
    <w:rsid w:val="00000E9F"/>
    <w:rsid w:val="000012B3"/>
    <w:rsid w:val="000013AE"/>
    <w:rsid w:val="000018DB"/>
    <w:rsid w:val="000019D4"/>
    <w:rsid w:val="000020EE"/>
    <w:rsid w:val="000030EC"/>
    <w:rsid w:val="0000339F"/>
    <w:rsid w:val="0000391B"/>
    <w:rsid w:val="0000392E"/>
    <w:rsid w:val="00003DE4"/>
    <w:rsid w:val="000049BA"/>
    <w:rsid w:val="00004A27"/>
    <w:rsid w:val="00005FCB"/>
    <w:rsid w:val="000062F0"/>
    <w:rsid w:val="000065AA"/>
    <w:rsid w:val="00007C9D"/>
    <w:rsid w:val="00007D36"/>
    <w:rsid w:val="00010614"/>
    <w:rsid w:val="00011381"/>
    <w:rsid w:val="00011688"/>
    <w:rsid w:val="000120FB"/>
    <w:rsid w:val="000127D7"/>
    <w:rsid w:val="00012CEB"/>
    <w:rsid w:val="0001315A"/>
    <w:rsid w:val="00013671"/>
    <w:rsid w:val="000145F4"/>
    <w:rsid w:val="00015408"/>
    <w:rsid w:val="0001590C"/>
    <w:rsid w:val="00015AB9"/>
    <w:rsid w:val="00015D0D"/>
    <w:rsid w:val="0001608A"/>
    <w:rsid w:val="0001660B"/>
    <w:rsid w:val="0001667B"/>
    <w:rsid w:val="00017270"/>
    <w:rsid w:val="000177CB"/>
    <w:rsid w:val="0001794E"/>
    <w:rsid w:val="000179C1"/>
    <w:rsid w:val="00017A54"/>
    <w:rsid w:val="00017EAC"/>
    <w:rsid w:val="0002079E"/>
    <w:rsid w:val="00020C75"/>
    <w:rsid w:val="0002163A"/>
    <w:rsid w:val="000216DA"/>
    <w:rsid w:val="000216E1"/>
    <w:rsid w:val="00021C76"/>
    <w:rsid w:val="00021CA5"/>
    <w:rsid w:val="00022C80"/>
    <w:rsid w:val="00022FCF"/>
    <w:rsid w:val="00023F2E"/>
    <w:rsid w:val="00024523"/>
    <w:rsid w:val="00024860"/>
    <w:rsid w:val="000248E7"/>
    <w:rsid w:val="000268CD"/>
    <w:rsid w:val="00026FC3"/>
    <w:rsid w:val="000278C1"/>
    <w:rsid w:val="00027BD5"/>
    <w:rsid w:val="00027E73"/>
    <w:rsid w:val="0003063D"/>
    <w:rsid w:val="00030865"/>
    <w:rsid w:val="00031768"/>
    <w:rsid w:val="00032300"/>
    <w:rsid w:val="0003240C"/>
    <w:rsid w:val="00032A2C"/>
    <w:rsid w:val="0003413E"/>
    <w:rsid w:val="00034518"/>
    <w:rsid w:val="00034573"/>
    <w:rsid w:val="00034E6E"/>
    <w:rsid w:val="00036ABE"/>
    <w:rsid w:val="000377F0"/>
    <w:rsid w:val="00040462"/>
    <w:rsid w:val="00040736"/>
    <w:rsid w:val="0004087D"/>
    <w:rsid w:val="0004093F"/>
    <w:rsid w:val="00040FEE"/>
    <w:rsid w:val="000413C6"/>
    <w:rsid w:val="000415D4"/>
    <w:rsid w:val="00041A63"/>
    <w:rsid w:val="0004277B"/>
    <w:rsid w:val="00043105"/>
    <w:rsid w:val="00043EBB"/>
    <w:rsid w:val="000453A8"/>
    <w:rsid w:val="0004611C"/>
    <w:rsid w:val="00046265"/>
    <w:rsid w:val="00046FB6"/>
    <w:rsid w:val="00047144"/>
    <w:rsid w:val="00047B7B"/>
    <w:rsid w:val="00050048"/>
    <w:rsid w:val="000502DE"/>
    <w:rsid w:val="00051247"/>
    <w:rsid w:val="00051476"/>
    <w:rsid w:val="00055140"/>
    <w:rsid w:val="00055BE2"/>
    <w:rsid w:val="00055E36"/>
    <w:rsid w:val="00055F28"/>
    <w:rsid w:val="000562D3"/>
    <w:rsid w:val="000571EB"/>
    <w:rsid w:val="0005770B"/>
    <w:rsid w:val="00057B85"/>
    <w:rsid w:val="00057F61"/>
    <w:rsid w:val="00060245"/>
    <w:rsid w:val="0006027D"/>
    <w:rsid w:val="0006054E"/>
    <w:rsid w:val="00060689"/>
    <w:rsid w:val="000614F6"/>
    <w:rsid w:val="00061ADA"/>
    <w:rsid w:val="00062546"/>
    <w:rsid w:val="00063214"/>
    <w:rsid w:val="00064185"/>
    <w:rsid w:val="00064276"/>
    <w:rsid w:val="000642CD"/>
    <w:rsid w:val="00064416"/>
    <w:rsid w:val="000649DE"/>
    <w:rsid w:val="000652FF"/>
    <w:rsid w:val="00066B7A"/>
    <w:rsid w:val="000673CC"/>
    <w:rsid w:val="0007084F"/>
    <w:rsid w:val="00070D3D"/>
    <w:rsid w:val="00070DCE"/>
    <w:rsid w:val="0007120B"/>
    <w:rsid w:val="00071508"/>
    <w:rsid w:val="00072509"/>
    <w:rsid w:val="00072C00"/>
    <w:rsid w:val="00075961"/>
    <w:rsid w:val="00075BAF"/>
    <w:rsid w:val="00076023"/>
    <w:rsid w:val="00076434"/>
    <w:rsid w:val="0007711F"/>
    <w:rsid w:val="00080133"/>
    <w:rsid w:val="00080574"/>
    <w:rsid w:val="00080AE7"/>
    <w:rsid w:val="00080DE8"/>
    <w:rsid w:val="00080E11"/>
    <w:rsid w:val="00081C2C"/>
    <w:rsid w:val="00082013"/>
    <w:rsid w:val="000822CA"/>
    <w:rsid w:val="00082512"/>
    <w:rsid w:val="000837A6"/>
    <w:rsid w:val="00084816"/>
    <w:rsid w:val="00084CED"/>
    <w:rsid w:val="00085996"/>
    <w:rsid w:val="00085A61"/>
    <w:rsid w:val="00085D86"/>
    <w:rsid w:val="0008670A"/>
    <w:rsid w:val="000874DB"/>
    <w:rsid w:val="00087F54"/>
    <w:rsid w:val="00090CB0"/>
    <w:rsid w:val="000911A1"/>
    <w:rsid w:val="00091739"/>
    <w:rsid w:val="000936BB"/>
    <w:rsid w:val="00093E9C"/>
    <w:rsid w:val="00093F6F"/>
    <w:rsid w:val="000940E1"/>
    <w:rsid w:val="000945D5"/>
    <w:rsid w:val="00094C2A"/>
    <w:rsid w:val="000950C1"/>
    <w:rsid w:val="00095BE6"/>
    <w:rsid w:val="000960A6"/>
    <w:rsid w:val="000A025A"/>
    <w:rsid w:val="000A040E"/>
    <w:rsid w:val="000A1A04"/>
    <w:rsid w:val="000A1AD0"/>
    <w:rsid w:val="000A24B9"/>
    <w:rsid w:val="000A2BBF"/>
    <w:rsid w:val="000A4F7A"/>
    <w:rsid w:val="000A54CF"/>
    <w:rsid w:val="000A588E"/>
    <w:rsid w:val="000A70BC"/>
    <w:rsid w:val="000A7472"/>
    <w:rsid w:val="000A7A96"/>
    <w:rsid w:val="000B00D4"/>
    <w:rsid w:val="000B10E9"/>
    <w:rsid w:val="000B131B"/>
    <w:rsid w:val="000B19E5"/>
    <w:rsid w:val="000B363F"/>
    <w:rsid w:val="000B3A44"/>
    <w:rsid w:val="000B3CD7"/>
    <w:rsid w:val="000B3CF1"/>
    <w:rsid w:val="000B494D"/>
    <w:rsid w:val="000B4E66"/>
    <w:rsid w:val="000B5667"/>
    <w:rsid w:val="000B5D2E"/>
    <w:rsid w:val="000B5FBF"/>
    <w:rsid w:val="000B6651"/>
    <w:rsid w:val="000B6F1B"/>
    <w:rsid w:val="000B7586"/>
    <w:rsid w:val="000B778F"/>
    <w:rsid w:val="000B79A1"/>
    <w:rsid w:val="000C002D"/>
    <w:rsid w:val="000C010B"/>
    <w:rsid w:val="000C04EC"/>
    <w:rsid w:val="000C1920"/>
    <w:rsid w:val="000C21C8"/>
    <w:rsid w:val="000C22E4"/>
    <w:rsid w:val="000C23B2"/>
    <w:rsid w:val="000C2A07"/>
    <w:rsid w:val="000C3069"/>
    <w:rsid w:val="000C41BC"/>
    <w:rsid w:val="000C4379"/>
    <w:rsid w:val="000C4614"/>
    <w:rsid w:val="000C464F"/>
    <w:rsid w:val="000C63CB"/>
    <w:rsid w:val="000C6B06"/>
    <w:rsid w:val="000C6E00"/>
    <w:rsid w:val="000D0D31"/>
    <w:rsid w:val="000D0E1F"/>
    <w:rsid w:val="000D11B4"/>
    <w:rsid w:val="000D1822"/>
    <w:rsid w:val="000D2AA9"/>
    <w:rsid w:val="000D2F76"/>
    <w:rsid w:val="000D3682"/>
    <w:rsid w:val="000D3D03"/>
    <w:rsid w:val="000D3D55"/>
    <w:rsid w:val="000D3F6A"/>
    <w:rsid w:val="000D4196"/>
    <w:rsid w:val="000D47B2"/>
    <w:rsid w:val="000D4CC4"/>
    <w:rsid w:val="000D53F2"/>
    <w:rsid w:val="000D5955"/>
    <w:rsid w:val="000D5A26"/>
    <w:rsid w:val="000D5DB7"/>
    <w:rsid w:val="000D5FCC"/>
    <w:rsid w:val="000D5FFF"/>
    <w:rsid w:val="000D675C"/>
    <w:rsid w:val="000D693D"/>
    <w:rsid w:val="000D69E5"/>
    <w:rsid w:val="000D75D0"/>
    <w:rsid w:val="000D7675"/>
    <w:rsid w:val="000E07CB"/>
    <w:rsid w:val="000E0DA9"/>
    <w:rsid w:val="000E1026"/>
    <w:rsid w:val="000E19C9"/>
    <w:rsid w:val="000E1BC0"/>
    <w:rsid w:val="000E1F01"/>
    <w:rsid w:val="000E3AD6"/>
    <w:rsid w:val="000E479C"/>
    <w:rsid w:val="000E5AA4"/>
    <w:rsid w:val="000E6271"/>
    <w:rsid w:val="000E659F"/>
    <w:rsid w:val="000E6769"/>
    <w:rsid w:val="000E6DDE"/>
    <w:rsid w:val="000E6EB5"/>
    <w:rsid w:val="000E7227"/>
    <w:rsid w:val="000E72E6"/>
    <w:rsid w:val="000E7602"/>
    <w:rsid w:val="000E7755"/>
    <w:rsid w:val="000F02D5"/>
    <w:rsid w:val="000F02E4"/>
    <w:rsid w:val="000F0471"/>
    <w:rsid w:val="000F079F"/>
    <w:rsid w:val="000F0819"/>
    <w:rsid w:val="000F21A3"/>
    <w:rsid w:val="000F2C2E"/>
    <w:rsid w:val="000F2E56"/>
    <w:rsid w:val="000F35D4"/>
    <w:rsid w:val="000F37D8"/>
    <w:rsid w:val="000F3B33"/>
    <w:rsid w:val="000F3FC1"/>
    <w:rsid w:val="000F4808"/>
    <w:rsid w:val="000F5823"/>
    <w:rsid w:val="000F623B"/>
    <w:rsid w:val="000F67BA"/>
    <w:rsid w:val="000F6885"/>
    <w:rsid w:val="00100929"/>
    <w:rsid w:val="00100A59"/>
    <w:rsid w:val="00100A85"/>
    <w:rsid w:val="00100B16"/>
    <w:rsid w:val="001013B4"/>
    <w:rsid w:val="001017F3"/>
    <w:rsid w:val="00101823"/>
    <w:rsid w:val="001028F3"/>
    <w:rsid w:val="00103847"/>
    <w:rsid w:val="00104089"/>
    <w:rsid w:val="00104A82"/>
    <w:rsid w:val="00104AF0"/>
    <w:rsid w:val="00104ED8"/>
    <w:rsid w:val="00105209"/>
    <w:rsid w:val="00105FB8"/>
    <w:rsid w:val="00106103"/>
    <w:rsid w:val="00106113"/>
    <w:rsid w:val="00106A6A"/>
    <w:rsid w:val="00106EB1"/>
    <w:rsid w:val="0010713D"/>
    <w:rsid w:val="00107366"/>
    <w:rsid w:val="001101C6"/>
    <w:rsid w:val="00110AD0"/>
    <w:rsid w:val="0011110A"/>
    <w:rsid w:val="001116CC"/>
    <w:rsid w:val="00112609"/>
    <w:rsid w:val="001126F0"/>
    <w:rsid w:val="001132C8"/>
    <w:rsid w:val="00113B4C"/>
    <w:rsid w:val="00113D8F"/>
    <w:rsid w:val="00113E15"/>
    <w:rsid w:val="00114861"/>
    <w:rsid w:val="001149BA"/>
    <w:rsid w:val="00114B2A"/>
    <w:rsid w:val="00114E2F"/>
    <w:rsid w:val="001151E8"/>
    <w:rsid w:val="00115967"/>
    <w:rsid w:val="00116191"/>
    <w:rsid w:val="00116441"/>
    <w:rsid w:val="00116E35"/>
    <w:rsid w:val="0011743D"/>
    <w:rsid w:val="00120686"/>
    <w:rsid w:val="00120C3C"/>
    <w:rsid w:val="00122AC9"/>
    <w:rsid w:val="00122C12"/>
    <w:rsid w:val="001234B2"/>
    <w:rsid w:val="00123A44"/>
    <w:rsid w:val="00123B84"/>
    <w:rsid w:val="00124863"/>
    <w:rsid w:val="0012494A"/>
    <w:rsid w:val="00125117"/>
    <w:rsid w:val="00126702"/>
    <w:rsid w:val="00126736"/>
    <w:rsid w:val="00126B17"/>
    <w:rsid w:val="00126D44"/>
    <w:rsid w:val="001279A1"/>
    <w:rsid w:val="00127CAC"/>
    <w:rsid w:val="00130F99"/>
    <w:rsid w:val="0013184E"/>
    <w:rsid w:val="00132520"/>
    <w:rsid w:val="00133F8F"/>
    <w:rsid w:val="00134075"/>
    <w:rsid w:val="0013457A"/>
    <w:rsid w:val="00134979"/>
    <w:rsid w:val="001351C4"/>
    <w:rsid w:val="00135655"/>
    <w:rsid w:val="00135C63"/>
    <w:rsid w:val="001370A8"/>
    <w:rsid w:val="00137668"/>
    <w:rsid w:val="00137F56"/>
    <w:rsid w:val="00140886"/>
    <w:rsid w:val="001414EF"/>
    <w:rsid w:val="00141762"/>
    <w:rsid w:val="00141B7E"/>
    <w:rsid w:val="00141BF3"/>
    <w:rsid w:val="0014226C"/>
    <w:rsid w:val="00142861"/>
    <w:rsid w:val="00142EAA"/>
    <w:rsid w:val="00142F3D"/>
    <w:rsid w:val="001433B9"/>
    <w:rsid w:val="00143A78"/>
    <w:rsid w:val="00144079"/>
    <w:rsid w:val="00144588"/>
    <w:rsid w:val="00144CD2"/>
    <w:rsid w:val="00144D40"/>
    <w:rsid w:val="00144F28"/>
    <w:rsid w:val="00145EED"/>
    <w:rsid w:val="00146D08"/>
    <w:rsid w:val="00146D6C"/>
    <w:rsid w:val="001473FF"/>
    <w:rsid w:val="001477D2"/>
    <w:rsid w:val="00151956"/>
    <w:rsid w:val="00152D75"/>
    <w:rsid w:val="00152F7E"/>
    <w:rsid w:val="00152FC5"/>
    <w:rsid w:val="00153598"/>
    <w:rsid w:val="001536B6"/>
    <w:rsid w:val="00153A47"/>
    <w:rsid w:val="00153D3E"/>
    <w:rsid w:val="001542D0"/>
    <w:rsid w:val="0015536E"/>
    <w:rsid w:val="00155726"/>
    <w:rsid w:val="001579F5"/>
    <w:rsid w:val="00157AE2"/>
    <w:rsid w:val="001605FD"/>
    <w:rsid w:val="001606C6"/>
    <w:rsid w:val="00160CE5"/>
    <w:rsid w:val="00161266"/>
    <w:rsid w:val="00161C97"/>
    <w:rsid w:val="001622D6"/>
    <w:rsid w:val="00162583"/>
    <w:rsid w:val="00162800"/>
    <w:rsid w:val="0016298B"/>
    <w:rsid w:val="00162F9F"/>
    <w:rsid w:val="00163B25"/>
    <w:rsid w:val="001647AE"/>
    <w:rsid w:val="00164921"/>
    <w:rsid w:val="00165DE8"/>
    <w:rsid w:val="00165F41"/>
    <w:rsid w:val="00166BB6"/>
    <w:rsid w:val="001670A5"/>
    <w:rsid w:val="001701A8"/>
    <w:rsid w:val="00170898"/>
    <w:rsid w:val="00170C45"/>
    <w:rsid w:val="00170DB2"/>
    <w:rsid w:val="00170DC2"/>
    <w:rsid w:val="001714A7"/>
    <w:rsid w:val="00171E3A"/>
    <w:rsid w:val="00172551"/>
    <w:rsid w:val="001726A5"/>
    <w:rsid w:val="00172DDC"/>
    <w:rsid w:val="001732F4"/>
    <w:rsid w:val="00173594"/>
    <w:rsid w:val="001736A9"/>
    <w:rsid w:val="001737DA"/>
    <w:rsid w:val="0017486E"/>
    <w:rsid w:val="00174D50"/>
    <w:rsid w:val="001754BA"/>
    <w:rsid w:val="0017611F"/>
    <w:rsid w:val="0017628C"/>
    <w:rsid w:val="001762E0"/>
    <w:rsid w:val="001776D9"/>
    <w:rsid w:val="00177FE0"/>
    <w:rsid w:val="00180774"/>
    <w:rsid w:val="00180F42"/>
    <w:rsid w:val="0018109B"/>
    <w:rsid w:val="0018128C"/>
    <w:rsid w:val="00181532"/>
    <w:rsid w:val="00181599"/>
    <w:rsid w:val="00181779"/>
    <w:rsid w:val="00181BCB"/>
    <w:rsid w:val="00182320"/>
    <w:rsid w:val="00182C90"/>
    <w:rsid w:val="00182DCA"/>
    <w:rsid w:val="00182E13"/>
    <w:rsid w:val="00183342"/>
    <w:rsid w:val="00183AF6"/>
    <w:rsid w:val="001844B7"/>
    <w:rsid w:val="00184690"/>
    <w:rsid w:val="001849A5"/>
    <w:rsid w:val="00185CE7"/>
    <w:rsid w:val="00185F4E"/>
    <w:rsid w:val="00187221"/>
    <w:rsid w:val="00187246"/>
    <w:rsid w:val="00187FEA"/>
    <w:rsid w:val="00190B17"/>
    <w:rsid w:val="00190C79"/>
    <w:rsid w:val="00191702"/>
    <w:rsid w:val="001918F2"/>
    <w:rsid w:val="00191E15"/>
    <w:rsid w:val="00193677"/>
    <w:rsid w:val="00193AF0"/>
    <w:rsid w:val="00193CE8"/>
    <w:rsid w:val="00193E58"/>
    <w:rsid w:val="00194FA0"/>
    <w:rsid w:val="0019546E"/>
    <w:rsid w:val="001958E5"/>
    <w:rsid w:val="00195A0D"/>
    <w:rsid w:val="00195BF0"/>
    <w:rsid w:val="00195F54"/>
    <w:rsid w:val="001966FC"/>
    <w:rsid w:val="00196738"/>
    <w:rsid w:val="00196EC4"/>
    <w:rsid w:val="00197045"/>
    <w:rsid w:val="001975F6"/>
    <w:rsid w:val="00197AF4"/>
    <w:rsid w:val="001A08D0"/>
    <w:rsid w:val="001A0BC3"/>
    <w:rsid w:val="001A27BA"/>
    <w:rsid w:val="001A436E"/>
    <w:rsid w:val="001A4393"/>
    <w:rsid w:val="001A4F87"/>
    <w:rsid w:val="001A559F"/>
    <w:rsid w:val="001A60B3"/>
    <w:rsid w:val="001A6293"/>
    <w:rsid w:val="001A6547"/>
    <w:rsid w:val="001A6E21"/>
    <w:rsid w:val="001A73F0"/>
    <w:rsid w:val="001A7677"/>
    <w:rsid w:val="001A7BFB"/>
    <w:rsid w:val="001B0095"/>
    <w:rsid w:val="001B028E"/>
    <w:rsid w:val="001B0944"/>
    <w:rsid w:val="001B0B72"/>
    <w:rsid w:val="001B0F2C"/>
    <w:rsid w:val="001B1195"/>
    <w:rsid w:val="001B1C5B"/>
    <w:rsid w:val="001B2564"/>
    <w:rsid w:val="001B26FF"/>
    <w:rsid w:val="001B2ACC"/>
    <w:rsid w:val="001B3172"/>
    <w:rsid w:val="001B3711"/>
    <w:rsid w:val="001B3DBC"/>
    <w:rsid w:val="001B3FB6"/>
    <w:rsid w:val="001B448E"/>
    <w:rsid w:val="001B49CA"/>
    <w:rsid w:val="001B4E8B"/>
    <w:rsid w:val="001B537F"/>
    <w:rsid w:val="001B579A"/>
    <w:rsid w:val="001B5D4F"/>
    <w:rsid w:val="001B645B"/>
    <w:rsid w:val="001B78A5"/>
    <w:rsid w:val="001B7C3B"/>
    <w:rsid w:val="001B7D94"/>
    <w:rsid w:val="001C07AA"/>
    <w:rsid w:val="001C0A20"/>
    <w:rsid w:val="001C10B1"/>
    <w:rsid w:val="001C1439"/>
    <w:rsid w:val="001C1955"/>
    <w:rsid w:val="001C3079"/>
    <w:rsid w:val="001C3705"/>
    <w:rsid w:val="001C37C0"/>
    <w:rsid w:val="001C4000"/>
    <w:rsid w:val="001C41C2"/>
    <w:rsid w:val="001C4607"/>
    <w:rsid w:val="001C4FC6"/>
    <w:rsid w:val="001C5234"/>
    <w:rsid w:val="001C5B04"/>
    <w:rsid w:val="001C5F82"/>
    <w:rsid w:val="001C61D4"/>
    <w:rsid w:val="001C677E"/>
    <w:rsid w:val="001C6F86"/>
    <w:rsid w:val="001C7632"/>
    <w:rsid w:val="001C7773"/>
    <w:rsid w:val="001C7A7B"/>
    <w:rsid w:val="001C7C88"/>
    <w:rsid w:val="001D0021"/>
    <w:rsid w:val="001D0C08"/>
    <w:rsid w:val="001D11ED"/>
    <w:rsid w:val="001D23E8"/>
    <w:rsid w:val="001D23E9"/>
    <w:rsid w:val="001D2C26"/>
    <w:rsid w:val="001D3124"/>
    <w:rsid w:val="001D3AC1"/>
    <w:rsid w:val="001D4051"/>
    <w:rsid w:val="001D4712"/>
    <w:rsid w:val="001D6941"/>
    <w:rsid w:val="001E001C"/>
    <w:rsid w:val="001E09A9"/>
    <w:rsid w:val="001E11C3"/>
    <w:rsid w:val="001E1A4F"/>
    <w:rsid w:val="001E1F29"/>
    <w:rsid w:val="001E27AF"/>
    <w:rsid w:val="001E2B7B"/>
    <w:rsid w:val="001E2D65"/>
    <w:rsid w:val="001E2D96"/>
    <w:rsid w:val="001E34CE"/>
    <w:rsid w:val="001E38A0"/>
    <w:rsid w:val="001E3D17"/>
    <w:rsid w:val="001E41FA"/>
    <w:rsid w:val="001E55B5"/>
    <w:rsid w:val="001E5AA2"/>
    <w:rsid w:val="001E5EBB"/>
    <w:rsid w:val="001E617C"/>
    <w:rsid w:val="001E67BC"/>
    <w:rsid w:val="001E6CCF"/>
    <w:rsid w:val="001E6D68"/>
    <w:rsid w:val="001E792E"/>
    <w:rsid w:val="001F05A5"/>
    <w:rsid w:val="001F0EC5"/>
    <w:rsid w:val="001F15B4"/>
    <w:rsid w:val="001F1A39"/>
    <w:rsid w:val="001F2585"/>
    <w:rsid w:val="001F271A"/>
    <w:rsid w:val="001F292B"/>
    <w:rsid w:val="001F35CF"/>
    <w:rsid w:val="001F3BF5"/>
    <w:rsid w:val="001F3F92"/>
    <w:rsid w:val="001F440E"/>
    <w:rsid w:val="001F45D2"/>
    <w:rsid w:val="001F49F8"/>
    <w:rsid w:val="001F5857"/>
    <w:rsid w:val="001F5C81"/>
    <w:rsid w:val="00201546"/>
    <w:rsid w:val="00201C29"/>
    <w:rsid w:val="002020D6"/>
    <w:rsid w:val="002028A5"/>
    <w:rsid w:val="00203AF9"/>
    <w:rsid w:val="00203B2D"/>
    <w:rsid w:val="00203F9F"/>
    <w:rsid w:val="00204036"/>
    <w:rsid w:val="0020526B"/>
    <w:rsid w:val="0020560B"/>
    <w:rsid w:val="002062BA"/>
    <w:rsid w:val="00207089"/>
    <w:rsid w:val="00207F75"/>
    <w:rsid w:val="00210084"/>
    <w:rsid w:val="002110D3"/>
    <w:rsid w:val="00212F81"/>
    <w:rsid w:val="0021371A"/>
    <w:rsid w:val="00213ECC"/>
    <w:rsid w:val="00214C34"/>
    <w:rsid w:val="00214EC7"/>
    <w:rsid w:val="0021573E"/>
    <w:rsid w:val="00215DC8"/>
    <w:rsid w:val="00216992"/>
    <w:rsid w:val="00216D99"/>
    <w:rsid w:val="00216F3B"/>
    <w:rsid w:val="00217911"/>
    <w:rsid w:val="002207DD"/>
    <w:rsid w:val="00221041"/>
    <w:rsid w:val="0022151A"/>
    <w:rsid w:val="00221D44"/>
    <w:rsid w:val="002229B0"/>
    <w:rsid w:val="00222AF5"/>
    <w:rsid w:val="00222C2B"/>
    <w:rsid w:val="00222CC3"/>
    <w:rsid w:val="0022302C"/>
    <w:rsid w:val="00223767"/>
    <w:rsid w:val="00224B1C"/>
    <w:rsid w:val="00227E5F"/>
    <w:rsid w:val="00230897"/>
    <w:rsid w:val="00231BEC"/>
    <w:rsid w:val="00231DC9"/>
    <w:rsid w:val="0023221C"/>
    <w:rsid w:val="002323E3"/>
    <w:rsid w:val="00232F54"/>
    <w:rsid w:val="0023312F"/>
    <w:rsid w:val="0023385C"/>
    <w:rsid w:val="002340E5"/>
    <w:rsid w:val="00234194"/>
    <w:rsid w:val="00234550"/>
    <w:rsid w:val="00234A78"/>
    <w:rsid w:val="00235885"/>
    <w:rsid w:val="0023596B"/>
    <w:rsid w:val="00235D7E"/>
    <w:rsid w:val="00236321"/>
    <w:rsid w:val="00236730"/>
    <w:rsid w:val="002405C2"/>
    <w:rsid w:val="00240BDF"/>
    <w:rsid w:val="0024116B"/>
    <w:rsid w:val="00241A21"/>
    <w:rsid w:val="00242858"/>
    <w:rsid w:val="002428EA"/>
    <w:rsid w:val="00242B5A"/>
    <w:rsid w:val="0024311A"/>
    <w:rsid w:val="00243D01"/>
    <w:rsid w:val="00245562"/>
    <w:rsid w:val="002456FD"/>
    <w:rsid w:val="00245C5F"/>
    <w:rsid w:val="00245FF5"/>
    <w:rsid w:val="002461A5"/>
    <w:rsid w:val="002461C6"/>
    <w:rsid w:val="00246CE1"/>
    <w:rsid w:val="002475B1"/>
    <w:rsid w:val="00247E17"/>
    <w:rsid w:val="00250F3F"/>
    <w:rsid w:val="00252439"/>
    <w:rsid w:val="002532D8"/>
    <w:rsid w:val="002537A8"/>
    <w:rsid w:val="002550C3"/>
    <w:rsid w:val="0025511C"/>
    <w:rsid w:val="00256E35"/>
    <w:rsid w:val="0025725F"/>
    <w:rsid w:val="0025741D"/>
    <w:rsid w:val="00257C70"/>
    <w:rsid w:val="0026034D"/>
    <w:rsid w:val="00260933"/>
    <w:rsid w:val="00260D78"/>
    <w:rsid w:val="00261034"/>
    <w:rsid w:val="002612D1"/>
    <w:rsid w:val="00261C36"/>
    <w:rsid w:val="00261FF8"/>
    <w:rsid w:val="00263D58"/>
    <w:rsid w:val="00264151"/>
    <w:rsid w:val="002660A5"/>
    <w:rsid w:val="0026655C"/>
    <w:rsid w:val="00266565"/>
    <w:rsid w:val="00266587"/>
    <w:rsid w:val="00266771"/>
    <w:rsid w:val="00266AC5"/>
    <w:rsid w:val="00266AD7"/>
    <w:rsid w:val="002670B1"/>
    <w:rsid w:val="0026773B"/>
    <w:rsid w:val="0027014F"/>
    <w:rsid w:val="002704DA"/>
    <w:rsid w:val="0027146A"/>
    <w:rsid w:val="0027176E"/>
    <w:rsid w:val="00272466"/>
    <w:rsid w:val="002728DF"/>
    <w:rsid w:val="00273277"/>
    <w:rsid w:val="002739CF"/>
    <w:rsid w:val="00273C23"/>
    <w:rsid w:val="002741D1"/>
    <w:rsid w:val="00274289"/>
    <w:rsid w:val="00274464"/>
    <w:rsid w:val="00276417"/>
    <w:rsid w:val="00276526"/>
    <w:rsid w:val="00276748"/>
    <w:rsid w:val="002769F4"/>
    <w:rsid w:val="00276A69"/>
    <w:rsid w:val="00276AE2"/>
    <w:rsid w:val="00276D85"/>
    <w:rsid w:val="00277300"/>
    <w:rsid w:val="0027796E"/>
    <w:rsid w:val="00277B77"/>
    <w:rsid w:val="002805F7"/>
    <w:rsid w:val="002807F6"/>
    <w:rsid w:val="00281B43"/>
    <w:rsid w:val="00281DBE"/>
    <w:rsid w:val="00282232"/>
    <w:rsid w:val="00282FE1"/>
    <w:rsid w:val="00283549"/>
    <w:rsid w:val="0028374F"/>
    <w:rsid w:val="00284120"/>
    <w:rsid w:val="002842D9"/>
    <w:rsid w:val="0028436A"/>
    <w:rsid w:val="0028548C"/>
    <w:rsid w:val="00286015"/>
    <w:rsid w:val="002861EE"/>
    <w:rsid w:val="002866DF"/>
    <w:rsid w:val="002868C2"/>
    <w:rsid w:val="00287252"/>
    <w:rsid w:val="00287F0D"/>
    <w:rsid w:val="00290453"/>
    <w:rsid w:val="00291A4E"/>
    <w:rsid w:val="00293E05"/>
    <w:rsid w:val="00294145"/>
    <w:rsid w:val="00294164"/>
    <w:rsid w:val="0029437C"/>
    <w:rsid w:val="002943B8"/>
    <w:rsid w:val="00294C2D"/>
    <w:rsid w:val="00295B69"/>
    <w:rsid w:val="00295E54"/>
    <w:rsid w:val="002960FC"/>
    <w:rsid w:val="00296374"/>
    <w:rsid w:val="00297043"/>
    <w:rsid w:val="002979A8"/>
    <w:rsid w:val="002A02D5"/>
    <w:rsid w:val="002A1C7F"/>
    <w:rsid w:val="002A1EEC"/>
    <w:rsid w:val="002A2749"/>
    <w:rsid w:val="002A2DA1"/>
    <w:rsid w:val="002A39DE"/>
    <w:rsid w:val="002A3F5B"/>
    <w:rsid w:val="002A4037"/>
    <w:rsid w:val="002A486B"/>
    <w:rsid w:val="002A5763"/>
    <w:rsid w:val="002A5779"/>
    <w:rsid w:val="002A6519"/>
    <w:rsid w:val="002A6DF0"/>
    <w:rsid w:val="002B0092"/>
    <w:rsid w:val="002B0470"/>
    <w:rsid w:val="002B0738"/>
    <w:rsid w:val="002B100C"/>
    <w:rsid w:val="002B18B0"/>
    <w:rsid w:val="002B1D45"/>
    <w:rsid w:val="002B1D52"/>
    <w:rsid w:val="002B2AA1"/>
    <w:rsid w:val="002B2EAE"/>
    <w:rsid w:val="002B35A7"/>
    <w:rsid w:val="002B3FD2"/>
    <w:rsid w:val="002B4E7A"/>
    <w:rsid w:val="002B4E7B"/>
    <w:rsid w:val="002B5600"/>
    <w:rsid w:val="002B5F4F"/>
    <w:rsid w:val="002B7944"/>
    <w:rsid w:val="002C036A"/>
    <w:rsid w:val="002C1069"/>
    <w:rsid w:val="002C1527"/>
    <w:rsid w:val="002C1544"/>
    <w:rsid w:val="002C4B80"/>
    <w:rsid w:val="002C618B"/>
    <w:rsid w:val="002C6CED"/>
    <w:rsid w:val="002C7465"/>
    <w:rsid w:val="002D02B8"/>
    <w:rsid w:val="002D042D"/>
    <w:rsid w:val="002D0BEA"/>
    <w:rsid w:val="002D195A"/>
    <w:rsid w:val="002D1B53"/>
    <w:rsid w:val="002D251E"/>
    <w:rsid w:val="002D2BFA"/>
    <w:rsid w:val="002D2E39"/>
    <w:rsid w:val="002D3403"/>
    <w:rsid w:val="002D377E"/>
    <w:rsid w:val="002D38EB"/>
    <w:rsid w:val="002D3989"/>
    <w:rsid w:val="002D3D72"/>
    <w:rsid w:val="002D3E0C"/>
    <w:rsid w:val="002D4027"/>
    <w:rsid w:val="002D4363"/>
    <w:rsid w:val="002D4D4F"/>
    <w:rsid w:val="002D4FEA"/>
    <w:rsid w:val="002D594D"/>
    <w:rsid w:val="002D5AD0"/>
    <w:rsid w:val="002D5C4C"/>
    <w:rsid w:val="002D5CEF"/>
    <w:rsid w:val="002D5F65"/>
    <w:rsid w:val="002D64DD"/>
    <w:rsid w:val="002D68E5"/>
    <w:rsid w:val="002E0E4A"/>
    <w:rsid w:val="002E1C57"/>
    <w:rsid w:val="002E1E23"/>
    <w:rsid w:val="002E4052"/>
    <w:rsid w:val="002E4758"/>
    <w:rsid w:val="002E4B17"/>
    <w:rsid w:val="002E53EF"/>
    <w:rsid w:val="002E5483"/>
    <w:rsid w:val="002E55D3"/>
    <w:rsid w:val="002E6581"/>
    <w:rsid w:val="002E759D"/>
    <w:rsid w:val="002E7A65"/>
    <w:rsid w:val="002F015D"/>
    <w:rsid w:val="002F039F"/>
    <w:rsid w:val="002F0C5F"/>
    <w:rsid w:val="002F112F"/>
    <w:rsid w:val="002F29C3"/>
    <w:rsid w:val="002F37BE"/>
    <w:rsid w:val="002F38A8"/>
    <w:rsid w:val="002F38E4"/>
    <w:rsid w:val="002F5600"/>
    <w:rsid w:val="002F69D0"/>
    <w:rsid w:val="002F73E7"/>
    <w:rsid w:val="002F7F9C"/>
    <w:rsid w:val="003007C7"/>
    <w:rsid w:val="00300F00"/>
    <w:rsid w:val="00301024"/>
    <w:rsid w:val="003015A9"/>
    <w:rsid w:val="00301877"/>
    <w:rsid w:val="0030249C"/>
    <w:rsid w:val="00302566"/>
    <w:rsid w:val="0030264E"/>
    <w:rsid w:val="00302796"/>
    <w:rsid w:val="00303A67"/>
    <w:rsid w:val="003042EC"/>
    <w:rsid w:val="003042ED"/>
    <w:rsid w:val="00304573"/>
    <w:rsid w:val="00304745"/>
    <w:rsid w:val="00305920"/>
    <w:rsid w:val="00305F17"/>
    <w:rsid w:val="00307A37"/>
    <w:rsid w:val="00310D53"/>
    <w:rsid w:val="003116EF"/>
    <w:rsid w:val="003133AE"/>
    <w:rsid w:val="003133CA"/>
    <w:rsid w:val="00313768"/>
    <w:rsid w:val="00313BBD"/>
    <w:rsid w:val="0031410A"/>
    <w:rsid w:val="00314B90"/>
    <w:rsid w:val="00314CF5"/>
    <w:rsid w:val="00314F07"/>
    <w:rsid w:val="00315060"/>
    <w:rsid w:val="00315F01"/>
    <w:rsid w:val="0032032A"/>
    <w:rsid w:val="0032198F"/>
    <w:rsid w:val="00321A54"/>
    <w:rsid w:val="003230A6"/>
    <w:rsid w:val="003235DE"/>
    <w:rsid w:val="00323700"/>
    <w:rsid w:val="00324DA0"/>
    <w:rsid w:val="003253DF"/>
    <w:rsid w:val="003255E2"/>
    <w:rsid w:val="00325858"/>
    <w:rsid w:val="00325D19"/>
    <w:rsid w:val="00325E6D"/>
    <w:rsid w:val="003277BA"/>
    <w:rsid w:val="0033001F"/>
    <w:rsid w:val="00330025"/>
    <w:rsid w:val="00330AF9"/>
    <w:rsid w:val="00330BB9"/>
    <w:rsid w:val="00330C89"/>
    <w:rsid w:val="00330CC5"/>
    <w:rsid w:val="0033102A"/>
    <w:rsid w:val="00331AF4"/>
    <w:rsid w:val="00332D57"/>
    <w:rsid w:val="00332E80"/>
    <w:rsid w:val="0033414C"/>
    <w:rsid w:val="00334E0F"/>
    <w:rsid w:val="00335099"/>
    <w:rsid w:val="003350BE"/>
    <w:rsid w:val="00335232"/>
    <w:rsid w:val="003368B1"/>
    <w:rsid w:val="00337A0F"/>
    <w:rsid w:val="0034025A"/>
    <w:rsid w:val="003402A7"/>
    <w:rsid w:val="00342233"/>
    <w:rsid w:val="00342BB6"/>
    <w:rsid w:val="00343BA7"/>
    <w:rsid w:val="00343F05"/>
    <w:rsid w:val="00344080"/>
    <w:rsid w:val="0034486F"/>
    <w:rsid w:val="00344A26"/>
    <w:rsid w:val="00345278"/>
    <w:rsid w:val="00345916"/>
    <w:rsid w:val="0034594E"/>
    <w:rsid w:val="00345977"/>
    <w:rsid w:val="00345F13"/>
    <w:rsid w:val="00346626"/>
    <w:rsid w:val="003475B4"/>
    <w:rsid w:val="003502CE"/>
    <w:rsid w:val="003506E9"/>
    <w:rsid w:val="00351A93"/>
    <w:rsid w:val="00352386"/>
    <w:rsid w:val="00352A62"/>
    <w:rsid w:val="003530A7"/>
    <w:rsid w:val="003535E6"/>
    <w:rsid w:val="00353854"/>
    <w:rsid w:val="0035390D"/>
    <w:rsid w:val="00354724"/>
    <w:rsid w:val="00354E7A"/>
    <w:rsid w:val="00354F42"/>
    <w:rsid w:val="003553BF"/>
    <w:rsid w:val="0035582F"/>
    <w:rsid w:val="00355857"/>
    <w:rsid w:val="00356CF8"/>
    <w:rsid w:val="0035738E"/>
    <w:rsid w:val="003573D2"/>
    <w:rsid w:val="0036081D"/>
    <w:rsid w:val="003626D2"/>
    <w:rsid w:val="00362B80"/>
    <w:rsid w:val="00363608"/>
    <w:rsid w:val="003637C2"/>
    <w:rsid w:val="0036401D"/>
    <w:rsid w:val="00364703"/>
    <w:rsid w:val="00364C3D"/>
    <w:rsid w:val="00365AF0"/>
    <w:rsid w:val="00365D8C"/>
    <w:rsid w:val="003669BC"/>
    <w:rsid w:val="00366EEA"/>
    <w:rsid w:val="003675E4"/>
    <w:rsid w:val="00367B01"/>
    <w:rsid w:val="003700B6"/>
    <w:rsid w:val="0037124A"/>
    <w:rsid w:val="00371989"/>
    <w:rsid w:val="00371BF8"/>
    <w:rsid w:val="00372542"/>
    <w:rsid w:val="003728C7"/>
    <w:rsid w:val="00373B74"/>
    <w:rsid w:val="0037472E"/>
    <w:rsid w:val="00374C88"/>
    <w:rsid w:val="00374E5E"/>
    <w:rsid w:val="003756FF"/>
    <w:rsid w:val="003765E5"/>
    <w:rsid w:val="003769D6"/>
    <w:rsid w:val="00376F0D"/>
    <w:rsid w:val="00377A58"/>
    <w:rsid w:val="00377EF9"/>
    <w:rsid w:val="00380C2A"/>
    <w:rsid w:val="00380E27"/>
    <w:rsid w:val="00380E99"/>
    <w:rsid w:val="00381BCF"/>
    <w:rsid w:val="00382B41"/>
    <w:rsid w:val="00383158"/>
    <w:rsid w:val="00383561"/>
    <w:rsid w:val="00383E5C"/>
    <w:rsid w:val="00384413"/>
    <w:rsid w:val="0038754B"/>
    <w:rsid w:val="003876A1"/>
    <w:rsid w:val="00387703"/>
    <w:rsid w:val="003906A1"/>
    <w:rsid w:val="00391088"/>
    <w:rsid w:val="00391797"/>
    <w:rsid w:val="00391C5B"/>
    <w:rsid w:val="00392059"/>
    <w:rsid w:val="003923E5"/>
    <w:rsid w:val="00392439"/>
    <w:rsid w:val="00392E57"/>
    <w:rsid w:val="003931E6"/>
    <w:rsid w:val="00394CC4"/>
    <w:rsid w:val="0039511C"/>
    <w:rsid w:val="003951A1"/>
    <w:rsid w:val="003953FE"/>
    <w:rsid w:val="00395C81"/>
    <w:rsid w:val="00395DF8"/>
    <w:rsid w:val="0039625C"/>
    <w:rsid w:val="003963A8"/>
    <w:rsid w:val="003972B1"/>
    <w:rsid w:val="00397A35"/>
    <w:rsid w:val="00397FE4"/>
    <w:rsid w:val="003A0129"/>
    <w:rsid w:val="003A018F"/>
    <w:rsid w:val="003A0315"/>
    <w:rsid w:val="003A0B1A"/>
    <w:rsid w:val="003A0D42"/>
    <w:rsid w:val="003A0D46"/>
    <w:rsid w:val="003A1974"/>
    <w:rsid w:val="003A205F"/>
    <w:rsid w:val="003A2287"/>
    <w:rsid w:val="003A2B20"/>
    <w:rsid w:val="003A32D0"/>
    <w:rsid w:val="003A4365"/>
    <w:rsid w:val="003A49BA"/>
    <w:rsid w:val="003A5C4C"/>
    <w:rsid w:val="003A5DE0"/>
    <w:rsid w:val="003A5F45"/>
    <w:rsid w:val="003A7E7E"/>
    <w:rsid w:val="003A7F66"/>
    <w:rsid w:val="003B07FA"/>
    <w:rsid w:val="003B087D"/>
    <w:rsid w:val="003B097B"/>
    <w:rsid w:val="003B193D"/>
    <w:rsid w:val="003B1AA8"/>
    <w:rsid w:val="003B26D9"/>
    <w:rsid w:val="003B2AD9"/>
    <w:rsid w:val="003B33A0"/>
    <w:rsid w:val="003B37ED"/>
    <w:rsid w:val="003B3F74"/>
    <w:rsid w:val="003B4F11"/>
    <w:rsid w:val="003B509F"/>
    <w:rsid w:val="003B5937"/>
    <w:rsid w:val="003B5BAD"/>
    <w:rsid w:val="003B5F74"/>
    <w:rsid w:val="003B71DE"/>
    <w:rsid w:val="003B7438"/>
    <w:rsid w:val="003B7A7F"/>
    <w:rsid w:val="003B7AEE"/>
    <w:rsid w:val="003B7CA8"/>
    <w:rsid w:val="003B7CE6"/>
    <w:rsid w:val="003C08E5"/>
    <w:rsid w:val="003C1704"/>
    <w:rsid w:val="003C170F"/>
    <w:rsid w:val="003C2BB7"/>
    <w:rsid w:val="003C39F5"/>
    <w:rsid w:val="003C4678"/>
    <w:rsid w:val="003C470F"/>
    <w:rsid w:val="003C4C9C"/>
    <w:rsid w:val="003C56DC"/>
    <w:rsid w:val="003C5FC8"/>
    <w:rsid w:val="003C700A"/>
    <w:rsid w:val="003C7779"/>
    <w:rsid w:val="003D08B8"/>
    <w:rsid w:val="003D0EEE"/>
    <w:rsid w:val="003D177D"/>
    <w:rsid w:val="003D202B"/>
    <w:rsid w:val="003D27F2"/>
    <w:rsid w:val="003D2AD0"/>
    <w:rsid w:val="003D2BDE"/>
    <w:rsid w:val="003D371B"/>
    <w:rsid w:val="003D3BA1"/>
    <w:rsid w:val="003D439B"/>
    <w:rsid w:val="003D4BA0"/>
    <w:rsid w:val="003D5038"/>
    <w:rsid w:val="003D512E"/>
    <w:rsid w:val="003D5947"/>
    <w:rsid w:val="003D5E06"/>
    <w:rsid w:val="003D5EF4"/>
    <w:rsid w:val="003D642A"/>
    <w:rsid w:val="003D6715"/>
    <w:rsid w:val="003D753B"/>
    <w:rsid w:val="003D79EB"/>
    <w:rsid w:val="003E0652"/>
    <w:rsid w:val="003E1CF7"/>
    <w:rsid w:val="003E38C6"/>
    <w:rsid w:val="003E3AF2"/>
    <w:rsid w:val="003E44DB"/>
    <w:rsid w:val="003E4947"/>
    <w:rsid w:val="003E4952"/>
    <w:rsid w:val="003E4C4D"/>
    <w:rsid w:val="003E626F"/>
    <w:rsid w:val="003E629B"/>
    <w:rsid w:val="003E74C7"/>
    <w:rsid w:val="003E798A"/>
    <w:rsid w:val="003E7D38"/>
    <w:rsid w:val="003F1695"/>
    <w:rsid w:val="003F2814"/>
    <w:rsid w:val="003F29FC"/>
    <w:rsid w:val="003F631E"/>
    <w:rsid w:val="003F6F47"/>
    <w:rsid w:val="004000FB"/>
    <w:rsid w:val="00400445"/>
    <w:rsid w:val="00400544"/>
    <w:rsid w:val="0040107A"/>
    <w:rsid w:val="0040175C"/>
    <w:rsid w:val="004028B0"/>
    <w:rsid w:val="00402A0C"/>
    <w:rsid w:val="004033C1"/>
    <w:rsid w:val="00404224"/>
    <w:rsid w:val="00405B98"/>
    <w:rsid w:val="004061F2"/>
    <w:rsid w:val="00406587"/>
    <w:rsid w:val="00410B74"/>
    <w:rsid w:val="00411089"/>
    <w:rsid w:val="00411354"/>
    <w:rsid w:val="0041135C"/>
    <w:rsid w:val="0041148A"/>
    <w:rsid w:val="0041268F"/>
    <w:rsid w:val="00412F03"/>
    <w:rsid w:val="00413AF6"/>
    <w:rsid w:val="0041559B"/>
    <w:rsid w:val="0041561B"/>
    <w:rsid w:val="0041742D"/>
    <w:rsid w:val="00417B32"/>
    <w:rsid w:val="00417E60"/>
    <w:rsid w:val="00417FDA"/>
    <w:rsid w:val="0042074E"/>
    <w:rsid w:val="00421014"/>
    <w:rsid w:val="00421D1B"/>
    <w:rsid w:val="004227BA"/>
    <w:rsid w:val="00423995"/>
    <w:rsid w:val="004239D2"/>
    <w:rsid w:val="004257B0"/>
    <w:rsid w:val="00425AD9"/>
    <w:rsid w:val="00425D3E"/>
    <w:rsid w:val="00425D42"/>
    <w:rsid w:val="00426AB9"/>
    <w:rsid w:val="00427B42"/>
    <w:rsid w:val="00430471"/>
    <w:rsid w:val="004305E2"/>
    <w:rsid w:val="00430ADC"/>
    <w:rsid w:val="00431742"/>
    <w:rsid w:val="00431758"/>
    <w:rsid w:val="00431770"/>
    <w:rsid w:val="00431A01"/>
    <w:rsid w:val="00432211"/>
    <w:rsid w:val="0043224D"/>
    <w:rsid w:val="00432E39"/>
    <w:rsid w:val="004336EC"/>
    <w:rsid w:val="00433875"/>
    <w:rsid w:val="00434056"/>
    <w:rsid w:val="00434E99"/>
    <w:rsid w:val="00435012"/>
    <w:rsid w:val="0043549A"/>
    <w:rsid w:val="00435855"/>
    <w:rsid w:val="00435E43"/>
    <w:rsid w:val="00436776"/>
    <w:rsid w:val="004368A7"/>
    <w:rsid w:val="00437565"/>
    <w:rsid w:val="0044046C"/>
    <w:rsid w:val="00440473"/>
    <w:rsid w:val="004421CD"/>
    <w:rsid w:val="0044274A"/>
    <w:rsid w:val="00443261"/>
    <w:rsid w:val="00443FD5"/>
    <w:rsid w:val="00443FE8"/>
    <w:rsid w:val="00444271"/>
    <w:rsid w:val="004445A3"/>
    <w:rsid w:val="00444927"/>
    <w:rsid w:val="004452FB"/>
    <w:rsid w:val="00445EF3"/>
    <w:rsid w:val="00446A38"/>
    <w:rsid w:val="00446A7A"/>
    <w:rsid w:val="00447694"/>
    <w:rsid w:val="00450B7B"/>
    <w:rsid w:val="00450F59"/>
    <w:rsid w:val="00451386"/>
    <w:rsid w:val="0045156E"/>
    <w:rsid w:val="0045192C"/>
    <w:rsid w:val="00451EC5"/>
    <w:rsid w:val="00451F3A"/>
    <w:rsid w:val="00452A7C"/>
    <w:rsid w:val="00452B1B"/>
    <w:rsid w:val="00452E54"/>
    <w:rsid w:val="00453085"/>
    <w:rsid w:val="00454309"/>
    <w:rsid w:val="0045542A"/>
    <w:rsid w:val="00455594"/>
    <w:rsid w:val="00455DEB"/>
    <w:rsid w:val="0045608B"/>
    <w:rsid w:val="00456119"/>
    <w:rsid w:val="00456B74"/>
    <w:rsid w:val="004604BD"/>
    <w:rsid w:val="004616AF"/>
    <w:rsid w:val="00461FA5"/>
    <w:rsid w:val="00462DA2"/>
    <w:rsid w:val="0046357F"/>
    <w:rsid w:val="00463C2A"/>
    <w:rsid w:val="00463CFB"/>
    <w:rsid w:val="00464E04"/>
    <w:rsid w:val="00464E53"/>
    <w:rsid w:val="00464E8F"/>
    <w:rsid w:val="00465270"/>
    <w:rsid w:val="00465962"/>
    <w:rsid w:val="00466535"/>
    <w:rsid w:val="00467434"/>
    <w:rsid w:val="00467BD9"/>
    <w:rsid w:val="00467EF9"/>
    <w:rsid w:val="004700FA"/>
    <w:rsid w:val="0047055F"/>
    <w:rsid w:val="0047201E"/>
    <w:rsid w:val="004723C5"/>
    <w:rsid w:val="00473D3B"/>
    <w:rsid w:val="00474A2F"/>
    <w:rsid w:val="00474C3F"/>
    <w:rsid w:val="00475928"/>
    <w:rsid w:val="00475F83"/>
    <w:rsid w:val="004761C4"/>
    <w:rsid w:val="004761EB"/>
    <w:rsid w:val="004768C4"/>
    <w:rsid w:val="004772DE"/>
    <w:rsid w:val="0048007E"/>
    <w:rsid w:val="0048191D"/>
    <w:rsid w:val="00481DD2"/>
    <w:rsid w:val="0048226A"/>
    <w:rsid w:val="004825EF"/>
    <w:rsid w:val="00482772"/>
    <w:rsid w:val="0048469A"/>
    <w:rsid w:val="004855FB"/>
    <w:rsid w:val="004856B5"/>
    <w:rsid w:val="0048667C"/>
    <w:rsid w:val="00487CAD"/>
    <w:rsid w:val="0049120C"/>
    <w:rsid w:val="0049155F"/>
    <w:rsid w:val="00492338"/>
    <w:rsid w:val="0049239B"/>
    <w:rsid w:val="004928C3"/>
    <w:rsid w:val="004928ED"/>
    <w:rsid w:val="00493633"/>
    <w:rsid w:val="00494375"/>
    <w:rsid w:val="0049450C"/>
    <w:rsid w:val="004947C6"/>
    <w:rsid w:val="004948DE"/>
    <w:rsid w:val="00495608"/>
    <w:rsid w:val="00496829"/>
    <w:rsid w:val="00497CB1"/>
    <w:rsid w:val="004A0102"/>
    <w:rsid w:val="004A086D"/>
    <w:rsid w:val="004A0EE0"/>
    <w:rsid w:val="004A1647"/>
    <w:rsid w:val="004A1ED7"/>
    <w:rsid w:val="004A2469"/>
    <w:rsid w:val="004A2763"/>
    <w:rsid w:val="004A2C9F"/>
    <w:rsid w:val="004A42FB"/>
    <w:rsid w:val="004A4565"/>
    <w:rsid w:val="004A5AB1"/>
    <w:rsid w:val="004A6338"/>
    <w:rsid w:val="004A66BE"/>
    <w:rsid w:val="004A6806"/>
    <w:rsid w:val="004A692F"/>
    <w:rsid w:val="004A6A50"/>
    <w:rsid w:val="004A6E95"/>
    <w:rsid w:val="004A759C"/>
    <w:rsid w:val="004A78C0"/>
    <w:rsid w:val="004A7BA8"/>
    <w:rsid w:val="004A7D73"/>
    <w:rsid w:val="004A7ECB"/>
    <w:rsid w:val="004B1B8A"/>
    <w:rsid w:val="004B2274"/>
    <w:rsid w:val="004B2D23"/>
    <w:rsid w:val="004B35F4"/>
    <w:rsid w:val="004B392D"/>
    <w:rsid w:val="004B3E77"/>
    <w:rsid w:val="004B3E7C"/>
    <w:rsid w:val="004B6A39"/>
    <w:rsid w:val="004B6CCA"/>
    <w:rsid w:val="004B7BB3"/>
    <w:rsid w:val="004B7BC7"/>
    <w:rsid w:val="004B7F3C"/>
    <w:rsid w:val="004C09FC"/>
    <w:rsid w:val="004C0F2F"/>
    <w:rsid w:val="004C1498"/>
    <w:rsid w:val="004C1E85"/>
    <w:rsid w:val="004C2069"/>
    <w:rsid w:val="004C2A5C"/>
    <w:rsid w:val="004C2DE6"/>
    <w:rsid w:val="004C30BE"/>
    <w:rsid w:val="004C3B0E"/>
    <w:rsid w:val="004C45E6"/>
    <w:rsid w:val="004C467F"/>
    <w:rsid w:val="004C4B8F"/>
    <w:rsid w:val="004C5250"/>
    <w:rsid w:val="004C5512"/>
    <w:rsid w:val="004C574A"/>
    <w:rsid w:val="004C5E6D"/>
    <w:rsid w:val="004C6590"/>
    <w:rsid w:val="004C666D"/>
    <w:rsid w:val="004C6D6F"/>
    <w:rsid w:val="004C6E58"/>
    <w:rsid w:val="004C7028"/>
    <w:rsid w:val="004D0C3C"/>
    <w:rsid w:val="004D17D1"/>
    <w:rsid w:val="004D1B50"/>
    <w:rsid w:val="004D1F16"/>
    <w:rsid w:val="004D299F"/>
    <w:rsid w:val="004D339B"/>
    <w:rsid w:val="004D33D8"/>
    <w:rsid w:val="004D3503"/>
    <w:rsid w:val="004D36B1"/>
    <w:rsid w:val="004D38C6"/>
    <w:rsid w:val="004D3A27"/>
    <w:rsid w:val="004D4193"/>
    <w:rsid w:val="004D4C90"/>
    <w:rsid w:val="004D4E34"/>
    <w:rsid w:val="004D609D"/>
    <w:rsid w:val="004D70F5"/>
    <w:rsid w:val="004D75C1"/>
    <w:rsid w:val="004D7E76"/>
    <w:rsid w:val="004E02ED"/>
    <w:rsid w:val="004E044D"/>
    <w:rsid w:val="004E0A90"/>
    <w:rsid w:val="004E1914"/>
    <w:rsid w:val="004E255E"/>
    <w:rsid w:val="004E2BBC"/>
    <w:rsid w:val="004E30F3"/>
    <w:rsid w:val="004E3816"/>
    <w:rsid w:val="004E38C6"/>
    <w:rsid w:val="004E3C34"/>
    <w:rsid w:val="004E470D"/>
    <w:rsid w:val="004E55D3"/>
    <w:rsid w:val="004E69E0"/>
    <w:rsid w:val="004E72C7"/>
    <w:rsid w:val="004E77F6"/>
    <w:rsid w:val="004E7FDB"/>
    <w:rsid w:val="004F030D"/>
    <w:rsid w:val="004F039A"/>
    <w:rsid w:val="004F1F48"/>
    <w:rsid w:val="004F1FF1"/>
    <w:rsid w:val="004F2FA6"/>
    <w:rsid w:val="004F33B7"/>
    <w:rsid w:val="004F353C"/>
    <w:rsid w:val="004F4348"/>
    <w:rsid w:val="004F4957"/>
    <w:rsid w:val="004F5749"/>
    <w:rsid w:val="004F5F41"/>
    <w:rsid w:val="004F62FD"/>
    <w:rsid w:val="004F7437"/>
    <w:rsid w:val="004F78C8"/>
    <w:rsid w:val="00500C6D"/>
    <w:rsid w:val="00501129"/>
    <w:rsid w:val="00501843"/>
    <w:rsid w:val="005037C0"/>
    <w:rsid w:val="00505F3B"/>
    <w:rsid w:val="005061D7"/>
    <w:rsid w:val="00506252"/>
    <w:rsid w:val="00506C39"/>
    <w:rsid w:val="00506EC2"/>
    <w:rsid w:val="0050720C"/>
    <w:rsid w:val="00507F1B"/>
    <w:rsid w:val="00510FD9"/>
    <w:rsid w:val="00511A34"/>
    <w:rsid w:val="00511E5D"/>
    <w:rsid w:val="00513420"/>
    <w:rsid w:val="005134BB"/>
    <w:rsid w:val="005138FC"/>
    <w:rsid w:val="00513B95"/>
    <w:rsid w:val="00513BE1"/>
    <w:rsid w:val="00513F8B"/>
    <w:rsid w:val="00514167"/>
    <w:rsid w:val="00514668"/>
    <w:rsid w:val="00514865"/>
    <w:rsid w:val="005149DB"/>
    <w:rsid w:val="0051519E"/>
    <w:rsid w:val="005159F5"/>
    <w:rsid w:val="00515FC2"/>
    <w:rsid w:val="00516518"/>
    <w:rsid w:val="00516E41"/>
    <w:rsid w:val="00517822"/>
    <w:rsid w:val="005206D5"/>
    <w:rsid w:val="00521608"/>
    <w:rsid w:val="005217ED"/>
    <w:rsid w:val="00521BBB"/>
    <w:rsid w:val="00521D66"/>
    <w:rsid w:val="00522085"/>
    <w:rsid w:val="005228A3"/>
    <w:rsid w:val="00522C07"/>
    <w:rsid w:val="00522C4F"/>
    <w:rsid w:val="00522F16"/>
    <w:rsid w:val="00523062"/>
    <w:rsid w:val="00523348"/>
    <w:rsid w:val="00523A21"/>
    <w:rsid w:val="00524122"/>
    <w:rsid w:val="00524FF2"/>
    <w:rsid w:val="00525226"/>
    <w:rsid w:val="0052574F"/>
    <w:rsid w:val="00526466"/>
    <w:rsid w:val="005271BF"/>
    <w:rsid w:val="00527C58"/>
    <w:rsid w:val="00527CC7"/>
    <w:rsid w:val="00530352"/>
    <w:rsid w:val="005307B5"/>
    <w:rsid w:val="00530DF9"/>
    <w:rsid w:val="00531281"/>
    <w:rsid w:val="00531654"/>
    <w:rsid w:val="00531AAA"/>
    <w:rsid w:val="00531D90"/>
    <w:rsid w:val="0053246E"/>
    <w:rsid w:val="00533430"/>
    <w:rsid w:val="00534411"/>
    <w:rsid w:val="00534A34"/>
    <w:rsid w:val="00534BD4"/>
    <w:rsid w:val="00535E8C"/>
    <w:rsid w:val="00536027"/>
    <w:rsid w:val="005364BF"/>
    <w:rsid w:val="005365AB"/>
    <w:rsid w:val="00536882"/>
    <w:rsid w:val="00536BC0"/>
    <w:rsid w:val="00536EA8"/>
    <w:rsid w:val="00537916"/>
    <w:rsid w:val="0053796E"/>
    <w:rsid w:val="00537EE5"/>
    <w:rsid w:val="00540936"/>
    <w:rsid w:val="0054141A"/>
    <w:rsid w:val="0054147B"/>
    <w:rsid w:val="00541CB0"/>
    <w:rsid w:val="00543862"/>
    <w:rsid w:val="00543B27"/>
    <w:rsid w:val="005444A8"/>
    <w:rsid w:val="00545746"/>
    <w:rsid w:val="00545A14"/>
    <w:rsid w:val="00545DEC"/>
    <w:rsid w:val="00546472"/>
    <w:rsid w:val="005466D0"/>
    <w:rsid w:val="0054689F"/>
    <w:rsid w:val="00547841"/>
    <w:rsid w:val="00547D1F"/>
    <w:rsid w:val="005512E3"/>
    <w:rsid w:val="005512EC"/>
    <w:rsid w:val="00551B7D"/>
    <w:rsid w:val="00551D10"/>
    <w:rsid w:val="005531B3"/>
    <w:rsid w:val="00553522"/>
    <w:rsid w:val="005539D6"/>
    <w:rsid w:val="005546E0"/>
    <w:rsid w:val="00555473"/>
    <w:rsid w:val="0055556A"/>
    <w:rsid w:val="005557D3"/>
    <w:rsid w:val="005562F1"/>
    <w:rsid w:val="0055662F"/>
    <w:rsid w:val="0055710E"/>
    <w:rsid w:val="005572AD"/>
    <w:rsid w:val="0055746A"/>
    <w:rsid w:val="00561A33"/>
    <w:rsid w:val="00561B91"/>
    <w:rsid w:val="00561C39"/>
    <w:rsid w:val="00562267"/>
    <w:rsid w:val="00562F60"/>
    <w:rsid w:val="005654BB"/>
    <w:rsid w:val="0056631F"/>
    <w:rsid w:val="00566611"/>
    <w:rsid w:val="00567ED4"/>
    <w:rsid w:val="005717C1"/>
    <w:rsid w:val="00571B83"/>
    <w:rsid w:val="00571CDC"/>
    <w:rsid w:val="00571EE6"/>
    <w:rsid w:val="00572289"/>
    <w:rsid w:val="00572842"/>
    <w:rsid w:val="005728E6"/>
    <w:rsid w:val="00572C83"/>
    <w:rsid w:val="00572D68"/>
    <w:rsid w:val="00572E5D"/>
    <w:rsid w:val="00573100"/>
    <w:rsid w:val="00573780"/>
    <w:rsid w:val="00573D94"/>
    <w:rsid w:val="00573F40"/>
    <w:rsid w:val="0057428C"/>
    <w:rsid w:val="0057441C"/>
    <w:rsid w:val="00574FBA"/>
    <w:rsid w:val="00575DA1"/>
    <w:rsid w:val="00575EBA"/>
    <w:rsid w:val="00575EEF"/>
    <w:rsid w:val="0057620E"/>
    <w:rsid w:val="005767D5"/>
    <w:rsid w:val="00576A2C"/>
    <w:rsid w:val="0057709A"/>
    <w:rsid w:val="00580400"/>
    <w:rsid w:val="00580EB5"/>
    <w:rsid w:val="00580F71"/>
    <w:rsid w:val="005812EB"/>
    <w:rsid w:val="00581AAE"/>
    <w:rsid w:val="00581EFA"/>
    <w:rsid w:val="0058263A"/>
    <w:rsid w:val="00582BAE"/>
    <w:rsid w:val="00582D38"/>
    <w:rsid w:val="005838C2"/>
    <w:rsid w:val="00583BC3"/>
    <w:rsid w:val="0058495D"/>
    <w:rsid w:val="0058587F"/>
    <w:rsid w:val="005863DB"/>
    <w:rsid w:val="005869A2"/>
    <w:rsid w:val="005871E5"/>
    <w:rsid w:val="00587DF0"/>
    <w:rsid w:val="005904DB"/>
    <w:rsid w:val="00590F19"/>
    <w:rsid w:val="00591175"/>
    <w:rsid w:val="00591586"/>
    <w:rsid w:val="00591ACD"/>
    <w:rsid w:val="00591D72"/>
    <w:rsid w:val="005920D1"/>
    <w:rsid w:val="00592F68"/>
    <w:rsid w:val="005932F8"/>
    <w:rsid w:val="00593711"/>
    <w:rsid w:val="0059379C"/>
    <w:rsid w:val="00593A06"/>
    <w:rsid w:val="00593B09"/>
    <w:rsid w:val="00593EB2"/>
    <w:rsid w:val="00594025"/>
    <w:rsid w:val="00594953"/>
    <w:rsid w:val="00595362"/>
    <w:rsid w:val="00595BB1"/>
    <w:rsid w:val="00596250"/>
    <w:rsid w:val="00596A82"/>
    <w:rsid w:val="00597892"/>
    <w:rsid w:val="005979C3"/>
    <w:rsid w:val="005A0173"/>
    <w:rsid w:val="005A0DCA"/>
    <w:rsid w:val="005A0EAF"/>
    <w:rsid w:val="005A0F89"/>
    <w:rsid w:val="005A14C6"/>
    <w:rsid w:val="005A1574"/>
    <w:rsid w:val="005A1B14"/>
    <w:rsid w:val="005A3156"/>
    <w:rsid w:val="005A3482"/>
    <w:rsid w:val="005A3A84"/>
    <w:rsid w:val="005A3DAE"/>
    <w:rsid w:val="005A43EB"/>
    <w:rsid w:val="005A47B4"/>
    <w:rsid w:val="005A5D55"/>
    <w:rsid w:val="005A5FBA"/>
    <w:rsid w:val="005A6104"/>
    <w:rsid w:val="005A6641"/>
    <w:rsid w:val="005B0936"/>
    <w:rsid w:val="005B0CB9"/>
    <w:rsid w:val="005B0F5F"/>
    <w:rsid w:val="005B1085"/>
    <w:rsid w:val="005B1AEB"/>
    <w:rsid w:val="005B2F8F"/>
    <w:rsid w:val="005B4460"/>
    <w:rsid w:val="005B50C5"/>
    <w:rsid w:val="005B527D"/>
    <w:rsid w:val="005B5B8A"/>
    <w:rsid w:val="005B5F74"/>
    <w:rsid w:val="005B66C4"/>
    <w:rsid w:val="005B6B93"/>
    <w:rsid w:val="005B6BF9"/>
    <w:rsid w:val="005B6E45"/>
    <w:rsid w:val="005B7806"/>
    <w:rsid w:val="005B7A15"/>
    <w:rsid w:val="005B7EA7"/>
    <w:rsid w:val="005C0B0B"/>
    <w:rsid w:val="005C1691"/>
    <w:rsid w:val="005C178F"/>
    <w:rsid w:val="005C2134"/>
    <w:rsid w:val="005C2540"/>
    <w:rsid w:val="005C2B70"/>
    <w:rsid w:val="005C32F6"/>
    <w:rsid w:val="005C3648"/>
    <w:rsid w:val="005C3AA8"/>
    <w:rsid w:val="005C4336"/>
    <w:rsid w:val="005C44A6"/>
    <w:rsid w:val="005C47FE"/>
    <w:rsid w:val="005C551C"/>
    <w:rsid w:val="005C60A2"/>
    <w:rsid w:val="005C64AA"/>
    <w:rsid w:val="005C6C62"/>
    <w:rsid w:val="005C6E20"/>
    <w:rsid w:val="005C6FF6"/>
    <w:rsid w:val="005D04AD"/>
    <w:rsid w:val="005D1544"/>
    <w:rsid w:val="005D2E70"/>
    <w:rsid w:val="005D39EF"/>
    <w:rsid w:val="005D3EFE"/>
    <w:rsid w:val="005D4333"/>
    <w:rsid w:val="005D56ED"/>
    <w:rsid w:val="005D5921"/>
    <w:rsid w:val="005D6A6A"/>
    <w:rsid w:val="005D7E7F"/>
    <w:rsid w:val="005E025F"/>
    <w:rsid w:val="005E0CB3"/>
    <w:rsid w:val="005E1856"/>
    <w:rsid w:val="005E188A"/>
    <w:rsid w:val="005E18C8"/>
    <w:rsid w:val="005E1AF1"/>
    <w:rsid w:val="005E21DC"/>
    <w:rsid w:val="005E2FD6"/>
    <w:rsid w:val="005E30AA"/>
    <w:rsid w:val="005E33D0"/>
    <w:rsid w:val="005E359F"/>
    <w:rsid w:val="005E36F2"/>
    <w:rsid w:val="005E474F"/>
    <w:rsid w:val="005E47A2"/>
    <w:rsid w:val="005E4DDA"/>
    <w:rsid w:val="005E51D7"/>
    <w:rsid w:val="005E600B"/>
    <w:rsid w:val="005E6683"/>
    <w:rsid w:val="005E6F92"/>
    <w:rsid w:val="005E7099"/>
    <w:rsid w:val="005E7D45"/>
    <w:rsid w:val="005E7E4A"/>
    <w:rsid w:val="005E7FD2"/>
    <w:rsid w:val="005F000A"/>
    <w:rsid w:val="005F00AE"/>
    <w:rsid w:val="005F068B"/>
    <w:rsid w:val="005F0BDA"/>
    <w:rsid w:val="005F0C1E"/>
    <w:rsid w:val="005F20CC"/>
    <w:rsid w:val="005F2236"/>
    <w:rsid w:val="005F2803"/>
    <w:rsid w:val="005F2929"/>
    <w:rsid w:val="005F293C"/>
    <w:rsid w:val="005F2DA8"/>
    <w:rsid w:val="005F353C"/>
    <w:rsid w:val="005F416E"/>
    <w:rsid w:val="005F4D43"/>
    <w:rsid w:val="005F562C"/>
    <w:rsid w:val="005F5F4E"/>
    <w:rsid w:val="005F64D9"/>
    <w:rsid w:val="005F7132"/>
    <w:rsid w:val="00600690"/>
    <w:rsid w:val="00600D28"/>
    <w:rsid w:val="0060208D"/>
    <w:rsid w:val="0060231E"/>
    <w:rsid w:val="00602398"/>
    <w:rsid w:val="006033F9"/>
    <w:rsid w:val="00603454"/>
    <w:rsid w:val="0060394D"/>
    <w:rsid w:val="00603977"/>
    <w:rsid w:val="00603FA8"/>
    <w:rsid w:val="0060441F"/>
    <w:rsid w:val="0060549A"/>
    <w:rsid w:val="006058E2"/>
    <w:rsid w:val="00605BDD"/>
    <w:rsid w:val="00606420"/>
    <w:rsid w:val="00606442"/>
    <w:rsid w:val="00606791"/>
    <w:rsid w:val="0061098E"/>
    <w:rsid w:val="00610AE3"/>
    <w:rsid w:val="00610E34"/>
    <w:rsid w:val="00610E52"/>
    <w:rsid w:val="00611227"/>
    <w:rsid w:val="006112E2"/>
    <w:rsid w:val="006117F6"/>
    <w:rsid w:val="006118C1"/>
    <w:rsid w:val="00611A66"/>
    <w:rsid w:val="00611BCF"/>
    <w:rsid w:val="00611EEF"/>
    <w:rsid w:val="006137D9"/>
    <w:rsid w:val="006139B8"/>
    <w:rsid w:val="00614253"/>
    <w:rsid w:val="006147E0"/>
    <w:rsid w:val="00615251"/>
    <w:rsid w:val="0061548E"/>
    <w:rsid w:val="006156F7"/>
    <w:rsid w:val="00615C79"/>
    <w:rsid w:val="00616416"/>
    <w:rsid w:val="00616DFC"/>
    <w:rsid w:val="006176C5"/>
    <w:rsid w:val="0062024B"/>
    <w:rsid w:val="0062037B"/>
    <w:rsid w:val="00620A3F"/>
    <w:rsid w:val="00621E29"/>
    <w:rsid w:val="00622643"/>
    <w:rsid w:val="00623D31"/>
    <w:rsid w:val="006251E3"/>
    <w:rsid w:val="0062553E"/>
    <w:rsid w:val="00625FD7"/>
    <w:rsid w:val="006263CC"/>
    <w:rsid w:val="00626605"/>
    <w:rsid w:val="006266B4"/>
    <w:rsid w:val="00627B4F"/>
    <w:rsid w:val="00630546"/>
    <w:rsid w:val="00630591"/>
    <w:rsid w:val="006310F2"/>
    <w:rsid w:val="006312EF"/>
    <w:rsid w:val="006317EB"/>
    <w:rsid w:val="00631A10"/>
    <w:rsid w:val="00632CE9"/>
    <w:rsid w:val="00633592"/>
    <w:rsid w:val="006335DC"/>
    <w:rsid w:val="00633A8A"/>
    <w:rsid w:val="006340A5"/>
    <w:rsid w:val="00634243"/>
    <w:rsid w:val="00634729"/>
    <w:rsid w:val="00634A59"/>
    <w:rsid w:val="00634A64"/>
    <w:rsid w:val="00635DBC"/>
    <w:rsid w:val="00635FA1"/>
    <w:rsid w:val="006361B6"/>
    <w:rsid w:val="00636381"/>
    <w:rsid w:val="0063698B"/>
    <w:rsid w:val="0063720D"/>
    <w:rsid w:val="006379C5"/>
    <w:rsid w:val="0064069C"/>
    <w:rsid w:val="006406DC"/>
    <w:rsid w:val="006416DA"/>
    <w:rsid w:val="00641725"/>
    <w:rsid w:val="006419FC"/>
    <w:rsid w:val="00641B1D"/>
    <w:rsid w:val="00641FAF"/>
    <w:rsid w:val="0064250A"/>
    <w:rsid w:val="00642BF2"/>
    <w:rsid w:val="00643ADF"/>
    <w:rsid w:val="00643E46"/>
    <w:rsid w:val="00644A6B"/>
    <w:rsid w:val="00644EEE"/>
    <w:rsid w:val="00645B77"/>
    <w:rsid w:val="0064607F"/>
    <w:rsid w:val="006466F8"/>
    <w:rsid w:val="00647A9C"/>
    <w:rsid w:val="00647C8F"/>
    <w:rsid w:val="00647ED5"/>
    <w:rsid w:val="00650008"/>
    <w:rsid w:val="00650402"/>
    <w:rsid w:val="00650CD9"/>
    <w:rsid w:val="0065115D"/>
    <w:rsid w:val="0065155D"/>
    <w:rsid w:val="006525BC"/>
    <w:rsid w:val="00652B88"/>
    <w:rsid w:val="00652EFD"/>
    <w:rsid w:val="00652F08"/>
    <w:rsid w:val="00653C57"/>
    <w:rsid w:val="00654178"/>
    <w:rsid w:val="006543A8"/>
    <w:rsid w:val="006543AC"/>
    <w:rsid w:val="00655DDF"/>
    <w:rsid w:val="00656815"/>
    <w:rsid w:val="00657447"/>
    <w:rsid w:val="00657825"/>
    <w:rsid w:val="0065798F"/>
    <w:rsid w:val="006610C7"/>
    <w:rsid w:val="0066433D"/>
    <w:rsid w:val="00664388"/>
    <w:rsid w:val="00664FC6"/>
    <w:rsid w:val="00665237"/>
    <w:rsid w:val="00665658"/>
    <w:rsid w:val="006660A3"/>
    <w:rsid w:val="00666D91"/>
    <w:rsid w:val="00667E6E"/>
    <w:rsid w:val="00667EB6"/>
    <w:rsid w:val="006717D9"/>
    <w:rsid w:val="0067191C"/>
    <w:rsid w:val="00671F82"/>
    <w:rsid w:val="0067202D"/>
    <w:rsid w:val="00672A90"/>
    <w:rsid w:val="00674A37"/>
    <w:rsid w:val="00675636"/>
    <w:rsid w:val="00675DC9"/>
    <w:rsid w:val="00676475"/>
    <w:rsid w:val="006771B9"/>
    <w:rsid w:val="00677222"/>
    <w:rsid w:val="0067794F"/>
    <w:rsid w:val="00681500"/>
    <w:rsid w:val="00681AE4"/>
    <w:rsid w:val="00681C00"/>
    <w:rsid w:val="00682C90"/>
    <w:rsid w:val="00682D53"/>
    <w:rsid w:val="00683387"/>
    <w:rsid w:val="0068356C"/>
    <w:rsid w:val="00683B8F"/>
    <w:rsid w:val="00684519"/>
    <w:rsid w:val="006846C8"/>
    <w:rsid w:val="006852C8"/>
    <w:rsid w:val="006852E8"/>
    <w:rsid w:val="00686FE9"/>
    <w:rsid w:val="0068762C"/>
    <w:rsid w:val="00687F4B"/>
    <w:rsid w:val="00690627"/>
    <w:rsid w:val="00691140"/>
    <w:rsid w:val="00691217"/>
    <w:rsid w:val="006915E5"/>
    <w:rsid w:val="00692264"/>
    <w:rsid w:val="006938AC"/>
    <w:rsid w:val="00693BE4"/>
    <w:rsid w:val="006940AF"/>
    <w:rsid w:val="00694561"/>
    <w:rsid w:val="006945BF"/>
    <w:rsid w:val="0069541C"/>
    <w:rsid w:val="006959B3"/>
    <w:rsid w:val="00695B52"/>
    <w:rsid w:val="006962C2"/>
    <w:rsid w:val="006970C8"/>
    <w:rsid w:val="00697600"/>
    <w:rsid w:val="00697AC8"/>
    <w:rsid w:val="006A0C47"/>
    <w:rsid w:val="006A0D46"/>
    <w:rsid w:val="006A0D74"/>
    <w:rsid w:val="006A1BC4"/>
    <w:rsid w:val="006A21D5"/>
    <w:rsid w:val="006A2752"/>
    <w:rsid w:val="006A2D84"/>
    <w:rsid w:val="006A4398"/>
    <w:rsid w:val="006A47E8"/>
    <w:rsid w:val="006A4802"/>
    <w:rsid w:val="006A488E"/>
    <w:rsid w:val="006A4970"/>
    <w:rsid w:val="006A5E75"/>
    <w:rsid w:val="006A5F54"/>
    <w:rsid w:val="006A5F6E"/>
    <w:rsid w:val="006A6369"/>
    <w:rsid w:val="006A6984"/>
    <w:rsid w:val="006A6BF4"/>
    <w:rsid w:val="006A71A0"/>
    <w:rsid w:val="006A74D3"/>
    <w:rsid w:val="006A7510"/>
    <w:rsid w:val="006A7EC7"/>
    <w:rsid w:val="006B1F78"/>
    <w:rsid w:val="006B1F7E"/>
    <w:rsid w:val="006B2012"/>
    <w:rsid w:val="006B2508"/>
    <w:rsid w:val="006B26E5"/>
    <w:rsid w:val="006B27B2"/>
    <w:rsid w:val="006B2E93"/>
    <w:rsid w:val="006B3F7E"/>
    <w:rsid w:val="006B4360"/>
    <w:rsid w:val="006B4F0B"/>
    <w:rsid w:val="006B589E"/>
    <w:rsid w:val="006B6B76"/>
    <w:rsid w:val="006B6E68"/>
    <w:rsid w:val="006B7553"/>
    <w:rsid w:val="006B7B72"/>
    <w:rsid w:val="006C09ED"/>
    <w:rsid w:val="006C0EF0"/>
    <w:rsid w:val="006C13BC"/>
    <w:rsid w:val="006C1AAC"/>
    <w:rsid w:val="006C236E"/>
    <w:rsid w:val="006C243C"/>
    <w:rsid w:val="006C336D"/>
    <w:rsid w:val="006C35F3"/>
    <w:rsid w:val="006C3D17"/>
    <w:rsid w:val="006C4CC0"/>
    <w:rsid w:val="006C5010"/>
    <w:rsid w:val="006C5083"/>
    <w:rsid w:val="006C5FCF"/>
    <w:rsid w:val="006C6031"/>
    <w:rsid w:val="006C62DD"/>
    <w:rsid w:val="006C690F"/>
    <w:rsid w:val="006C6988"/>
    <w:rsid w:val="006C699C"/>
    <w:rsid w:val="006C6A4B"/>
    <w:rsid w:val="006C6F07"/>
    <w:rsid w:val="006C7053"/>
    <w:rsid w:val="006D0AE3"/>
    <w:rsid w:val="006D1694"/>
    <w:rsid w:val="006D240E"/>
    <w:rsid w:val="006D273C"/>
    <w:rsid w:val="006D2F6B"/>
    <w:rsid w:val="006D30EF"/>
    <w:rsid w:val="006D3D7F"/>
    <w:rsid w:val="006D3DCC"/>
    <w:rsid w:val="006D41B8"/>
    <w:rsid w:val="006D4377"/>
    <w:rsid w:val="006D49BE"/>
    <w:rsid w:val="006D4F29"/>
    <w:rsid w:val="006D51C0"/>
    <w:rsid w:val="006D624A"/>
    <w:rsid w:val="006D6718"/>
    <w:rsid w:val="006D685E"/>
    <w:rsid w:val="006D6C62"/>
    <w:rsid w:val="006D7002"/>
    <w:rsid w:val="006D7075"/>
    <w:rsid w:val="006D70E0"/>
    <w:rsid w:val="006D7CB0"/>
    <w:rsid w:val="006E0095"/>
    <w:rsid w:val="006E0884"/>
    <w:rsid w:val="006E1A11"/>
    <w:rsid w:val="006E1BEA"/>
    <w:rsid w:val="006E1CBF"/>
    <w:rsid w:val="006E2023"/>
    <w:rsid w:val="006E2B56"/>
    <w:rsid w:val="006E3888"/>
    <w:rsid w:val="006E459D"/>
    <w:rsid w:val="006E4CDA"/>
    <w:rsid w:val="006E5136"/>
    <w:rsid w:val="006E55C3"/>
    <w:rsid w:val="006E56F8"/>
    <w:rsid w:val="006E6A55"/>
    <w:rsid w:val="006E73C7"/>
    <w:rsid w:val="006E7795"/>
    <w:rsid w:val="006F093C"/>
    <w:rsid w:val="006F0C47"/>
    <w:rsid w:val="006F1391"/>
    <w:rsid w:val="006F23BC"/>
    <w:rsid w:val="006F2476"/>
    <w:rsid w:val="006F3443"/>
    <w:rsid w:val="006F34F7"/>
    <w:rsid w:val="006F3E40"/>
    <w:rsid w:val="006F40B4"/>
    <w:rsid w:val="006F4580"/>
    <w:rsid w:val="006F45AC"/>
    <w:rsid w:val="006F45B4"/>
    <w:rsid w:val="006F4AF5"/>
    <w:rsid w:val="006F4B7D"/>
    <w:rsid w:val="006F522F"/>
    <w:rsid w:val="006F54A8"/>
    <w:rsid w:val="006F56FE"/>
    <w:rsid w:val="006F57C7"/>
    <w:rsid w:val="006F5982"/>
    <w:rsid w:val="006F6E4D"/>
    <w:rsid w:val="006F7076"/>
    <w:rsid w:val="006F7422"/>
    <w:rsid w:val="006F7F28"/>
    <w:rsid w:val="007000CD"/>
    <w:rsid w:val="0070086E"/>
    <w:rsid w:val="007010CA"/>
    <w:rsid w:val="007021AC"/>
    <w:rsid w:val="00702779"/>
    <w:rsid w:val="00703909"/>
    <w:rsid w:val="00704234"/>
    <w:rsid w:val="00704493"/>
    <w:rsid w:val="007048F6"/>
    <w:rsid w:val="00705405"/>
    <w:rsid w:val="0070543E"/>
    <w:rsid w:val="007060EA"/>
    <w:rsid w:val="0070726C"/>
    <w:rsid w:val="00707CCD"/>
    <w:rsid w:val="00710C08"/>
    <w:rsid w:val="0071130D"/>
    <w:rsid w:val="00711AB8"/>
    <w:rsid w:val="00711CBA"/>
    <w:rsid w:val="00711DD3"/>
    <w:rsid w:val="00711ED9"/>
    <w:rsid w:val="007121E6"/>
    <w:rsid w:val="00713133"/>
    <w:rsid w:val="00713907"/>
    <w:rsid w:val="007142DB"/>
    <w:rsid w:val="00714F8F"/>
    <w:rsid w:val="00715024"/>
    <w:rsid w:val="00715204"/>
    <w:rsid w:val="00715313"/>
    <w:rsid w:val="0071588B"/>
    <w:rsid w:val="00715B3E"/>
    <w:rsid w:val="00716138"/>
    <w:rsid w:val="007202A0"/>
    <w:rsid w:val="00720A0C"/>
    <w:rsid w:val="007213F6"/>
    <w:rsid w:val="00722242"/>
    <w:rsid w:val="007230B8"/>
    <w:rsid w:val="00723250"/>
    <w:rsid w:val="0072356C"/>
    <w:rsid w:val="00724A24"/>
    <w:rsid w:val="007254F2"/>
    <w:rsid w:val="0072595B"/>
    <w:rsid w:val="0072660B"/>
    <w:rsid w:val="00726739"/>
    <w:rsid w:val="007268B3"/>
    <w:rsid w:val="007271DD"/>
    <w:rsid w:val="00727BB8"/>
    <w:rsid w:val="0073076D"/>
    <w:rsid w:val="0073095E"/>
    <w:rsid w:val="00730C65"/>
    <w:rsid w:val="00733036"/>
    <w:rsid w:val="0073306B"/>
    <w:rsid w:val="0073388F"/>
    <w:rsid w:val="00734327"/>
    <w:rsid w:val="0073438F"/>
    <w:rsid w:val="007343D5"/>
    <w:rsid w:val="007345A5"/>
    <w:rsid w:val="007346D3"/>
    <w:rsid w:val="00735EF1"/>
    <w:rsid w:val="0073614B"/>
    <w:rsid w:val="00736C26"/>
    <w:rsid w:val="00741280"/>
    <w:rsid w:val="007415C0"/>
    <w:rsid w:val="00741D4A"/>
    <w:rsid w:val="0074204E"/>
    <w:rsid w:val="007422E4"/>
    <w:rsid w:val="007426CB"/>
    <w:rsid w:val="00742826"/>
    <w:rsid w:val="00743DBE"/>
    <w:rsid w:val="00744032"/>
    <w:rsid w:val="00744228"/>
    <w:rsid w:val="00744874"/>
    <w:rsid w:val="00745258"/>
    <w:rsid w:val="00746D99"/>
    <w:rsid w:val="00746FEC"/>
    <w:rsid w:val="00747267"/>
    <w:rsid w:val="00747DA7"/>
    <w:rsid w:val="00753561"/>
    <w:rsid w:val="00754C2A"/>
    <w:rsid w:val="00754C7F"/>
    <w:rsid w:val="0075530B"/>
    <w:rsid w:val="00755333"/>
    <w:rsid w:val="0075653C"/>
    <w:rsid w:val="00756788"/>
    <w:rsid w:val="007568D6"/>
    <w:rsid w:val="0075768B"/>
    <w:rsid w:val="007608DB"/>
    <w:rsid w:val="00760B61"/>
    <w:rsid w:val="007610FE"/>
    <w:rsid w:val="00761EC4"/>
    <w:rsid w:val="00763A8A"/>
    <w:rsid w:val="0076548F"/>
    <w:rsid w:val="00765538"/>
    <w:rsid w:val="007660BF"/>
    <w:rsid w:val="00766FC1"/>
    <w:rsid w:val="0076746D"/>
    <w:rsid w:val="00767D49"/>
    <w:rsid w:val="0077067A"/>
    <w:rsid w:val="00770707"/>
    <w:rsid w:val="0077202B"/>
    <w:rsid w:val="007728B1"/>
    <w:rsid w:val="00773047"/>
    <w:rsid w:val="00774087"/>
    <w:rsid w:val="007753FF"/>
    <w:rsid w:val="00775F84"/>
    <w:rsid w:val="007765CB"/>
    <w:rsid w:val="007767DF"/>
    <w:rsid w:val="00776825"/>
    <w:rsid w:val="00777016"/>
    <w:rsid w:val="007774D4"/>
    <w:rsid w:val="00777D1A"/>
    <w:rsid w:val="00777D9A"/>
    <w:rsid w:val="00780575"/>
    <w:rsid w:val="0078161C"/>
    <w:rsid w:val="00781E73"/>
    <w:rsid w:val="007832D3"/>
    <w:rsid w:val="007834F7"/>
    <w:rsid w:val="0078478F"/>
    <w:rsid w:val="00786880"/>
    <w:rsid w:val="00787B29"/>
    <w:rsid w:val="00787D60"/>
    <w:rsid w:val="00787D67"/>
    <w:rsid w:val="00791665"/>
    <w:rsid w:val="0079189A"/>
    <w:rsid w:val="007919E7"/>
    <w:rsid w:val="00793EF9"/>
    <w:rsid w:val="00794156"/>
    <w:rsid w:val="00794F88"/>
    <w:rsid w:val="00795057"/>
    <w:rsid w:val="007960B0"/>
    <w:rsid w:val="007962CE"/>
    <w:rsid w:val="007965A8"/>
    <w:rsid w:val="0079683B"/>
    <w:rsid w:val="00796869"/>
    <w:rsid w:val="00796B68"/>
    <w:rsid w:val="007A0BCF"/>
    <w:rsid w:val="007A12B2"/>
    <w:rsid w:val="007A13C1"/>
    <w:rsid w:val="007A1704"/>
    <w:rsid w:val="007A2819"/>
    <w:rsid w:val="007A2D76"/>
    <w:rsid w:val="007A310F"/>
    <w:rsid w:val="007A3636"/>
    <w:rsid w:val="007A4215"/>
    <w:rsid w:val="007A4A8E"/>
    <w:rsid w:val="007A53F5"/>
    <w:rsid w:val="007A57BA"/>
    <w:rsid w:val="007A6464"/>
    <w:rsid w:val="007A6740"/>
    <w:rsid w:val="007A7397"/>
    <w:rsid w:val="007A7AAD"/>
    <w:rsid w:val="007A7DBF"/>
    <w:rsid w:val="007B19EB"/>
    <w:rsid w:val="007B1E25"/>
    <w:rsid w:val="007B2150"/>
    <w:rsid w:val="007B325F"/>
    <w:rsid w:val="007B3A44"/>
    <w:rsid w:val="007B3DB9"/>
    <w:rsid w:val="007B4E24"/>
    <w:rsid w:val="007B6939"/>
    <w:rsid w:val="007B6A0A"/>
    <w:rsid w:val="007B7258"/>
    <w:rsid w:val="007B7C7B"/>
    <w:rsid w:val="007B7E0C"/>
    <w:rsid w:val="007C0995"/>
    <w:rsid w:val="007C18D3"/>
    <w:rsid w:val="007C19A9"/>
    <w:rsid w:val="007C1A06"/>
    <w:rsid w:val="007C1C3F"/>
    <w:rsid w:val="007C2253"/>
    <w:rsid w:val="007C22E1"/>
    <w:rsid w:val="007C39A1"/>
    <w:rsid w:val="007C3B29"/>
    <w:rsid w:val="007C4316"/>
    <w:rsid w:val="007C45E3"/>
    <w:rsid w:val="007C5809"/>
    <w:rsid w:val="007C5909"/>
    <w:rsid w:val="007C5E2B"/>
    <w:rsid w:val="007C5F30"/>
    <w:rsid w:val="007C5FAB"/>
    <w:rsid w:val="007C66AF"/>
    <w:rsid w:val="007C6745"/>
    <w:rsid w:val="007C7761"/>
    <w:rsid w:val="007D0568"/>
    <w:rsid w:val="007D16EE"/>
    <w:rsid w:val="007D17C4"/>
    <w:rsid w:val="007D1906"/>
    <w:rsid w:val="007D20C0"/>
    <w:rsid w:val="007D2D9A"/>
    <w:rsid w:val="007D47B0"/>
    <w:rsid w:val="007D4845"/>
    <w:rsid w:val="007D498B"/>
    <w:rsid w:val="007D49F7"/>
    <w:rsid w:val="007D5092"/>
    <w:rsid w:val="007D5B3B"/>
    <w:rsid w:val="007D6EE2"/>
    <w:rsid w:val="007E12D7"/>
    <w:rsid w:val="007E2C26"/>
    <w:rsid w:val="007E3E42"/>
    <w:rsid w:val="007E409D"/>
    <w:rsid w:val="007E4715"/>
    <w:rsid w:val="007E47AF"/>
    <w:rsid w:val="007E4AC2"/>
    <w:rsid w:val="007E62DA"/>
    <w:rsid w:val="007E6484"/>
    <w:rsid w:val="007E69EB"/>
    <w:rsid w:val="007E6CE9"/>
    <w:rsid w:val="007E6E82"/>
    <w:rsid w:val="007E7083"/>
    <w:rsid w:val="007F0ED8"/>
    <w:rsid w:val="007F1357"/>
    <w:rsid w:val="007F2A1A"/>
    <w:rsid w:val="007F2F5D"/>
    <w:rsid w:val="007F359E"/>
    <w:rsid w:val="007F3B0F"/>
    <w:rsid w:val="007F3D45"/>
    <w:rsid w:val="007F3E1A"/>
    <w:rsid w:val="007F441F"/>
    <w:rsid w:val="007F4ED1"/>
    <w:rsid w:val="007F5819"/>
    <w:rsid w:val="007F6396"/>
    <w:rsid w:val="007F6E9E"/>
    <w:rsid w:val="007F7066"/>
    <w:rsid w:val="008009C0"/>
    <w:rsid w:val="0080177A"/>
    <w:rsid w:val="00801D3D"/>
    <w:rsid w:val="00802392"/>
    <w:rsid w:val="00802739"/>
    <w:rsid w:val="00802933"/>
    <w:rsid w:val="00802B06"/>
    <w:rsid w:val="00802BCB"/>
    <w:rsid w:val="00802F62"/>
    <w:rsid w:val="0080342D"/>
    <w:rsid w:val="008034E8"/>
    <w:rsid w:val="008043A4"/>
    <w:rsid w:val="00804B8A"/>
    <w:rsid w:val="00805586"/>
    <w:rsid w:val="00805DD5"/>
    <w:rsid w:val="00806653"/>
    <w:rsid w:val="00807706"/>
    <w:rsid w:val="00807A3B"/>
    <w:rsid w:val="00810B97"/>
    <w:rsid w:val="008110F9"/>
    <w:rsid w:val="008116E1"/>
    <w:rsid w:val="00812D8F"/>
    <w:rsid w:val="00812E0B"/>
    <w:rsid w:val="0081367A"/>
    <w:rsid w:val="0081378F"/>
    <w:rsid w:val="008144DC"/>
    <w:rsid w:val="00815499"/>
    <w:rsid w:val="00815BD9"/>
    <w:rsid w:val="00815C55"/>
    <w:rsid w:val="00815DF6"/>
    <w:rsid w:val="00815E17"/>
    <w:rsid w:val="00815F6E"/>
    <w:rsid w:val="008163EA"/>
    <w:rsid w:val="00817427"/>
    <w:rsid w:val="00820056"/>
    <w:rsid w:val="00820829"/>
    <w:rsid w:val="00820A16"/>
    <w:rsid w:val="00820D2D"/>
    <w:rsid w:val="00820F1B"/>
    <w:rsid w:val="0082208C"/>
    <w:rsid w:val="008226FA"/>
    <w:rsid w:val="00822BCC"/>
    <w:rsid w:val="00822FD2"/>
    <w:rsid w:val="0082418C"/>
    <w:rsid w:val="0082567B"/>
    <w:rsid w:val="008258ED"/>
    <w:rsid w:val="00827429"/>
    <w:rsid w:val="00827EA9"/>
    <w:rsid w:val="00830573"/>
    <w:rsid w:val="008305C4"/>
    <w:rsid w:val="00831466"/>
    <w:rsid w:val="00831783"/>
    <w:rsid w:val="00831939"/>
    <w:rsid w:val="00832240"/>
    <w:rsid w:val="008323FD"/>
    <w:rsid w:val="00832C3C"/>
    <w:rsid w:val="00832C55"/>
    <w:rsid w:val="00832FA9"/>
    <w:rsid w:val="00834C87"/>
    <w:rsid w:val="0083541A"/>
    <w:rsid w:val="00835D23"/>
    <w:rsid w:val="00835E9B"/>
    <w:rsid w:val="008365D0"/>
    <w:rsid w:val="00836AF6"/>
    <w:rsid w:val="00836B2A"/>
    <w:rsid w:val="00836BDF"/>
    <w:rsid w:val="008404D7"/>
    <w:rsid w:val="008406B5"/>
    <w:rsid w:val="008407A8"/>
    <w:rsid w:val="00841FA1"/>
    <w:rsid w:val="008422E9"/>
    <w:rsid w:val="00842890"/>
    <w:rsid w:val="0084298F"/>
    <w:rsid w:val="00842E66"/>
    <w:rsid w:val="00843A59"/>
    <w:rsid w:val="00844172"/>
    <w:rsid w:val="0084417A"/>
    <w:rsid w:val="00844FCA"/>
    <w:rsid w:val="00844FCB"/>
    <w:rsid w:val="00845169"/>
    <w:rsid w:val="00845F41"/>
    <w:rsid w:val="0084601D"/>
    <w:rsid w:val="00846A94"/>
    <w:rsid w:val="008470A9"/>
    <w:rsid w:val="008472A5"/>
    <w:rsid w:val="008479F8"/>
    <w:rsid w:val="008504A2"/>
    <w:rsid w:val="008520DE"/>
    <w:rsid w:val="0085242C"/>
    <w:rsid w:val="0085261D"/>
    <w:rsid w:val="00853BB6"/>
    <w:rsid w:val="008545B8"/>
    <w:rsid w:val="008546F0"/>
    <w:rsid w:val="008553D8"/>
    <w:rsid w:val="00855C91"/>
    <w:rsid w:val="00856202"/>
    <w:rsid w:val="00856ABD"/>
    <w:rsid w:val="00860850"/>
    <w:rsid w:val="00860A08"/>
    <w:rsid w:val="00860DD6"/>
    <w:rsid w:val="00861082"/>
    <w:rsid w:val="00861650"/>
    <w:rsid w:val="00861AE4"/>
    <w:rsid w:val="00861E7B"/>
    <w:rsid w:val="00862C85"/>
    <w:rsid w:val="00862E7B"/>
    <w:rsid w:val="00862EE7"/>
    <w:rsid w:val="00863178"/>
    <w:rsid w:val="00863DB1"/>
    <w:rsid w:val="00863E64"/>
    <w:rsid w:val="00864225"/>
    <w:rsid w:val="008647E2"/>
    <w:rsid w:val="00864DDD"/>
    <w:rsid w:val="008654B2"/>
    <w:rsid w:val="0086566F"/>
    <w:rsid w:val="008656E3"/>
    <w:rsid w:val="008658C6"/>
    <w:rsid w:val="008666CE"/>
    <w:rsid w:val="00867105"/>
    <w:rsid w:val="008712AF"/>
    <w:rsid w:val="00871AB2"/>
    <w:rsid w:val="00871E81"/>
    <w:rsid w:val="008725F8"/>
    <w:rsid w:val="00872D2B"/>
    <w:rsid w:val="00873D63"/>
    <w:rsid w:val="008740DB"/>
    <w:rsid w:val="008744E8"/>
    <w:rsid w:val="008746DF"/>
    <w:rsid w:val="00875803"/>
    <w:rsid w:val="00875FD5"/>
    <w:rsid w:val="00875FF1"/>
    <w:rsid w:val="00876348"/>
    <w:rsid w:val="00876362"/>
    <w:rsid w:val="00876ED7"/>
    <w:rsid w:val="0087751A"/>
    <w:rsid w:val="00877A53"/>
    <w:rsid w:val="008808E3"/>
    <w:rsid w:val="00880B6E"/>
    <w:rsid w:val="00880DB9"/>
    <w:rsid w:val="0088152D"/>
    <w:rsid w:val="00881DB4"/>
    <w:rsid w:val="00881FF2"/>
    <w:rsid w:val="00882836"/>
    <w:rsid w:val="00883ABA"/>
    <w:rsid w:val="008845F8"/>
    <w:rsid w:val="00884B0E"/>
    <w:rsid w:val="00884DAF"/>
    <w:rsid w:val="008852D0"/>
    <w:rsid w:val="0088574B"/>
    <w:rsid w:val="00885C9C"/>
    <w:rsid w:val="00887082"/>
    <w:rsid w:val="0088745E"/>
    <w:rsid w:val="0088777F"/>
    <w:rsid w:val="00887B5C"/>
    <w:rsid w:val="008916B3"/>
    <w:rsid w:val="00891A7E"/>
    <w:rsid w:val="00892D61"/>
    <w:rsid w:val="008933A7"/>
    <w:rsid w:val="00893B6D"/>
    <w:rsid w:val="00893BA0"/>
    <w:rsid w:val="00893ED0"/>
    <w:rsid w:val="0089430E"/>
    <w:rsid w:val="008944D4"/>
    <w:rsid w:val="00894632"/>
    <w:rsid w:val="00894E1F"/>
    <w:rsid w:val="00896047"/>
    <w:rsid w:val="008965F2"/>
    <w:rsid w:val="00896A52"/>
    <w:rsid w:val="00896ADF"/>
    <w:rsid w:val="00897576"/>
    <w:rsid w:val="00897BF6"/>
    <w:rsid w:val="008A1EAE"/>
    <w:rsid w:val="008A250D"/>
    <w:rsid w:val="008A25F9"/>
    <w:rsid w:val="008A3000"/>
    <w:rsid w:val="008A37B6"/>
    <w:rsid w:val="008A4403"/>
    <w:rsid w:val="008A4479"/>
    <w:rsid w:val="008A529C"/>
    <w:rsid w:val="008A5632"/>
    <w:rsid w:val="008A6279"/>
    <w:rsid w:val="008A6E50"/>
    <w:rsid w:val="008A7029"/>
    <w:rsid w:val="008A7595"/>
    <w:rsid w:val="008B01C4"/>
    <w:rsid w:val="008B01D9"/>
    <w:rsid w:val="008B0825"/>
    <w:rsid w:val="008B0B04"/>
    <w:rsid w:val="008B36C5"/>
    <w:rsid w:val="008B3EB0"/>
    <w:rsid w:val="008B48D5"/>
    <w:rsid w:val="008B5970"/>
    <w:rsid w:val="008B6288"/>
    <w:rsid w:val="008B6D1E"/>
    <w:rsid w:val="008C0E33"/>
    <w:rsid w:val="008C13DA"/>
    <w:rsid w:val="008C1833"/>
    <w:rsid w:val="008C1E57"/>
    <w:rsid w:val="008C2EB1"/>
    <w:rsid w:val="008C37A3"/>
    <w:rsid w:val="008C3812"/>
    <w:rsid w:val="008C3B2F"/>
    <w:rsid w:val="008C3C2D"/>
    <w:rsid w:val="008C3D31"/>
    <w:rsid w:val="008C3EB8"/>
    <w:rsid w:val="008C4006"/>
    <w:rsid w:val="008C440F"/>
    <w:rsid w:val="008C5DB2"/>
    <w:rsid w:val="008C5E06"/>
    <w:rsid w:val="008C6F9C"/>
    <w:rsid w:val="008C705C"/>
    <w:rsid w:val="008C7288"/>
    <w:rsid w:val="008C73A0"/>
    <w:rsid w:val="008C77E8"/>
    <w:rsid w:val="008C780C"/>
    <w:rsid w:val="008C7C06"/>
    <w:rsid w:val="008D0FD1"/>
    <w:rsid w:val="008D192B"/>
    <w:rsid w:val="008D193C"/>
    <w:rsid w:val="008D2030"/>
    <w:rsid w:val="008D223A"/>
    <w:rsid w:val="008D2E97"/>
    <w:rsid w:val="008D328E"/>
    <w:rsid w:val="008D392A"/>
    <w:rsid w:val="008D3FE3"/>
    <w:rsid w:val="008D43A0"/>
    <w:rsid w:val="008D441D"/>
    <w:rsid w:val="008D4719"/>
    <w:rsid w:val="008D489E"/>
    <w:rsid w:val="008D53E7"/>
    <w:rsid w:val="008D592F"/>
    <w:rsid w:val="008D5A85"/>
    <w:rsid w:val="008D5E9A"/>
    <w:rsid w:val="008D600B"/>
    <w:rsid w:val="008D66BD"/>
    <w:rsid w:val="008D6A4D"/>
    <w:rsid w:val="008D6A68"/>
    <w:rsid w:val="008D6BC3"/>
    <w:rsid w:val="008D77C4"/>
    <w:rsid w:val="008D7840"/>
    <w:rsid w:val="008D7BF4"/>
    <w:rsid w:val="008E0EDB"/>
    <w:rsid w:val="008E1238"/>
    <w:rsid w:val="008E1692"/>
    <w:rsid w:val="008E2629"/>
    <w:rsid w:val="008E398E"/>
    <w:rsid w:val="008E3B21"/>
    <w:rsid w:val="008E5642"/>
    <w:rsid w:val="008E5EBE"/>
    <w:rsid w:val="008E69B5"/>
    <w:rsid w:val="008F0067"/>
    <w:rsid w:val="008F068F"/>
    <w:rsid w:val="008F0724"/>
    <w:rsid w:val="008F1A24"/>
    <w:rsid w:val="008F1B92"/>
    <w:rsid w:val="008F1BEB"/>
    <w:rsid w:val="008F1CC5"/>
    <w:rsid w:val="008F229B"/>
    <w:rsid w:val="008F32ED"/>
    <w:rsid w:val="008F38DA"/>
    <w:rsid w:val="008F393E"/>
    <w:rsid w:val="008F3D46"/>
    <w:rsid w:val="008F4E01"/>
    <w:rsid w:val="008F6776"/>
    <w:rsid w:val="008F788C"/>
    <w:rsid w:val="008F7901"/>
    <w:rsid w:val="00900225"/>
    <w:rsid w:val="00900962"/>
    <w:rsid w:val="00900B41"/>
    <w:rsid w:val="00900DF9"/>
    <w:rsid w:val="00900E34"/>
    <w:rsid w:val="00900FA8"/>
    <w:rsid w:val="00901304"/>
    <w:rsid w:val="0090136D"/>
    <w:rsid w:val="00902053"/>
    <w:rsid w:val="009028F9"/>
    <w:rsid w:val="009029A6"/>
    <w:rsid w:val="00902FB5"/>
    <w:rsid w:val="00904D95"/>
    <w:rsid w:val="009055E3"/>
    <w:rsid w:val="00905B29"/>
    <w:rsid w:val="00906A87"/>
    <w:rsid w:val="00906C76"/>
    <w:rsid w:val="0090770D"/>
    <w:rsid w:val="0091030D"/>
    <w:rsid w:val="00911D57"/>
    <w:rsid w:val="00911DD4"/>
    <w:rsid w:val="00912207"/>
    <w:rsid w:val="00912DB5"/>
    <w:rsid w:val="009139CE"/>
    <w:rsid w:val="00913AE2"/>
    <w:rsid w:val="00913B86"/>
    <w:rsid w:val="0091475B"/>
    <w:rsid w:val="00914D60"/>
    <w:rsid w:val="00915426"/>
    <w:rsid w:val="0091783F"/>
    <w:rsid w:val="00920AF3"/>
    <w:rsid w:val="00922586"/>
    <w:rsid w:val="00922A3E"/>
    <w:rsid w:val="00922A4C"/>
    <w:rsid w:val="00922AE7"/>
    <w:rsid w:val="0092344E"/>
    <w:rsid w:val="00923736"/>
    <w:rsid w:val="00923942"/>
    <w:rsid w:val="009244C7"/>
    <w:rsid w:val="00924E5A"/>
    <w:rsid w:val="00925B21"/>
    <w:rsid w:val="00925D23"/>
    <w:rsid w:val="0092616C"/>
    <w:rsid w:val="00926244"/>
    <w:rsid w:val="00926C73"/>
    <w:rsid w:val="00927BB3"/>
    <w:rsid w:val="0093044A"/>
    <w:rsid w:val="009304DE"/>
    <w:rsid w:val="009304F5"/>
    <w:rsid w:val="0093059F"/>
    <w:rsid w:val="00930874"/>
    <w:rsid w:val="00930F19"/>
    <w:rsid w:val="00931F4F"/>
    <w:rsid w:val="00932896"/>
    <w:rsid w:val="00932B92"/>
    <w:rsid w:val="0093461A"/>
    <w:rsid w:val="009346FD"/>
    <w:rsid w:val="009349BB"/>
    <w:rsid w:val="00934A97"/>
    <w:rsid w:val="009353BF"/>
    <w:rsid w:val="00935DC2"/>
    <w:rsid w:val="00936CFF"/>
    <w:rsid w:val="00936F91"/>
    <w:rsid w:val="009371A3"/>
    <w:rsid w:val="009374B3"/>
    <w:rsid w:val="009377DF"/>
    <w:rsid w:val="0094048F"/>
    <w:rsid w:val="00940A01"/>
    <w:rsid w:val="00940E17"/>
    <w:rsid w:val="009410E8"/>
    <w:rsid w:val="0094183E"/>
    <w:rsid w:val="00942988"/>
    <w:rsid w:val="00943184"/>
    <w:rsid w:val="009433DC"/>
    <w:rsid w:val="00943FF0"/>
    <w:rsid w:val="00944B77"/>
    <w:rsid w:val="00944BA9"/>
    <w:rsid w:val="00944C35"/>
    <w:rsid w:val="00944D75"/>
    <w:rsid w:val="00945192"/>
    <w:rsid w:val="0094522A"/>
    <w:rsid w:val="00945304"/>
    <w:rsid w:val="00945E86"/>
    <w:rsid w:val="00945EDD"/>
    <w:rsid w:val="00946269"/>
    <w:rsid w:val="00947718"/>
    <w:rsid w:val="00947DFE"/>
    <w:rsid w:val="009501DA"/>
    <w:rsid w:val="0095050B"/>
    <w:rsid w:val="00950B16"/>
    <w:rsid w:val="00950BE4"/>
    <w:rsid w:val="00951BF1"/>
    <w:rsid w:val="009520BA"/>
    <w:rsid w:val="00952509"/>
    <w:rsid w:val="009527CC"/>
    <w:rsid w:val="0095357A"/>
    <w:rsid w:val="0095444B"/>
    <w:rsid w:val="00954782"/>
    <w:rsid w:val="00954FB0"/>
    <w:rsid w:val="00956C75"/>
    <w:rsid w:val="00957DE8"/>
    <w:rsid w:val="00960333"/>
    <w:rsid w:val="00960EE3"/>
    <w:rsid w:val="00961292"/>
    <w:rsid w:val="009624CE"/>
    <w:rsid w:val="009626D4"/>
    <w:rsid w:val="009638E1"/>
    <w:rsid w:val="00963EE6"/>
    <w:rsid w:val="00963FC5"/>
    <w:rsid w:val="0096518B"/>
    <w:rsid w:val="00965356"/>
    <w:rsid w:val="009659F6"/>
    <w:rsid w:val="00965DC1"/>
    <w:rsid w:val="00965F30"/>
    <w:rsid w:val="00965FEE"/>
    <w:rsid w:val="009669DB"/>
    <w:rsid w:val="00966D0D"/>
    <w:rsid w:val="00966D46"/>
    <w:rsid w:val="00966D74"/>
    <w:rsid w:val="0096721E"/>
    <w:rsid w:val="009673A5"/>
    <w:rsid w:val="00967563"/>
    <w:rsid w:val="00970510"/>
    <w:rsid w:val="00970744"/>
    <w:rsid w:val="00970968"/>
    <w:rsid w:val="00970F7F"/>
    <w:rsid w:val="00971828"/>
    <w:rsid w:val="009720A8"/>
    <w:rsid w:val="0097275B"/>
    <w:rsid w:val="00973329"/>
    <w:rsid w:val="00973F8B"/>
    <w:rsid w:val="00973FB4"/>
    <w:rsid w:val="0097444B"/>
    <w:rsid w:val="00975F43"/>
    <w:rsid w:val="00976C48"/>
    <w:rsid w:val="00976E1A"/>
    <w:rsid w:val="0097707E"/>
    <w:rsid w:val="00977280"/>
    <w:rsid w:val="009775C8"/>
    <w:rsid w:val="00977F02"/>
    <w:rsid w:val="00980D5C"/>
    <w:rsid w:val="00981649"/>
    <w:rsid w:val="00982E72"/>
    <w:rsid w:val="00983033"/>
    <w:rsid w:val="009833EC"/>
    <w:rsid w:val="009834E2"/>
    <w:rsid w:val="009836F0"/>
    <w:rsid w:val="00983A58"/>
    <w:rsid w:val="00983FEE"/>
    <w:rsid w:val="00984287"/>
    <w:rsid w:val="00984A45"/>
    <w:rsid w:val="00984F74"/>
    <w:rsid w:val="0098535D"/>
    <w:rsid w:val="00985FBF"/>
    <w:rsid w:val="00986691"/>
    <w:rsid w:val="00986B9C"/>
    <w:rsid w:val="00986D25"/>
    <w:rsid w:val="009878EC"/>
    <w:rsid w:val="00987C25"/>
    <w:rsid w:val="009906DE"/>
    <w:rsid w:val="00990A72"/>
    <w:rsid w:val="00990EEE"/>
    <w:rsid w:val="0099305F"/>
    <w:rsid w:val="0099497D"/>
    <w:rsid w:val="00995202"/>
    <w:rsid w:val="00995929"/>
    <w:rsid w:val="00996682"/>
    <w:rsid w:val="009967CF"/>
    <w:rsid w:val="00996CF7"/>
    <w:rsid w:val="00996D51"/>
    <w:rsid w:val="009A0D63"/>
    <w:rsid w:val="009A141E"/>
    <w:rsid w:val="009A1483"/>
    <w:rsid w:val="009A21F0"/>
    <w:rsid w:val="009A24DD"/>
    <w:rsid w:val="009A2EA0"/>
    <w:rsid w:val="009A3767"/>
    <w:rsid w:val="009A379E"/>
    <w:rsid w:val="009A3BB7"/>
    <w:rsid w:val="009A403B"/>
    <w:rsid w:val="009A4EFF"/>
    <w:rsid w:val="009A7428"/>
    <w:rsid w:val="009A7F9D"/>
    <w:rsid w:val="009B01BD"/>
    <w:rsid w:val="009B1131"/>
    <w:rsid w:val="009B12D0"/>
    <w:rsid w:val="009B159B"/>
    <w:rsid w:val="009B276A"/>
    <w:rsid w:val="009B32E2"/>
    <w:rsid w:val="009B38BC"/>
    <w:rsid w:val="009B43C2"/>
    <w:rsid w:val="009B4B74"/>
    <w:rsid w:val="009B4BB3"/>
    <w:rsid w:val="009B4C15"/>
    <w:rsid w:val="009B56C4"/>
    <w:rsid w:val="009B58B1"/>
    <w:rsid w:val="009B690A"/>
    <w:rsid w:val="009B71F7"/>
    <w:rsid w:val="009B7463"/>
    <w:rsid w:val="009C0CC9"/>
    <w:rsid w:val="009C0DA0"/>
    <w:rsid w:val="009C136D"/>
    <w:rsid w:val="009C1DC1"/>
    <w:rsid w:val="009C208B"/>
    <w:rsid w:val="009C28D5"/>
    <w:rsid w:val="009C3208"/>
    <w:rsid w:val="009C3E79"/>
    <w:rsid w:val="009C433D"/>
    <w:rsid w:val="009C581F"/>
    <w:rsid w:val="009C663A"/>
    <w:rsid w:val="009C6C9E"/>
    <w:rsid w:val="009C728D"/>
    <w:rsid w:val="009C7BA6"/>
    <w:rsid w:val="009C7FB8"/>
    <w:rsid w:val="009D0421"/>
    <w:rsid w:val="009D0A33"/>
    <w:rsid w:val="009D0ABD"/>
    <w:rsid w:val="009D25E4"/>
    <w:rsid w:val="009D2AB9"/>
    <w:rsid w:val="009D372F"/>
    <w:rsid w:val="009D3745"/>
    <w:rsid w:val="009D3EAD"/>
    <w:rsid w:val="009D5207"/>
    <w:rsid w:val="009D52E5"/>
    <w:rsid w:val="009D54B5"/>
    <w:rsid w:val="009D556D"/>
    <w:rsid w:val="009D5A71"/>
    <w:rsid w:val="009D5E51"/>
    <w:rsid w:val="009D6B8F"/>
    <w:rsid w:val="009D707F"/>
    <w:rsid w:val="009D7470"/>
    <w:rsid w:val="009D7AB0"/>
    <w:rsid w:val="009E01BC"/>
    <w:rsid w:val="009E09A8"/>
    <w:rsid w:val="009E1004"/>
    <w:rsid w:val="009E2204"/>
    <w:rsid w:val="009E226A"/>
    <w:rsid w:val="009E22AB"/>
    <w:rsid w:val="009E26AD"/>
    <w:rsid w:val="009E2C46"/>
    <w:rsid w:val="009E2CC8"/>
    <w:rsid w:val="009E306D"/>
    <w:rsid w:val="009E35A3"/>
    <w:rsid w:val="009E3821"/>
    <w:rsid w:val="009E3BE9"/>
    <w:rsid w:val="009E3BFA"/>
    <w:rsid w:val="009E44AF"/>
    <w:rsid w:val="009E4890"/>
    <w:rsid w:val="009E4C80"/>
    <w:rsid w:val="009E514C"/>
    <w:rsid w:val="009E53D6"/>
    <w:rsid w:val="009E5586"/>
    <w:rsid w:val="009E5F55"/>
    <w:rsid w:val="009E6944"/>
    <w:rsid w:val="009E7278"/>
    <w:rsid w:val="009E74CF"/>
    <w:rsid w:val="009E7782"/>
    <w:rsid w:val="009E7DDB"/>
    <w:rsid w:val="009F04F4"/>
    <w:rsid w:val="009F0617"/>
    <w:rsid w:val="009F0920"/>
    <w:rsid w:val="009F1774"/>
    <w:rsid w:val="009F1A10"/>
    <w:rsid w:val="009F1AC5"/>
    <w:rsid w:val="009F294C"/>
    <w:rsid w:val="009F3208"/>
    <w:rsid w:val="009F4C59"/>
    <w:rsid w:val="009F4D97"/>
    <w:rsid w:val="009F5817"/>
    <w:rsid w:val="009F7395"/>
    <w:rsid w:val="009F7A10"/>
    <w:rsid w:val="009F7A6F"/>
    <w:rsid w:val="00A008EA"/>
    <w:rsid w:val="00A0307E"/>
    <w:rsid w:val="00A033CE"/>
    <w:rsid w:val="00A037A1"/>
    <w:rsid w:val="00A038D0"/>
    <w:rsid w:val="00A03BA4"/>
    <w:rsid w:val="00A03BF0"/>
    <w:rsid w:val="00A04032"/>
    <w:rsid w:val="00A04A79"/>
    <w:rsid w:val="00A05979"/>
    <w:rsid w:val="00A059B9"/>
    <w:rsid w:val="00A10452"/>
    <w:rsid w:val="00A10EE4"/>
    <w:rsid w:val="00A11C7A"/>
    <w:rsid w:val="00A13B11"/>
    <w:rsid w:val="00A156AE"/>
    <w:rsid w:val="00A16390"/>
    <w:rsid w:val="00A169AC"/>
    <w:rsid w:val="00A16D82"/>
    <w:rsid w:val="00A16EF8"/>
    <w:rsid w:val="00A171E7"/>
    <w:rsid w:val="00A17A76"/>
    <w:rsid w:val="00A17F8D"/>
    <w:rsid w:val="00A20421"/>
    <w:rsid w:val="00A2051F"/>
    <w:rsid w:val="00A205E1"/>
    <w:rsid w:val="00A2077F"/>
    <w:rsid w:val="00A20C67"/>
    <w:rsid w:val="00A20E03"/>
    <w:rsid w:val="00A21F41"/>
    <w:rsid w:val="00A2257E"/>
    <w:rsid w:val="00A231FD"/>
    <w:rsid w:val="00A2378B"/>
    <w:rsid w:val="00A237FD"/>
    <w:rsid w:val="00A240B9"/>
    <w:rsid w:val="00A24FCB"/>
    <w:rsid w:val="00A25302"/>
    <w:rsid w:val="00A25437"/>
    <w:rsid w:val="00A254C2"/>
    <w:rsid w:val="00A263E0"/>
    <w:rsid w:val="00A263FC"/>
    <w:rsid w:val="00A26685"/>
    <w:rsid w:val="00A26B8F"/>
    <w:rsid w:val="00A26D76"/>
    <w:rsid w:val="00A26F15"/>
    <w:rsid w:val="00A26FBA"/>
    <w:rsid w:val="00A2796C"/>
    <w:rsid w:val="00A27E95"/>
    <w:rsid w:val="00A313DD"/>
    <w:rsid w:val="00A31433"/>
    <w:rsid w:val="00A31C98"/>
    <w:rsid w:val="00A31F68"/>
    <w:rsid w:val="00A32731"/>
    <w:rsid w:val="00A33C59"/>
    <w:rsid w:val="00A34586"/>
    <w:rsid w:val="00A34C8F"/>
    <w:rsid w:val="00A35515"/>
    <w:rsid w:val="00A357D6"/>
    <w:rsid w:val="00A35E51"/>
    <w:rsid w:val="00A36465"/>
    <w:rsid w:val="00A36C04"/>
    <w:rsid w:val="00A36C39"/>
    <w:rsid w:val="00A374C5"/>
    <w:rsid w:val="00A37A78"/>
    <w:rsid w:val="00A40069"/>
    <w:rsid w:val="00A40502"/>
    <w:rsid w:val="00A40A97"/>
    <w:rsid w:val="00A41176"/>
    <w:rsid w:val="00A41C90"/>
    <w:rsid w:val="00A41D1E"/>
    <w:rsid w:val="00A425F4"/>
    <w:rsid w:val="00A434AB"/>
    <w:rsid w:val="00A43B44"/>
    <w:rsid w:val="00A44235"/>
    <w:rsid w:val="00A45BDE"/>
    <w:rsid w:val="00A462E4"/>
    <w:rsid w:val="00A46543"/>
    <w:rsid w:val="00A466BC"/>
    <w:rsid w:val="00A46858"/>
    <w:rsid w:val="00A46989"/>
    <w:rsid w:val="00A47A19"/>
    <w:rsid w:val="00A502D2"/>
    <w:rsid w:val="00A5136B"/>
    <w:rsid w:val="00A51E2D"/>
    <w:rsid w:val="00A52219"/>
    <w:rsid w:val="00A52756"/>
    <w:rsid w:val="00A52A2A"/>
    <w:rsid w:val="00A53A9F"/>
    <w:rsid w:val="00A540E5"/>
    <w:rsid w:val="00A5455B"/>
    <w:rsid w:val="00A5461D"/>
    <w:rsid w:val="00A54A4F"/>
    <w:rsid w:val="00A54CEF"/>
    <w:rsid w:val="00A5702F"/>
    <w:rsid w:val="00A5730F"/>
    <w:rsid w:val="00A5739F"/>
    <w:rsid w:val="00A57AA1"/>
    <w:rsid w:val="00A613F4"/>
    <w:rsid w:val="00A61BD1"/>
    <w:rsid w:val="00A61F90"/>
    <w:rsid w:val="00A621C8"/>
    <w:rsid w:val="00A62863"/>
    <w:rsid w:val="00A6365E"/>
    <w:rsid w:val="00A643E8"/>
    <w:rsid w:val="00A64A00"/>
    <w:rsid w:val="00A64A85"/>
    <w:rsid w:val="00A64D35"/>
    <w:rsid w:val="00A6552A"/>
    <w:rsid w:val="00A655C3"/>
    <w:rsid w:val="00A65BEA"/>
    <w:rsid w:val="00A65CC0"/>
    <w:rsid w:val="00A66BB3"/>
    <w:rsid w:val="00A66FDA"/>
    <w:rsid w:val="00A7011E"/>
    <w:rsid w:val="00A703CE"/>
    <w:rsid w:val="00A7080F"/>
    <w:rsid w:val="00A72169"/>
    <w:rsid w:val="00A7253D"/>
    <w:rsid w:val="00A72E27"/>
    <w:rsid w:val="00A73548"/>
    <w:rsid w:val="00A73C38"/>
    <w:rsid w:val="00A73F34"/>
    <w:rsid w:val="00A74996"/>
    <w:rsid w:val="00A755AD"/>
    <w:rsid w:val="00A75B79"/>
    <w:rsid w:val="00A75E33"/>
    <w:rsid w:val="00A761E4"/>
    <w:rsid w:val="00A769A2"/>
    <w:rsid w:val="00A7738C"/>
    <w:rsid w:val="00A80106"/>
    <w:rsid w:val="00A815FA"/>
    <w:rsid w:val="00A81614"/>
    <w:rsid w:val="00A81A10"/>
    <w:rsid w:val="00A81C43"/>
    <w:rsid w:val="00A831D6"/>
    <w:rsid w:val="00A84C51"/>
    <w:rsid w:val="00A84C85"/>
    <w:rsid w:val="00A84EC6"/>
    <w:rsid w:val="00A85069"/>
    <w:rsid w:val="00A8541A"/>
    <w:rsid w:val="00A85802"/>
    <w:rsid w:val="00A862B0"/>
    <w:rsid w:val="00A863F2"/>
    <w:rsid w:val="00A8649E"/>
    <w:rsid w:val="00A868BB"/>
    <w:rsid w:val="00A878F0"/>
    <w:rsid w:val="00A87BA3"/>
    <w:rsid w:val="00A87C01"/>
    <w:rsid w:val="00A90906"/>
    <w:rsid w:val="00A91764"/>
    <w:rsid w:val="00A93065"/>
    <w:rsid w:val="00A934D5"/>
    <w:rsid w:val="00A9363C"/>
    <w:rsid w:val="00A93DF6"/>
    <w:rsid w:val="00A94BA5"/>
    <w:rsid w:val="00A94C61"/>
    <w:rsid w:val="00A94D91"/>
    <w:rsid w:val="00A966CE"/>
    <w:rsid w:val="00A966DE"/>
    <w:rsid w:val="00A96A4B"/>
    <w:rsid w:val="00A9726E"/>
    <w:rsid w:val="00A97FB7"/>
    <w:rsid w:val="00AA0163"/>
    <w:rsid w:val="00AA0663"/>
    <w:rsid w:val="00AA082C"/>
    <w:rsid w:val="00AA0CB1"/>
    <w:rsid w:val="00AA18B4"/>
    <w:rsid w:val="00AA2128"/>
    <w:rsid w:val="00AA2BAA"/>
    <w:rsid w:val="00AA2BB8"/>
    <w:rsid w:val="00AA30DD"/>
    <w:rsid w:val="00AA32BA"/>
    <w:rsid w:val="00AA32C3"/>
    <w:rsid w:val="00AA3308"/>
    <w:rsid w:val="00AA34E7"/>
    <w:rsid w:val="00AA35BE"/>
    <w:rsid w:val="00AA38E5"/>
    <w:rsid w:val="00AA3BF7"/>
    <w:rsid w:val="00AA3D7C"/>
    <w:rsid w:val="00AA4231"/>
    <w:rsid w:val="00AA4BB4"/>
    <w:rsid w:val="00AA4CFD"/>
    <w:rsid w:val="00AA5A43"/>
    <w:rsid w:val="00AA663E"/>
    <w:rsid w:val="00AA6925"/>
    <w:rsid w:val="00AA696D"/>
    <w:rsid w:val="00AA6C65"/>
    <w:rsid w:val="00AA75F7"/>
    <w:rsid w:val="00AA7F76"/>
    <w:rsid w:val="00AB0341"/>
    <w:rsid w:val="00AB03D8"/>
    <w:rsid w:val="00AB0555"/>
    <w:rsid w:val="00AB09FF"/>
    <w:rsid w:val="00AB0FE0"/>
    <w:rsid w:val="00AB1588"/>
    <w:rsid w:val="00AB19C7"/>
    <w:rsid w:val="00AB1CA6"/>
    <w:rsid w:val="00AB2A62"/>
    <w:rsid w:val="00AB2AB8"/>
    <w:rsid w:val="00AB2B3B"/>
    <w:rsid w:val="00AB37A7"/>
    <w:rsid w:val="00AB4932"/>
    <w:rsid w:val="00AB499E"/>
    <w:rsid w:val="00AB4A95"/>
    <w:rsid w:val="00AB4B98"/>
    <w:rsid w:val="00AB5340"/>
    <w:rsid w:val="00AB5736"/>
    <w:rsid w:val="00AB585A"/>
    <w:rsid w:val="00AB65A3"/>
    <w:rsid w:val="00AB6B5D"/>
    <w:rsid w:val="00AB772F"/>
    <w:rsid w:val="00AC03D5"/>
    <w:rsid w:val="00AC10F3"/>
    <w:rsid w:val="00AC1C40"/>
    <w:rsid w:val="00AC1EF2"/>
    <w:rsid w:val="00AC2053"/>
    <w:rsid w:val="00AC2AD2"/>
    <w:rsid w:val="00AC31F6"/>
    <w:rsid w:val="00AC3F69"/>
    <w:rsid w:val="00AC4CED"/>
    <w:rsid w:val="00AC4F14"/>
    <w:rsid w:val="00AC58CA"/>
    <w:rsid w:val="00AC5B6B"/>
    <w:rsid w:val="00AC66C2"/>
    <w:rsid w:val="00AC7A05"/>
    <w:rsid w:val="00AC7C2F"/>
    <w:rsid w:val="00AD2D07"/>
    <w:rsid w:val="00AD334B"/>
    <w:rsid w:val="00AD3CC8"/>
    <w:rsid w:val="00AD4037"/>
    <w:rsid w:val="00AD4E88"/>
    <w:rsid w:val="00AD4F64"/>
    <w:rsid w:val="00AD4FFA"/>
    <w:rsid w:val="00AD57E2"/>
    <w:rsid w:val="00AD5B29"/>
    <w:rsid w:val="00AD6D20"/>
    <w:rsid w:val="00AD6E55"/>
    <w:rsid w:val="00AD7D54"/>
    <w:rsid w:val="00AE0363"/>
    <w:rsid w:val="00AE04B2"/>
    <w:rsid w:val="00AE0D42"/>
    <w:rsid w:val="00AE1D38"/>
    <w:rsid w:val="00AE24A3"/>
    <w:rsid w:val="00AE253B"/>
    <w:rsid w:val="00AE33B8"/>
    <w:rsid w:val="00AE402A"/>
    <w:rsid w:val="00AE4CE7"/>
    <w:rsid w:val="00AE53BB"/>
    <w:rsid w:val="00AE53EC"/>
    <w:rsid w:val="00AE5BED"/>
    <w:rsid w:val="00AE72C8"/>
    <w:rsid w:val="00AF0D16"/>
    <w:rsid w:val="00AF0D7A"/>
    <w:rsid w:val="00AF120C"/>
    <w:rsid w:val="00AF1C10"/>
    <w:rsid w:val="00AF20BF"/>
    <w:rsid w:val="00AF21AB"/>
    <w:rsid w:val="00AF29DD"/>
    <w:rsid w:val="00AF2D8F"/>
    <w:rsid w:val="00AF2DE7"/>
    <w:rsid w:val="00AF3DBB"/>
    <w:rsid w:val="00AF44FB"/>
    <w:rsid w:val="00AF4C2F"/>
    <w:rsid w:val="00AF5BDA"/>
    <w:rsid w:val="00AF5F61"/>
    <w:rsid w:val="00AF64C7"/>
    <w:rsid w:val="00AF71E4"/>
    <w:rsid w:val="00AF7468"/>
    <w:rsid w:val="00AF79E7"/>
    <w:rsid w:val="00AF7FDC"/>
    <w:rsid w:val="00B00252"/>
    <w:rsid w:val="00B003FE"/>
    <w:rsid w:val="00B0057D"/>
    <w:rsid w:val="00B00F34"/>
    <w:rsid w:val="00B030E5"/>
    <w:rsid w:val="00B03A95"/>
    <w:rsid w:val="00B04496"/>
    <w:rsid w:val="00B0511D"/>
    <w:rsid w:val="00B05213"/>
    <w:rsid w:val="00B060A3"/>
    <w:rsid w:val="00B073BF"/>
    <w:rsid w:val="00B104E8"/>
    <w:rsid w:val="00B108BC"/>
    <w:rsid w:val="00B11B7B"/>
    <w:rsid w:val="00B1249F"/>
    <w:rsid w:val="00B14CD4"/>
    <w:rsid w:val="00B156C6"/>
    <w:rsid w:val="00B163E0"/>
    <w:rsid w:val="00B16712"/>
    <w:rsid w:val="00B16DA5"/>
    <w:rsid w:val="00B172AD"/>
    <w:rsid w:val="00B17E3F"/>
    <w:rsid w:val="00B2060B"/>
    <w:rsid w:val="00B20B30"/>
    <w:rsid w:val="00B2161C"/>
    <w:rsid w:val="00B216A1"/>
    <w:rsid w:val="00B216F1"/>
    <w:rsid w:val="00B224EC"/>
    <w:rsid w:val="00B231EE"/>
    <w:rsid w:val="00B2323C"/>
    <w:rsid w:val="00B23BC9"/>
    <w:rsid w:val="00B2400D"/>
    <w:rsid w:val="00B24380"/>
    <w:rsid w:val="00B24653"/>
    <w:rsid w:val="00B2491D"/>
    <w:rsid w:val="00B24AC5"/>
    <w:rsid w:val="00B24F03"/>
    <w:rsid w:val="00B250AA"/>
    <w:rsid w:val="00B252F0"/>
    <w:rsid w:val="00B25632"/>
    <w:rsid w:val="00B25ED9"/>
    <w:rsid w:val="00B25EF3"/>
    <w:rsid w:val="00B266C3"/>
    <w:rsid w:val="00B26EA0"/>
    <w:rsid w:val="00B270D4"/>
    <w:rsid w:val="00B30117"/>
    <w:rsid w:val="00B307D7"/>
    <w:rsid w:val="00B3145E"/>
    <w:rsid w:val="00B3148F"/>
    <w:rsid w:val="00B31495"/>
    <w:rsid w:val="00B321E7"/>
    <w:rsid w:val="00B32454"/>
    <w:rsid w:val="00B32672"/>
    <w:rsid w:val="00B32F22"/>
    <w:rsid w:val="00B332BE"/>
    <w:rsid w:val="00B359C0"/>
    <w:rsid w:val="00B36CE1"/>
    <w:rsid w:val="00B3762F"/>
    <w:rsid w:val="00B376AD"/>
    <w:rsid w:val="00B37BF9"/>
    <w:rsid w:val="00B37C88"/>
    <w:rsid w:val="00B37E39"/>
    <w:rsid w:val="00B401B4"/>
    <w:rsid w:val="00B4086F"/>
    <w:rsid w:val="00B40CEB"/>
    <w:rsid w:val="00B41398"/>
    <w:rsid w:val="00B41595"/>
    <w:rsid w:val="00B4161D"/>
    <w:rsid w:val="00B421EA"/>
    <w:rsid w:val="00B425D6"/>
    <w:rsid w:val="00B429F0"/>
    <w:rsid w:val="00B42CAB"/>
    <w:rsid w:val="00B43715"/>
    <w:rsid w:val="00B4415C"/>
    <w:rsid w:val="00B4462F"/>
    <w:rsid w:val="00B44D10"/>
    <w:rsid w:val="00B451DD"/>
    <w:rsid w:val="00B45C15"/>
    <w:rsid w:val="00B46176"/>
    <w:rsid w:val="00B508F5"/>
    <w:rsid w:val="00B512A8"/>
    <w:rsid w:val="00B51748"/>
    <w:rsid w:val="00B5217E"/>
    <w:rsid w:val="00B52D50"/>
    <w:rsid w:val="00B53376"/>
    <w:rsid w:val="00B53CC3"/>
    <w:rsid w:val="00B546EA"/>
    <w:rsid w:val="00B55B7F"/>
    <w:rsid w:val="00B5627B"/>
    <w:rsid w:val="00B56D67"/>
    <w:rsid w:val="00B570A2"/>
    <w:rsid w:val="00B572E9"/>
    <w:rsid w:val="00B574F2"/>
    <w:rsid w:val="00B60734"/>
    <w:rsid w:val="00B61C54"/>
    <w:rsid w:val="00B622CE"/>
    <w:rsid w:val="00B632F2"/>
    <w:rsid w:val="00B6384C"/>
    <w:rsid w:val="00B6449A"/>
    <w:rsid w:val="00B65517"/>
    <w:rsid w:val="00B65E35"/>
    <w:rsid w:val="00B66EFF"/>
    <w:rsid w:val="00B6716E"/>
    <w:rsid w:val="00B67392"/>
    <w:rsid w:val="00B70415"/>
    <w:rsid w:val="00B708A3"/>
    <w:rsid w:val="00B71A15"/>
    <w:rsid w:val="00B7245D"/>
    <w:rsid w:val="00B734AA"/>
    <w:rsid w:val="00B73AEA"/>
    <w:rsid w:val="00B73AF4"/>
    <w:rsid w:val="00B74E06"/>
    <w:rsid w:val="00B75512"/>
    <w:rsid w:val="00B75AE7"/>
    <w:rsid w:val="00B75D7C"/>
    <w:rsid w:val="00B7675C"/>
    <w:rsid w:val="00B76913"/>
    <w:rsid w:val="00B76945"/>
    <w:rsid w:val="00B7705E"/>
    <w:rsid w:val="00B77578"/>
    <w:rsid w:val="00B81618"/>
    <w:rsid w:val="00B8185B"/>
    <w:rsid w:val="00B83392"/>
    <w:rsid w:val="00B8392B"/>
    <w:rsid w:val="00B83D63"/>
    <w:rsid w:val="00B847A2"/>
    <w:rsid w:val="00B84898"/>
    <w:rsid w:val="00B85017"/>
    <w:rsid w:val="00B8545C"/>
    <w:rsid w:val="00B86055"/>
    <w:rsid w:val="00B86280"/>
    <w:rsid w:val="00B86CA3"/>
    <w:rsid w:val="00B86D0A"/>
    <w:rsid w:val="00B87745"/>
    <w:rsid w:val="00B90319"/>
    <w:rsid w:val="00B913C9"/>
    <w:rsid w:val="00B91537"/>
    <w:rsid w:val="00B915AC"/>
    <w:rsid w:val="00B91827"/>
    <w:rsid w:val="00B91848"/>
    <w:rsid w:val="00B92049"/>
    <w:rsid w:val="00B92A20"/>
    <w:rsid w:val="00B933CA"/>
    <w:rsid w:val="00B93B2A"/>
    <w:rsid w:val="00B93ED9"/>
    <w:rsid w:val="00B93F7A"/>
    <w:rsid w:val="00B94213"/>
    <w:rsid w:val="00B949C6"/>
    <w:rsid w:val="00B94B4C"/>
    <w:rsid w:val="00B95F28"/>
    <w:rsid w:val="00B96008"/>
    <w:rsid w:val="00B96231"/>
    <w:rsid w:val="00B96D52"/>
    <w:rsid w:val="00B977A7"/>
    <w:rsid w:val="00BA024C"/>
    <w:rsid w:val="00BA13E0"/>
    <w:rsid w:val="00BA250E"/>
    <w:rsid w:val="00BA32B0"/>
    <w:rsid w:val="00BA4309"/>
    <w:rsid w:val="00BA43A1"/>
    <w:rsid w:val="00BA492A"/>
    <w:rsid w:val="00BA547F"/>
    <w:rsid w:val="00BA576B"/>
    <w:rsid w:val="00BA602B"/>
    <w:rsid w:val="00BA69B0"/>
    <w:rsid w:val="00BA6D98"/>
    <w:rsid w:val="00BA7381"/>
    <w:rsid w:val="00BA7585"/>
    <w:rsid w:val="00BA7D0F"/>
    <w:rsid w:val="00BB13AD"/>
    <w:rsid w:val="00BB14E9"/>
    <w:rsid w:val="00BB1A07"/>
    <w:rsid w:val="00BB23C2"/>
    <w:rsid w:val="00BB340F"/>
    <w:rsid w:val="00BB39F9"/>
    <w:rsid w:val="00BB3AE4"/>
    <w:rsid w:val="00BB3EF6"/>
    <w:rsid w:val="00BB4988"/>
    <w:rsid w:val="00BB4F1A"/>
    <w:rsid w:val="00BB528E"/>
    <w:rsid w:val="00BB6C0F"/>
    <w:rsid w:val="00BB72F9"/>
    <w:rsid w:val="00BB7841"/>
    <w:rsid w:val="00BC0649"/>
    <w:rsid w:val="00BC091A"/>
    <w:rsid w:val="00BC103F"/>
    <w:rsid w:val="00BC1398"/>
    <w:rsid w:val="00BC1B5A"/>
    <w:rsid w:val="00BC1BF5"/>
    <w:rsid w:val="00BC1FD3"/>
    <w:rsid w:val="00BC20CE"/>
    <w:rsid w:val="00BC28E2"/>
    <w:rsid w:val="00BC294C"/>
    <w:rsid w:val="00BC2AA4"/>
    <w:rsid w:val="00BC2E6B"/>
    <w:rsid w:val="00BC311C"/>
    <w:rsid w:val="00BC3181"/>
    <w:rsid w:val="00BC3BFE"/>
    <w:rsid w:val="00BC5328"/>
    <w:rsid w:val="00BC55E6"/>
    <w:rsid w:val="00BC5828"/>
    <w:rsid w:val="00BC61B0"/>
    <w:rsid w:val="00BC66A6"/>
    <w:rsid w:val="00BC66F6"/>
    <w:rsid w:val="00BC6944"/>
    <w:rsid w:val="00BC6F03"/>
    <w:rsid w:val="00BC7E9A"/>
    <w:rsid w:val="00BD0350"/>
    <w:rsid w:val="00BD0C9B"/>
    <w:rsid w:val="00BD10C4"/>
    <w:rsid w:val="00BD1943"/>
    <w:rsid w:val="00BD30FA"/>
    <w:rsid w:val="00BD4CC7"/>
    <w:rsid w:val="00BD4CDE"/>
    <w:rsid w:val="00BD4D60"/>
    <w:rsid w:val="00BD5A69"/>
    <w:rsid w:val="00BD61C6"/>
    <w:rsid w:val="00BD6C62"/>
    <w:rsid w:val="00BD7FC5"/>
    <w:rsid w:val="00BE09D6"/>
    <w:rsid w:val="00BE1157"/>
    <w:rsid w:val="00BE2068"/>
    <w:rsid w:val="00BE2C8C"/>
    <w:rsid w:val="00BE4C2A"/>
    <w:rsid w:val="00BE5237"/>
    <w:rsid w:val="00BE5254"/>
    <w:rsid w:val="00BE5EC1"/>
    <w:rsid w:val="00BE64B6"/>
    <w:rsid w:val="00BE782D"/>
    <w:rsid w:val="00BF0A0D"/>
    <w:rsid w:val="00BF1173"/>
    <w:rsid w:val="00BF1F4B"/>
    <w:rsid w:val="00BF2D4B"/>
    <w:rsid w:val="00BF360A"/>
    <w:rsid w:val="00BF3689"/>
    <w:rsid w:val="00BF5002"/>
    <w:rsid w:val="00BF5791"/>
    <w:rsid w:val="00BF659E"/>
    <w:rsid w:val="00BF6688"/>
    <w:rsid w:val="00BF67B1"/>
    <w:rsid w:val="00BF6E08"/>
    <w:rsid w:val="00BF70AB"/>
    <w:rsid w:val="00BF7C09"/>
    <w:rsid w:val="00BF7FE2"/>
    <w:rsid w:val="00C005FF"/>
    <w:rsid w:val="00C01286"/>
    <w:rsid w:val="00C012DB"/>
    <w:rsid w:val="00C0139B"/>
    <w:rsid w:val="00C01434"/>
    <w:rsid w:val="00C02280"/>
    <w:rsid w:val="00C02966"/>
    <w:rsid w:val="00C02E6D"/>
    <w:rsid w:val="00C0306D"/>
    <w:rsid w:val="00C03133"/>
    <w:rsid w:val="00C031A7"/>
    <w:rsid w:val="00C0324B"/>
    <w:rsid w:val="00C035B0"/>
    <w:rsid w:val="00C036FE"/>
    <w:rsid w:val="00C0375D"/>
    <w:rsid w:val="00C06027"/>
    <w:rsid w:val="00C06DD7"/>
    <w:rsid w:val="00C070DE"/>
    <w:rsid w:val="00C07414"/>
    <w:rsid w:val="00C07477"/>
    <w:rsid w:val="00C078EE"/>
    <w:rsid w:val="00C07BC3"/>
    <w:rsid w:val="00C106E7"/>
    <w:rsid w:val="00C10AD5"/>
    <w:rsid w:val="00C10C58"/>
    <w:rsid w:val="00C10C5E"/>
    <w:rsid w:val="00C11150"/>
    <w:rsid w:val="00C11A34"/>
    <w:rsid w:val="00C11F3E"/>
    <w:rsid w:val="00C1275E"/>
    <w:rsid w:val="00C12C5E"/>
    <w:rsid w:val="00C12D0D"/>
    <w:rsid w:val="00C13626"/>
    <w:rsid w:val="00C13768"/>
    <w:rsid w:val="00C14DA0"/>
    <w:rsid w:val="00C14DA9"/>
    <w:rsid w:val="00C14DFB"/>
    <w:rsid w:val="00C15068"/>
    <w:rsid w:val="00C1671F"/>
    <w:rsid w:val="00C16964"/>
    <w:rsid w:val="00C16B54"/>
    <w:rsid w:val="00C20663"/>
    <w:rsid w:val="00C2115F"/>
    <w:rsid w:val="00C2181F"/>
    <w:rsid w:val="00C22B87"/>
    <w:rsid w:val="00C23364"/>
    <w:rsid w:val="00C234DF"/>
    <w:rsid w:val="00C23BA6"/>
    <w:rsid w:val="00C23C13"/>
    <w:rsid w:val="00C2410D"/>
    <w:rsid w:val="00C24887"/>
    <w:rsid w:val="00C24C37"/>
    <w:rsid w:val="00C24C8B"/>
    <w:rsid w:val="00C24EBB"/>
    <w:rsid w:val="00C251EB"/>
    <w:rsid w:val="00C25652"/>
    <w:rsid w:val="00C259AB"/>
    <w:rsid w:val="00C26156"/>
    <w:rsid w:val="00C26DD5"/>
    <w:rsid w:val="00C26F9C"/>
    <w:rsid w:val="00C2796B"/>
    <w:rsid w:val="00C279FA"/>
    <w:rsid w:val="00C30E3A"/>
    <w:rsid w:val="00C326AD"/>
    <w:rsid w:val="00C3288C"/>
    <w:rsid w:val="00C32D2B"/>
    <w:rsid w:val="00C33393"/>
    <w:rsid w:val="00C343C2"/>
    <w:rsid w:val="00C3589E"/>
    <w:rsid w:val="00C35D7F"/>
    <w:rsid w:val="00C375B0"/>
    <w:rsid w:val="00C40086"/>
    <w:rsid w:val="00C402D4"/>
    <w:rsid w:val="00C40C9B"/>
    <w:rsid w:val="00C4275F"/>
    <w:rsid w:val="00C42C57"/>
    <w:rsid w:val="00C42C6A"/>
    <w:rsid w:val="00C4320A"/>
    <w:rsid w:val="00C43631"/>
    <w:rsid w:val="00C4371A"/>
    <w:rsid w:val="00C43748"/>
    <w:rsid w:val="00C437DB"/>
    <w:rsid w:val="00C43A15"/>
    <w:rsid w:val="00C4473A"/>
    <w:rsid w:val="00C44A94"/>
    <w:rsid w:val="00C44F4F"/>
    <w:rsid w:val="00C46AF0"/>
    <w:rsid w:val="00C476C3"/>
    <w:rsid w:val="00C47881"/>
    <w:rsid w:val="00C47CA2"/>
    <w:rsid w:val="00C504ED"/>
    <w:rsid w:val="00C50AF4"/>
    <w:rsid w:val="00C50C56"/>
    <w:rsid w:val="00C51375"/>
    <w:rsid w:val="00C5261B"/>
    <w:rsid w:val="00C52715"/>
    <w:rsid w:val="00C52716"/>
    <w:rsid w:val="00C52E42"/>
    <w:rsid w:val="00C54175"/>
    <w:rsid w:val="00C54206"/>
    <w:rsid w:val="00C54958"/>
    <w:rsid w:val="00C54B4B"/>
    <w:rsid w:val="00C550DE"/>
    <w:rsid w:val="00C55A4C"/>
    <w:rsid w:val="00C55EC9"/>
    <w:rsid w:val="00C55FB1"/>
    <w:rsid w:val="00C57403"/>
    <w:rsid w:val="00C60680"/>
    <w:rsid w:val="00C607BC"/>
    <w:rsid w:val="00C6088A"/>
    <w:rsid w:val="00C61011"/>
    <w:rsid w:val="00C61DE6"/>
    <w:rsid w:val="00C63E97"/>
    <w:rsid w:val="00C64416"/>
    <w:rsid w:val="00C6492E"/>
    <w:rsid w:val="00C649DC"/>
    <w:rsid w:val="00C64E68"/>
    <w:rsid w:val="00C65106"/>
    <w:rsid w:val="00C66C47"/>
    <w:rsid w:val="00C6709C"/>
    <w:rsid w:val="00C67631"/>
    <w:rsid w:val="00C705AF"/>
    <w:rsid w:val="00C70895"/>
    <w:rsid w:val="00C7192D"/>
    <w:rsid w:val="00C71B1C"/>
    <w:rsid w:val="00C7205A"/>
    <w:rsid w:val="00C72649"/>
    <w:rsid w:val="00C73739"/>
    <w:rsid w:val="00C73A0F"/>
    <w:rsid w:val="00C74F4B"/>
    <w:rsid w:val="00C75017"/>
    <w:rsid w:val="00C75196"/>
    <w:rsid w:val="00C752B1"/>
    <w:rsid w:val="00C7585B"/>
    <w:rsid w:val="00C75A0F"/>
    <w:rsid w:val="00C764E9"/>
    <w:rsid w:val="00C76BD0"/>
    <w:rsid w:val="00C7784C"/>
    <w:rsid w:val="00C77C64"/>
    <w:rsid w:val="00C77F97"/>
    <w:rsid w:val="00C80616"/>
    <w:rsid w:val="00C81796"/>
    <w:rsid w:val="00C82171"/>
    <w:rsid w:val="00C8224D"/>
    <w:rsid w:val="00C8287F"/>
    <w:rsid w:val="00C828E2"/>
    <w:rsid w:val="00C833F4"/>
    <w:rsid w:val="00C8357D"/>
    <w:rsid w:val="00C83C69"/>
    <w:rsid w:val="00C8433A"/>
    <w:rsid w:val="00C845AF"/>
    <w:rsid w:val="00C84DC3"/>
    <w:rsid w:val="00C86385"/>
    <w:rsid w:val="00C87D9F"/>
    <w:rsid w:val="00C9174E"/>
    <w:rsid w:val="00C91D94"/>
    <w:rsid w:val="00C9262A"/>
    <w:rsid w:val="00C92753"/>
    <w:rsid w:val="00C92F8B"/>
    <w:rsid w:val="00C930F0"/>
    <w:rsid w:val="00C9331A"/>
    <w:rsid w:val="00C93A4E"/>
    <w:rsid w:val="00C93D51"/>
    <w:rsid w:val="00C93F2B"/>
    <w:rsid w:val="00C95065"/>
    <w:rsid w:val="00C969AE"/>
    <w:rsid w:val="00C96A28"/>
    <w:rsid w:val="00C978CD"/>
    <w:rsid w:val="00CA0494"/>
    <w:rsid w:val="00CA0567"/>
    <w:rsid w:val="00CA092A"/>
    <w:rsid w:val="00CA0C90"/>
    <w:rsid w:val="00CA1AEA"/>
    <w:rsid w:val="00CA1FBB"/>
    <w:rsid w:val="00CA27CC"/>
    <w:rsid w:val="00CA2A05"/>
    <w:rsid w:val="00CA3585"/>
    <w:rsid w:val="00CA472D"/>
    <w:rsid w:val="00CA522B"/>
    <w:rsid w:val="00CA5572"/>
    <w:rsid w:val="00CA5AD4"/>
    <w:rsid w:val="00CA5F54"/>
    <w:rsid w:val="00CA6BE6"/>
    <w:rsid w:val="00CA7128"/>
    <w:rsid w:val="00CA7592"/>
    <w:rsid w:val="00CA7A9B"/>
    <w:rsid w:val="00CA7D58"/>
    <w:rsid w:val="00CB0591"/>
    <w:rsid w:val="00CB0709"/>
    <w:rsid w:val="00CB0906"/>
    <w:rsid w:val="00CB10DF"/>
    <w:rsid w:val="00CB1447"/>
    <w:rsid w:val="00CB1F78"/>
    <w:rsid w:val="00CB2585"/>
    <w:rsid w:val="00CB382E"/>
    <w:rsid w:val="00CB398C"/>
    <w:rsid w:val="00CB3AA9"/>
    <w:rsid w:val="00CB42C5"/>
    <w:rsid w:val="00CB42E6"/>
    <w:rsid w:val="00CB4668"/>
    <w:rsid w:val="00CB5F5A"/>
    <w:rsid w:val="00CB6795"/>
    <w:rsid w:val="00CB6AA7"/>
    <w:rsid w:val="00CC18B5"/>
    <w:rsid w:val="00CC2B18"/>
    <w:rsid w:val="00CC2E14"/>
    <w:rsid w:val="00CC30F3"/>
    <w:rsid w:val="00CC3395"/>
    <w:rsid w:val="00CC34D2"/>
    <w:rsid w:val="00CC3962"/>
    <w:rsid w:val="00CC472C"/>
    <w:rsid w:val="00CC5230"/>
    <w:rsid w:val="00CC640C"/>
    <w:rsid w:val="00CC6AAA"/>
    <w:rsid w:val="00CC6AD5"/>
    <w:rsid w:val="00CC6D78"/>
    <w:rsid w:val="00CC6F92"/>
    <w:rsid w:val="00CC6FD5"/>
    <w:rsid w:val="00CC7DF4"/>
    <w:rsid w:val="00CD0FA4"/>
    <w:rsid w:val="00CD1320"/>
    <w:rsid w:val="00CD1FB6"/>
    <w:rsid w:val="00CD23CD"/>
    <w:rsid w:val="00CD2A6A"/>
    <w:rsid w:val="00CD3AAB"/>
    <w:rsid w:val="00CD3BE7"/>
    <w:rsid w:val="00CD3C39"/>
    <w:rsid w:val="00CD44E1"/>
    <w:rsid w:val="00CD48D4"/>
    <w:rsid w:val="00CD4CC9"/>
    <w:rsid w:val="00CD4FC6"/>
    <w:rsid w:val="00CD5112"/>
    <w:rsid w:val="00CD60BF"/>
    <w:rsid w:val="00CD6317"/>
    <w:rsid w:val="00CD634F"/>
    <w:rsid w:val="00CD635F"/>
    <w:rsid w:val="00CD70FD"/>
    <w:rsid w:val="00CD7250"/>
    <w:rsid w:val="00CD7DF1"/>
    <w:rsid w:val="00CE0C1E"/>
    <w:rsid w:val="00CE0EA0"/>
    <w:rsid w:val="00CE1629"/>
    <w:rsid w:val="00CE34DB"/>
    <w:rsid w:val="00CE3A91"/>
    <w:rsid w:val="00CE429C"/>
    <w:rsid w:val="00CE5134"/>
    <w:rsid w:val="00CE557C"/>
    <w:rsid w:val="00CE5C0D"/>
    <w:rsid w:val="00CE66BD"/>
    <w:rsid w:val="00CF099D"/>
    <w:rsid w:val="00CF313D"/>
    <w:rsid w:val="00CF3163"/>
    <w:rsid w:val="00CF364C"/>
    <w:rsid w:val="00CF37C9"/>
    <w:rsid w:val="00CF3B7A"/>
    <w:rsid w:val="00CF3F2F"/>
    <w:rsid w:val="00CF45F7"/>
    <w:rsid w:val="00CF66C5"/>
    <w:rsid w:val="00CF7D62"/>
    <w:rsid w:val="00CF7F6D"/>
    <w:rsid w:val="00D003D8"/>
    <w:rsid w:val="00D005C9"/>
    <w:rsid w:val="00D007D4"/>
    <w:rsid w:val="00D00E93"/>
    <w:rsid w:val="00D00F41"/>
    <w:rsid w:val="00D01C02"/>
    <w:rsid w:val="00D02C63"/>
    <w:rsid w:val="00D0350F"/>
    <w:rsid w:val="00D03611"/>
    <w:rsid w:val="00D037A5"/>
    <w:rsid w:val="00D03B37"/>
    <w:rsid w:val="00D04599"/>
    <w:rsid w:val="00D04D97"/>
    <w:rsid w:val="00D0527D"/>
    <w:rsid w:val="00D06A9E"/>
    <w:rsid w:val="00D06AA0"/>
    <w:rsid w:val="00D07809"/>
    <w:rsid w:val="00D10759"/>
    <w:rsid w:val="00D11171"/>
    <w:rsid w:val="00D11357"/>
    <w:rsid w:val="00D113BC"/>
    <w:rsid w:val="00D118C1"/>
    <w:rsid w:val="00D118C4"/>
    <w:rsid w:val="00D118DF"/>
    <w:rsid w:val="00D12273"/>
    <w:rsid w:val="00D126D8"/>
    <w:rsid w:val="00D1300F"/>
    <w:rsid w:val="00D13806"/>
    <w:rsid w:val="00D1386A"/>
    <w:rsid w:val="00D13D25"/>
    <w:rsid w:val="00D14256"/>
    <w:rsid w:val="00D14EEA"/>
    <w:rsid w:val="00D15460"/>
    <w:rsid w:val="00D1590B"/>
    <w:rsid w:val="00D15BFA"/>
    <w:rsid w:val="00D16092"/>
    <w:rsid w:val="00D1622D"/>
    <w:rsid w:val="00D16287"/>
    <w:rsid w:val="00D16387"/>
    <w:rsid w:val="00D16622"/>
    <w:rsid w:val="00D16856"/>
    <w:rsid w:val="00D16B6B"/>
    <w:rsid w:val="00D1776E"/>
    <w:rsid w:val="00D17BCE"/>
    <w:rsid w:val="00D17D77"/>
    <w:rsid w:val="00D2079E"/>
    <w:rsid w:val="00D212CF"/>
    <w:rsid w:val="00D22087"/>
    <w:rsid w:val="00D22374"/>
    <w:rsid w:val="00D22F1F"/>
    <w:rsid w:val="00D22F89"/>
    <w:rsid w:val="00D23103"/>
    <w:rsid w:val="00D2426E"/>
    <w:rsid w:val="00D24BEA"/>
    <w:rsid w:val="00D254C5"/>
    <w:rsid w:val="00D25A45"/>
    <w:rsid w:val="00D25E50"/>
    <w:rsid w:val="00D26066"/>
    <w:rsid w:val="00D26F3D"/>
    <w:rsid w:val="00D274E1"/>
    <w:rsid w:val="00D27F54"/>
    <w:rsid w:val="00D303A4"/>
    <w:rsid w:val="00D30E77"/>
    <w:rsid w:val="00D31C50"/>
    <w:rsid w:val="00D31DC3"/>
    <w:rsid w:val="00D32557"/>
    <w:rsid w:val="00D32CE6"/>
    <w:rsid w:val="00D348F2"/>
    <w:rsid w:val="00D34DBC"/>
    <w:rsid w:val="00D35464"/>
    <w:rsid w:val="00D35514"/>
    <w:rsid w:val="00D370F7"/>
    <w:rsid w:val="00D40662"/>
    <w:rsid w:val="00D42117"/>
    <w:rsid w:val="00D429E8"/>
    <w:rsid w:val="00D42AE1"/>
    <w:rsid w:val="00D4309C"/>
    <w:rsid w:val="00D4379D"/>
    <w:rsid w:val="00D438A9"/>
    <w:rsid w:val="00D44DA4"/>
    <w:rsid w:val="00D4538B"/>
    <w:rsid w:val="00D463FC"/>
    <w:rsid w:val="00D47335"/>
    <w:rsid w:val="00D47C12"/>
    <w:rsid w:val="00D503B8"/>
    <w:rsid w:val="00D52CEE"/>
    <w:rsid w:val="00D53012"/>
    <w:rsid w:val="00D5382E"/>
    <w:rsid w:val="00D541B4"/>
    <w:rsid w:val="00D546AA"/>
    <w:rsid w:val="00D549A9"/>
    <w:rsid w:val="00D549CD"/>
    <w:rsid w:val="00D55725"/>
    <w:rsid w:val="00D5594F"/>
    <w:rsid w:val="00D55ED4"/>
    <w:rsid w:val="00D56007"/>
    <w:rsid w:val="00D561ED"/>
    <w:rsid w:val="00D57416"/>
    <w:rsid w:val="00D611A3"/>
    <w:rsid w:val="00D61936"/>
    <w:rsid w:val="00D62DD4"/>
    <w:rsid w:val="00D62E80"/>
    <w:rsid w:val="00D6306D"/>
    <w:rsid w:val="00D634D7"/>
    <w:rsid w:val="00D636CB"/>
    <w:rsid w:val="00D637AA"/>
    <w:rsid w:val="00D63A97"/>
    <w:rsid w:val="00D63C8D"/>
    <w:rsid w:val="00D6453B"/>
    <w:rsid w:val="00D6457D"/>
    <w:rsid w:val="00D65AFA"/>
    <w:rsid w:val="00D66C84"/>
    <w:rsid w:val="00D6721C"/>
    <w:rsid w:val="00D673E9"/>
    <w:rsid w:val="00D677AD"/>
    <w:rsid w:val="00D6795B"/>
    <w:rsid w:val="00D70346"/>
    <w:rsid w:val="00D70768"/>
    <w:rsid w:val="00D708E2"/>
    <w:rsid w:val="00D71008"/>
    <w:rsid w:val="00D73535"/>
    <w:rsid w:val="00D73796"/>
    <w:rsid w:val="00D737D0"/>
    <w:rsid w:val="00D746C1"/>
    <w:rsid w:val="00D75A31"/>
    <w:rsid w:val="00D76F43"/>
    <w:rsid w:val="00D779FC"/>
    <w:rsid w:val="00D805D8"/>
    <w:rsid w:val="00D80926"/>
    <w:rsid w:val="00D80B2D"/>
    <w:rsid w:val="00D81923"/>
    <w:rsid w:val="00D82CCC"/>
    <w:rsid w:val="00D841D5"/>
    <w:rsid w:val="00D85614"/>
    <w:rsid w:val="00D866DD"/>
    <w:rsid w:val="00D868F5"/>
    <w:rsid w:val="00D86DA8"/>
    <w:rsid w:val="00D8702C"/>
    <w:rsid w:val="00D878A5"/>
    <w:rsid w:val="00D87C04"/>
    <w:rsid w:val="00D87CE8"/>
    <w:rsid w:val="00D87D70"/>
    <w:rsid w:val="00D87EC1"/>
    <w:rsid w:val="00D91249"/>
    <w:rsid w:val="00D9151B"/>
    <w:rsid w:val="00D91AFD"/>
    <w:rsid w:val="00D92297"/>
    <w:rsid w:val="00D923EE"/>
    <w:rsid w:val="00D926A5"/>
    <w:rsid w:val="00D928C3"/>
    <w:rsid w:val="00D92D7E"/>
    <w:rsid w:val="00D92F94"/>
    <w:rsid w:val="00D930FE"/>
    <w:rsid w:val="00D9322C"/>
    <w:rsid w:val="00D936A4"/>
    <w:rsid w:val="00D93A06"/>
    <w:rsid w:val="00D94605"/>
    <w:rsid w:val="00D948F4"/>
    <w:rsid w:val="00D95153"/>
    <w:rsid w:val="00D96283"/>
    <w:rsid w:val="00D96321"/>
    <w:rsid w:val="00D96926"/>
    <w:rsid w:val="00D97256"/>
    <w:rsid w:val="00DA00B6"/>
    <w:rsid w:val="00DA0563"/>
    <w:rsid w:val="00DA10C2"/>
    <w:rsid w:val="00DA1C7A"/>
    <w:rsid w:val="00DA2758"/>
    <w:rsid w:val="00DA2FE4"/>
    <w:rsid w:val="00DA3EC9"/>
    <w:rsid w:val="00DA3F15"/>
    <w:rsid w:val="00DA4123"/>
    <w:rsid w:val="00DA4247"/>
    <w:rsid w:val="00DA44B4"/>
    <w:rsid w:val="00DA4D24"/>
    <w:rsid w:val="00DA5516"/>
    <w:rsid w:val="00DA574F"/>
    <w:rsid w:val="00DA66E7"/>
    <w:rsid w:val="00DA6AC9"/>
    <w:rsid w:val="00DB187C"/>
    <w:rsid w:val="00DB1F26"/>
    <w:rsid w:val="00DB2721"/>
    <w:rsid w:val="00DB2931"/>
    <w:rsid w:val="00DB2C18"/>
    <w:rsid w:val="00DB36A2"/>
    <w:rsid w:val="00DB38EF"/>
    <w:rsid w:val="00DB3A57"/>
    <w:rsid w:val="00DB3D0D"/>
    <w:rsid w:val="00DB4276"/>
    <w:rsid w:val="00DB47F1"/>
    <w:rsid w:val="00DB5094"/>
    <w:rsid w:val="00DB6522"/>
    <w:rsid w:val="00DB6FB0"/>
    <w:rsid w:val="00DB6FD4"/>
    <w:rsid w:val="00DC0076"/>
    <w:rsid w:val="00DC19C3"/>
    <w:rsid w:val="00DC1A83"/>
    <w:rsid w:val="00DC1D6B"/>
    <w:rsid w:val="00DC266D"/>
    <w:rsid w:val="00DC3009"/>
    <w:rsid w:val="00DC36B9"/>
    <w:rsid w:val="00DC3F5E"/>
    <w:rsid w:val="00DC43FB"/>
    <w:rsid w:val="00DC4927"/>
    <w:rsid w:val="00DC6002"/>
    <w:rsid w:val="00DC626F"/>
    <w:rsid w:val="00DC67FC"/>
    <w:rsid w:val="00DC6E6F"/>
    <w:rsid w:val="00DC70CA"/>
    <w:rsid w:val="00DC71D8"/>
    <w:rsid w:val="00DC753A"/>
    <w:rsid w:val="00DC7A73"/>
    <w:rsid w:val="00DD08DD"/>
    <w:rsid w:val="00DD091F"/>
    <w:rsid w:val="00DD136E"/>
    <w:rsid w:val="00DD1B85"/>
    <w:rsid w:val="00DD29FE"/>
    <w:rsid w:val="00DD315A"/>
    <w:rsid w:val="00DD3283"/>
    <w:rsid w:val="00DD5A71"/>
    <w:rsid w:val="00DD6565"/>
    <w:rsid w:val="00DD6AAE"/>
    <w:rsid w:val="00DD6B5C"/>
    <w:rsid w:val="00DD6FB9"/>
    <w:rsid w:val="00DD6FF6"/>
    <w:rsid w:val="00DD71A3"/>
    <w:rsid w:val="00DD7213"/>
    <w:rsid w:val="00DD73EF"/>
    <w:rsid w:val="00DD7624"/>
    <w:rsid w:val="00DD7B4F"/>
    <w:rsid w:val="00DE112F"/>
    <w:rsid w:val="00DE1748"/>
    <w:rsid w:val="00DE19BA"/>
    <w:rsid w:val="00DE1E21"/>
    <w:rsid w:val="00DE2144"/>
    <w:rsid w:val="00DE2C93"/>
    <w:rsid w:val="00DE3037"/>
    <w:rsid w:val="00DE337B"/>
    <w:rsid w:val="00DE3926"/>
    <w:rsid w:val="00DE407A"/>
    <w:rsid w:val="00DE543E"/>
    <w:rsid w:val="00DE55F2"/>
    <w:rsid w:val="00DE5D72"/>
    <w:rsid w:val="00DE63FC"/>
    <w:rsid w:val="00DE6B99"/>
    <w:rsid w:val="00DF0534"/>
    <w:rsid w:val="00DF0ED1"/>
    <w:rsid w:val="00DF1040"/>
    <w:rsid w:val="00DF2846"/>
    <w:rsid w:val="00DF2A30"/>
    <w:rsid w:val="00DF2E83"/>
    <w:rsid w:val="00DF2F77"/>
    <w:rsid w:val="00DF322F"/>
    <w:rsid w:val="00DF36B9"/>
    <w:rsid w:val="00DF395A"/>
    <w:rsid w:val="00DF3BF3"/>
    <w:rsid w:val="00DF42D6"/>
    <w:rsid w:val="00DF494C"/>
    <w:rsid w:val="00DF530B"/>
    <w:rsid w:val="00DF57A6"/>
    <w:rsid w:val="00DF6606"/>
    <w:rsid w:val="00DF7B7D"/>
    <w:rsid w:val="00DF7F12"/>
    <w:rsid w:val="00E00601"/>
    <w:rsid w:val="00E01AA3"/>
    <w:rsid w:val="00E01FB2"/>
    <w:rsid w:val="00E02065"/>
    <w:rsid w:val="00E0216E"/>
    <w:rsid w:val="00E02807"/>
    <w:rsid w:val="00E02F34"/>
    <w:rsid w:val="00E03418"/>
    <w:rsid w:val="00E0455C"/>
    <w:rsid w:val="00E06A25"/>
    <w:rsid w:val="00E07F3C"/>
    <w:rsid w:val="00E11964"/>
    <w:rsid w:val="00E11D16"/>
    <w:rsid w:val="00E11F51"/>
    <w:rsid w:val="00E124CD"/>
    <w:rsid w:val="00E12CAB"/>
    <w:rsid w:val="00E12F75"/>
    <w:rsid w:val="00E13D12"/>
    <w:rsid w:val="00E14246"/>
    <w:rsid w:val="00E14886"/>
    <w:rsid w:val="00E14B45"/>
    <w:rsid w:val="00E14F85"/>
    <w:rsid w:val="00E15324"/>
    <w:rsid w:val="00E1578B"/>
    <w:rsid w:val="00E165D6"/>
    <w:rsid w:val="00E16ED0"/>
    <w:rsid w:val="00E17516"/>
    <w:rsid w:val="00E178D8"/>
    <w:rsid w:val="00E17A1C"/>
    <w:rsid w:val="00E20030"/>
    <w:rsid w:val="00E201AE"/>
    <w:rsid w:val="00E20913"/>
    <w:rsid w:val="00E2095E"/>
    <w:rsid w:val="00E20A20"/>
    <w:rsid w:val="00E22148"/>
    <w:rsid w:val="00E22A4C"/>
    <w:rsid w:val="00E23473"/>
    <w:rsid w:val="00E23BA7"/>
    <w:rsid w:val="00E252B8"/>
    <w:rsid w:val="00E25311"/>
    <w:rsid w:val="00E27005"/>
    <w:rsid w:val="00E27337"/>
    <w:rsid w:val="00E275E0"/>
    <w:rsid w:val="00E27854"/>
    <w:rsid w:val="00E27AF7"/>
    <w:rsid w:val="00E30111"/>
    <w:rsid w:val="00E30379"/>
    <w:rsid w:val="00E30704"/>
    <w:rsid w:val="00E30FC4"/>
    <w:rsid w:val="00E31539"/>
    <w:rsid w:val="00E326D5"/>
    <w:rsid w:val="00E32716"/>
    <w:rsid w:val="00E32730"/>
    <w:rsid w:val="00E33AE9"/>
    <w:rsid w:val="00E33CF0"/>
    <w:rsid w:val="00E3402E"/>
    <w:rsid w:val="00E34228"/>
    <w:rsid w:val="00E344AA"/>
    <w:rsid w:val="00E34AE0"/>
    <w:rsid w:val="00E35A0B"/>
    <w:rsid w:val="00E36A44"/>
    <w:rsid w:val="00E40027"/>
    <w:rsid w:val="00E40F7A"/>
    <w:rsid w:val="00E41024"/>
    <w:rsid w:val="00E41A04"/>
    <w:rsid w:val="00E41E40"/>
    <w:rsid w:val="00E428FF"/>
    <w:rsid w:val="00E42B4A"/>
    <w:rsid w:val="00E430C4"/>
    <w:rsid w:val="00E43471"/>
    <w:rsid w:val="00E44819"/>
    <w:rsid w:val="00E45A77"/>
    <w:rsid w:val="00E45CC8"/>
    <w:rsid w:val="00E473E7"/>
    <w:rsid w:val="00E47D23"/>
    <w:rsid w:val="00E50FA7"/>
    <w:rsid w:val="00E52120"/>
    <w:rsid w:val="00E527DB"/>
    <w:rsid w:val="00E52A96"/>
    <w:rsid w:val="00E52BCA"/>
    <w:rsid w:val="00E53673"/>
    <w:rsid w:val="00E5433A"/>
    <w:rsid w:val="00E54CE6"/>
    <w:rsid w:val="00E54D58"/>
    <w:rsid w:val="00E552ED"/>
    <w:rsid w:val="00E558B9"/>
    <w:rsid w:val="00E56A2B"/>
    <w:rsid w:val="00E56A9B"/>
    <w:rsid w:val="00E56CC2"/>
    <w:rsid w:val="00E60187"/>
    <w:rsid w:val="00E605A2"/>
    <w:rsid w:val="00E60FAA"/>
    <w:rsid w:val="00E62207"/>
    <w:rsid w:val="00E62BB1"/>
    <w:rsid w:val="00E639A8"/>
    <w:rsid w:val="00E63E2E"/>
    <w:rsid w:val="00E64548"/>
    <w:rsid w:val="00E667F3"/>
    <w:rsid w:val="00E67D25"/>
    <w:rsid w:val="00E67E1C"/>
    <w:rsid w:val="00E700C1"/>
    <w:rsid w:val="00E70D30"/>
    <w:rsid w:val="00E70E2E"/>
    <w:rsid w:val="00E7103A"/>
    <w:rsid w:val="00E71663"/>
    <w:rsid w:val="00E71783"/>
    <w:rsid w:val="00E72E14"/>
    <w:rsid w:val="00E732BC"/>
    <w:rsid w:val="00E73CF6"/>
    <w:rsid w:val="00E73F90"/>
    <w:rsid w:val="00E74E4A"/>
    <w:rsid w:val="00E75245"/>
    <w:rsid w:val="00E76FA9"/>
    <w:rsid w:val="00E76FAB"/>
    <w:rsid w:val="00E7710C"/>
    <w:rsid w:val="00E77508"/>
    <w:rsid w:val="00E803D5"/>
    <w:rsid w:val="00E804C5"/>
    <w:rsid w:val="00E808FC"/>
    <w:rsid w:val="00E80A43"/>
    <w:rsid w:val="00E80D8D"/>
    <w:rsid w:val="00E80DD2"/>
    <w:rsid w:val="00E82160"/>
    <w:rsid w:val="00E824B8"/>
    <w:rsid w:val="00E82EB1"/>
    <w:rsid w:val="00E83ECB"/>
    <w:rsid w:val="00E84406"/>
    <w:rsid w:val="00E84878"/>
    <w:rsid w:val="00E870BF"/>
    <w:rsid w:val="00E871F5"/>
    <w:rsid w:val="00E87D21"/>
    <w:rsid w:val="00E90347"/>
    <w:rsid w:val="00E907D8"/>
    <w:rsid w:val="00E9095C"/>
    <w:rsid w:val="00E90977"/>
    <w:rsid w:val="00E90A76"/>
    <w:rsid w:val="00E912DE"/>
    <w:rsid w:val="00E91309"/>
    <w:rsid w:val="00E91C92"/>
    <w:rsid w:val="00E92010"/>
    <w:rsid w:val="00E9248D"/>
    <w:rsid w:val="00E92F4C"/>
    <w:rsid w:val="00E945A6"/>
    <w:rsid w:val="00E95B3F"/>
    <w:rsid w:val="00E95B7B"/>
    <w:rsid w:val="00E95EA0"/>
    <w:rsid w:val="00E96D9D"/>
    <w:rsid w:val="00E97BAC"/>
    <w:rsid w:val="00EA1813"/>
    <w:rsid w:val="00EA24B2"/>
    <w:rsid w:val="00EA293D"/>
    <w:rsid w:val="00EA3448"/>
    <w:rsid w:val="00EA43C5"/>
    <w:rsid w:val="00EA43EB"/>
    <w:rsid w:val="00EA5EED"/>
    <w:rsid w:val="00EA6056"/>
    <w:rsid w:val="00EA6069"/>
    <w:rsid w:val="00EA6A52"/>
    <w:rsid w:val="00EA721D"/>
    <w:rsid w:val="00EA76F5"/>
    <w:rsid w:val="00EA7B3B"/>
    <w:rsid w:val="00EA7E3F"/>
    <w:rsid w:val="00EA7E81"/>
    <w:rsid w:val="00EB1576"/>
    <w:rsid w:val="00EB184D"/>
    <w:rsid w:val="00EB2082"/>
    <w:rsid w:val="00EB2230"/>
    <w:rsid w:val="00EB2536"/>
    <w:rsid w:val="00EB3E70"/>
    <w:rsid w:val="00EB4636"/>
    <w:rsid w:val="00EB4F77"/>
    <w:rsid w:val="00EB5733"/>
    <w:rsid w:val="00EB7272"/>
    <w:rsid w:val="00EC1934"/>
    <w:rsid w:val="00EC2719"/>
    <w:rsid w:val="00EC2C99"/>
    <w:rsid w:val="00EC5CFF"/>
    <w:rsid w:val="00ED06C9"/>
    <w:rsid w:val="00ED19EC"/>
    <w:rsid w:val="00ED29B3"/>
    <w:rsid w:val="00ED2E30"/>
    <w:rsid w:val="00ED395D"/>
    <w:rsid w:val="00ED45A0"/>
    <w:rsid w:val="00ED4C30"/>
    <w:rsid w:val="00ED5730"/>
    <w:rsid w:val="00ED6056"/>
    <w:rsid w:val="00ED63E0"/>
    <w:rsid w:val="00ED6998"/>
    <w:rsid w:val="00ED776B"/>
    <w:rsid w:val="00EE0486"/>
    <w:rsid w:val="00EE1547"/>
    <w:rsid w:val="00EE198F"/>
    <w:rsid w:val="00EE26C1"/>
    <w:rsid w:val="00EE28FD"/>
    <w:rsid w:val="00EE3140"/>
    <w:rsid w:val="00EE38A0"/>
    <w:rsid w:val="00EE5950"/>
    <w:rsid w:val="00EE7609"/>
    <w:rsid w:val="00EE7967"/>
    <w:rsid w:val="00EF0F32"/>
    <w:rsid w:val="00EF1508"/>
    <w:rsid w:val="00EF1F8B"/>
    <w:rsid w:val="00EF2C53"/>
    <w:rsid w:val="00EF4126"/>
    <w:rsid w:val="00EF42FF"/>
    <w:rsid w:val="00EF4F04"/>
    <w:rsid w:val="00EF5082"/>
    <w:rsid w:val="00EF6A3C"/>
    <w:rsid w:val="00EF6C9B"/>
    <w:rsid w:val="00EF732B"/>
    <w:rsid w:val="00F0019E"/>
    <w:rsid w:val="00F00200"/>
    <w:rsid w:val="00F0111E"/>
    <w:rsid w:val="00F01441"/>
    <w:rsid w:val="00F01862"/>
    <w:rsid w:val="00F02238"/>
    <w:rsid w:val="00F034F9"/>
    <w:rsid w:val="00F046F3"/>
    <w:rsid w:val="00F04C12"/>
    <w:rsid w:val="00F0573A"/>
    <w:rsid w:val="00F05B39"/>
    <w:rsid w:val="00F05BCC"/>
    <w:rsid w:val="00F05BE0"/>
    <w:rsid w:val="00F07772"/>
    <w:rsid w:val="00F0795E"/>
    <w:rsid w:val="00F07D13"/>
    <w:rsid w:val="00F10C20"/>
    <w:rsid w:val="00F10D8B"/>
    <w:rsid w:val="00F1123A"/>
    <w:rsid w:val="00F11436"/>
    <w:rsid w:val="00F11BC2"/>
    <w:rsid w:val="00F12215"/>
    <w:rsid w:val="00F12842"/>
    <w:rsid w:val="00F13968"/>
    <w:rsid w:val="00F13FDB"/>
    <w:rsid w:val="00F1408D"/>
    <w:rsid w:val="00F144C2"/>
    <w:rsid w:val="00F15540"/>
    <w:rsid w:val="00F16089"/>
    <w:rsid w:val="00F1641F"/>
    <w:rsid w:val="00F17022"/>
    <w:rsid w:val="00F209DF"/>
    <w:rsid w:val="00F20BA9"/>
    <w:rsid w:val="00F20F5B"/>
    <w:rsid w:val="00F23082"/>
    <w:rsid w:val="00F24200"/>
    <w:rsid w:val="00F24E4A"/>
    <w:rsid w:val="00F25B79"/>
    <w:rsid w:val="00F2619B"/>
    <w:rsid w:val="00F261FB"/>
    <w:rsid w:val="00F26BCA"/>
    <w:rsid w:val="00F27269"/>
    <w:rsid w:val="00F276C1"/>
    <w:rsid w:val="00F276EC"/>
    <w:rsid w:val="00F3012A"/>
    <w:rsid w:val="00F302BB"/>
    <w:rsid w:val="00F3059B"/>
    <w:rsid w:val="00F30808"/>
    <w:rsid w:val="00F30CDB"/>
    <w:rsid w:val="00F31402"/>
    <w:rsid w:val="00F3164A"/>
    <w:rsid w:val="00F31DAD"/>
    <w:rsid w:val="00F325D1"/>
    <w:rsid w:val="00F32E26"/>
    <w:rsid w:val="00F33078"/>
    <w:rsid w:val="00F33A2E"/>
    <w:rsid w:val="00F34341"/>
    <w:rsid w:val="00F34678"/>
    <w:rsid w:val="00F34AA0"/>
    <w:rsid w:val="00F3597D"/>
    <w:rsid w:val="00F3601A"/>
    <w:rsid w:val="00F36A79"/>
    <w:rsid w:val="00F3762E"/>
    <w:rsid w:val="00F400EB"/>
    <w:rsid w:val="00F40CC2"/>
    <w:rsid w:val="00F41856"/>
    <w:rsid w:val="00F41A0C"/>
    <w:rsid w:val="00F42612"/>
    <w:rsid w:val="00F42A0D"/>
    <w:rsid w:val="00F43343"/>
    <w:rsid w:val="00F439A8"/>
    <w:rsid w:val="00F44272"/>
    <w:rsid w:val="00F44924"/>
    <w:rsid w:val="00F44BA0"/>
    <w:rsid w:val="00F44EBB"/>
    <w:rsid w:val="00F45520"/>
    <w:rsid w:val="00F457D1"/>
    <w:rsid w:val="00F46497"/>
    <w:rsid w:val="00F47072"/>
    <w:rsid w:val="00F471C0"/>
    <w:rsid w:val="00F47662"/>
    <w:rsid w:val="00F479F0"/>
    <w:rsid w:val="00F501F8"/>
    <w:rsid w:val="00F505D7"/>
    <w:rsid w:val="00F50A7D"/>
    <w:rsid w:val="00F50CCB"/>
    <w:rsid w:val="00F52E12"/>
    <w:rsid w:val="00F5315B"/>
    <w:rsid w:val="00F541A4"/>
    <w:rsid w:val="00F54E90"/>
    <w:rsid w:val="00F5612E"/>
    <w:rsid w:val="00F57C87"/>
    <w:rsid w:val="00F57DA9"/>
    <w:rsid w:val="00F601E6"/>
    <w:rsid w:val="00F60659"/>
    <w:rsid w:val="00F6114C"/>
    <w:rsid w:val="00F61980"/>
    <w:rsid w:val="00F61BA1"/>
    <w:rsid w:val="00F622A9"/>
    <w:rsid w:val="00F63EAC"/>
    <w:rsid w:val="00F644BE"/>
    <w:rsid w:val="00F64CC7"/>
    <w:rsid w:val="00F64E41"/>
    <w:rsid w:val="00F6505E"/>
    <w:rsid w:val="00F659A1"/>
    <w:rsid w:val="00F6620E"/>
    <w:rsid w:val="00F66834"/>
    <w:rsid w:val="00F6776C"/>
    <w:rsid w:val="00F67D8B"/>
    <w:rsid w:val="00F70417"/>
    <w:rsid w:val="00F707B7"/>
    <w:rsid w:val="00F70858"/>
    <w:rsid w:val="00F70ADA"/>
    <w:rsid w:val="00F70C25"/>
    <w:rsid w:val="00F714F9"/>
    <w:rsid w:val="00F71914"/>
    <w:rsid w:val="00F72F6E"/>
    <w:rsid w:val="00F739F5"/>
    <w:rsid w:val="00F7429F"/>
    <w:rsid w:val="00F7470A"/>
    <w:rsid w:val="00F75001"/>
    <w:rsid w:val="00F755F9"/>
    <w:rsid w:val="00F75E65"/>
    <w:rsid w:val="00F76F32"/>
    <w:rsid w:val="00F77566"/>
    <w:rsid w:val="00F80280"/>
    <w:rsid w:val="00F802C0"/>
    <w:rsid w:val="00F80585"/>
    <w:rsid w:val="00F80707"/>
    <w:rsid w:val="00F80A8C"/>
    <w:rsid w:val="00F811CF"/>
    <w:rsid w:val="00F82A53"/>
    <w:rsid w:val="00F82CD4"/>
    <w:rsid w:val="00F83001"/>
    <w:rsid w:val="00F83CB7"/>
    <w:rsid w:val="00F84E8A"/>
    <w:rsid w:val="00F850B4"/>
    <w:rsid w:val="00F85399"/>
    <w:rsid w:val="00F85505"/>
    <w:rsid w:val="00F85E21"/>
    <w:rsid w:val="00F86C7E"/>
    <w:rsid w:val="00F86EA7"/>
    <w:rsid w:val="00F87123"/>
    <w:rsid w:val="00F902DF"/>
    <w:rsid w:val="00F90DD0"/>
    <w:rsid w:val="00F9105A"/>
    <w:rsid w:val="00F913E0"/>
    <w:rsid w:val="00F91C30"/>
    <w:rsid w:val="00F91C97"/>
    <w:rsid w:val="00F925EC"/>
    <w:rsid w:val="00F9301D"/>
    <w:rsid w:val="00F934D9"/>
    <w:rsid w:val="00F93650"/>
    <w:rsid w:val="00F9375A"/>
    <w:rsid w:val="00F944C6"/>
    <w:rsid w:val="00F947FA"/>
    <w:rsid w:val="00F95030"/>
    <w:rsid w:val="00F95436"/>
    <w:rsid w:val="00F95921"/>
    <w:rsid w:val="00F959A8"/>
    <w:rsid w:val="00F95E22"/>
    <w:rsid w:val="00F96476"/>
    <w:rsid w:val="00F9753F"/>
    <w:rsid w:val="00FA06C1"/>
    <w:rsid w:val="00FA0EE9"/>
    <w:rsid w:val="00FA1026"/>
    <w:rsid w:val="00FA12B5"/>
    <w:rsid w:val="00FA2DD4"/>
    <w:rsid w:val="00FA2EB7"/>
    <w:rsid w:val="00FA310E"/>
    <w:rsid w:val="00FA39D9"/>
    <w:rsid w:val="00FA44C2"/>
    <w:rsid w:val="00FA4709"/>
    <w:rsid w:val="00FA5440"/>
    <w:rsid w:val="00FA5A96"/>
    <w:rsid w:val="00FA6984"/>
    <w:rsid w:val="00FA6E78"/>
    <w:rsid w:val="00FA7C7D"/>
    <w:rsid w:val="00FB0136"/>
    <w:rsid w:val="00FB13DA"/>
    <w:rsid w:val="00FB1659"/>
    <w:rsid w:val="00FB1EB4"/>
    <w:rsid w:val="00FB1FA9"/>
    <w:rsid w:val="00FB3658"/>
    <w:rsid w:val="00FB3B0E"/>
    <w:rsid w:val="00FB59C9"/>
    <w:rsid w:val="00FB5BC2"/>
    <w:rsid w:val="00FB62CF"/>
    <w:rsid w:val="00FB68C5"/>
    <w:rsid w:val="00FB7035"/>
    <w:rsid w:val="00FB7A2C"/>
    <w:rsid w:val="00FB7A74"/>
    <w:rsid w:val="00FC11B3"/>
    <w:rsid w:val="00FC13F1"/>
    <w:rsid w:val="00FC1E7E"/>
    <w:rsid w:val="00FC2E4A"/>
    <w:rsid w:val="00FC3503"/>
    <w:rsid w:val="00FC362D"/>
    <w:rsid w:val="00FC36E4"/>
    <w:rsid w:val="00FC5486"/>
    <w:rsid w:val="00FC5FDD"/>
    <w:rsid w:val="00FC6773"/>
    <w:rsid w:val="00FC67C9"/>
    <w:rsid w:val="00FC6E59"/>
    <w:rsid w:val="00FC7C02"/>
    <w:rsid w:val="00FD03C2"/>
    <w:rsid w:val="00FD1158"/>
    <w:rsid w:val="00FD1732"/>
    <w:rsid w:val="00FD29B7"/>
    <w:rsid w:val="00FD2B0D"/>
    <w:rsid w:val="00FD2D2C"/>
    <w:rsid w:val="00FD4C8B"/>
    <w:rsid w:val="00FD63DF"/>
    <w:rsid w:val="00FD669F"/>
    <w:rsid w:val="00FD72A0"/>
    <w:rsid w:val="00FD78E0"/>
    <w:rsid w:val="00FD7939"/>
    <w:rsid w:val="00FD7ECD"/>
    <w:rsid w:val="00FE053F"/>
    <w:rsid w:val="00FE0A22"/>
    <w:rsid w:val="00FE0AA1"/>
    <w:rsid w:val="00FE1115"/>
    <w:rsid w:val="00FE138A"/>
    <w:rsid w:val="00FE167F"/>
    <w:rsid w:val="00FE1845"/>
    <w:rsid w:val="00FE3423"/>
    <w:rsid w:val="00FE37EA"/>
    <w:rsid w:val="00FE3DE0"/>
    <w:rsid w:val="00FE4117"/>
    <w:rsid w:val="00FE467B"/>
    <w:rsid w:val="00FE51FE"/>
    <w:rsid w:val="00FE6102"/>
    <w:rsid w:val="00FE626E"/>
    <w:rsid w:val="00FE7250"/>
    <w:rsid w:val="00FE7338"/>
    <w:rsid w:val="00FE7F17"/>
    <w:rsid w:val="00FF0947"/>
    <w:rsid w:val="00FF1A60"/>
    <w:rsid w:val="00FF1E17"/>
    <w:rsid w:val="00FF1EB4"/>
    <w:rsid w:val="00FF1F24"/>
    <w:rsid w:val="00FF30A4"/>
    <w:rsid w:val="00FF3B74"/>
    <w:rsid w:val="00FF3B77"/>
    <w:rsid w:val="00FF49CE"/>
    <w:rsid w:val="00FF52E3"/>
    <w:rsid w:val="00FF53CE"/>
    <w:rsid w:val="00FF65BD"/>
    <w:rsid w:val="00FF6772"/>
    <w:rsid w:val="00FF6FEB"/>
    <w:rsid w:val="00FF7004"/>
    <w:rsid w:val="00FF70F1"/>
    <w:rsid w:val="00FF73D9"/>
    <w:rsid w:val="00FF7843"/>
    <w:rsid w:val="00FF7FA9"/>
    <w:rsid w:val="028705FE"/>
    <w:rsid w:val="029319D7"/>
    <w:rsid w:val="033B352A"/>
    <w:rsid w:val="036B4971"/>
    <w:rsid w:val="04005FA1"/>
    <w:rsid w:val="054E514F"/>
    <w:rsid w:val="05A70A0D"/>
    <w:rsid w:val="05AC0574"/>
    <w:rsid w:val="05BC419D"/>
    <w:rsid w:val="06C61066"/>
    <w:rsid w:val="06D70337"/>
    <w:rsid w:val="06DF0467"/>
    <w:rsid w:val="06F227DE"/>
    <w:rsid w:val="07632E46"/>
    <w:rsid w:val="086F1377"/>
    <w:rsid w:val="0880716F"/>
    <w:rsid w:val="08D11305"/>
    <w:rsid w:val="09437EA7"/>
    <w:rsid w:val="09DC17C2"/>
    <w:rsid w:val="09E84E10"/>
    <w:rsid w:val="0A70684A"/>
    <w:rsid w:val="0A951F6E"/>
    <w:rsid w:val="0B3C04E9"/>
    <w:rsid w:val="0B6E1848"/>
    <w:rsid w:val="0B790E74"/>
    <w:rsid w:val="0BB377CC"/>
    <w:rsid w:val="0BBE572F"/>
    <w:rsid w:val="0BE4725F"/>
    <w:rsid w:val="0BFA53E6"/>
    <w:rsid w:val="0C7F72BD"/>
    <w:rsid w:val="0D844120"/>
    <w:rsid w:val="0D9E60D7"/>
    <w:rsid w:val="0F3B2F67"/>
    <w:rsid w:val="0F4D75A3"/>
    <w:rsid w:val="0F9A500F"/>
    <w:rsid w:val="10DC2790"/>
    <w:rsid w:val="116077A0"/>
    <w:rsid w:val="11E25FD6"/>
    <w:rsid w:val="11FB3784"/>
    <w:rsid w:val="12427DF1"/>
    <w:rsid w:val="1276671B"/>
    <w:rsid w:val="12B5207C"/>
    <w:rsid w:val="12BA5DE6"/>
    <w:rsid w:val="13655850"/>
    <w:rsid w:val="13F4123B"/>
    <w:rsid w:val="13FF2FB9"/>
    <w:rsid w:val="1462087C"/>
    <w:rsid w:val="14C821B2"/>
    <w:rsid w:val="15252A84"/>
    <w:rsid w:val="15E76A24"/>
    <w:rsid w:val="16CB43D6"/>
    <w:rsid w:val="170D0382"/>
    <w:rsid w:val="173F3753"/>
    <w:rsid w:val="174801F6"/>
    <w:rsid w:val="17827F02"/>
    <w:rsid w:val="17C57205"/>
    <w:rsid w:val="182E7070"/>
    <w:rsid w:val="183F1D1A"/>
    <w:rsid w:val="19F97358"/>
    <w:rsid w:val="1A44209D"/>
    <w:rsid w:val="1A553748"/>
    <w:rsid w:val="1A6754AF"/>
    <w:rsid w:val="1AE3378E"/>
    <w:rsid w:val="1AFA6EBD"/>
    <w:rsid w:val="1C5D0427"/>
    <w:rsid w:val="1C7B3169"/>
    <w:rsid w:val="1C933E4A"/>
    <w:rsid w:val="1D976F4E"/>
    <w:rsid w:val="1F444EB4"/>
    <w:rsid w:val="1F584806"/>
    <w:rsid w:val="1F5F3A9B"/>
    <w:rsid w:val="206977D9"/>
    <w:rsid w:val="211108FC"/>
    <w:rsid w:val="215D225D"/>
    <w:rsid w:val="21A613C7"/>
    <w:rsid w:val="223733C1"/>
    <w:rsid w:val="224E294F"/>
    <w:rsid w:val="226C214F"/>
    <w:rsid w:val="22854FFE"/>
    <w:rsid w:val="22E31283"/>
    <w:rsid w:val="2348000B"/>
    <w:rsid w:val="24D24935"/>
    <w:rsid w:val="24F65A79"/>
    <w:rsid w:val="257A2AD3"/>
    <w:rsid w:val="25867FD4"/>
    <w:rsid w:val="25AB26B2"/>
    <w:rsid w:val="25BB7DA5"/>
    <w:rsid w:val="2617522C"/>
    <w:rsid w:val="26D7248F"/>
    <w:rsid w:val="279B588D"/>
    <w:rsid w:val="2849353B"/>
    <w:rsid w:val="2870458C"/>
    <w:rsid w:val="28F05E10"/>
    <w:rsid w:val="29C0782D"/>
    <w:rsid w:val="2CC827E0"/>
    <w:rsid w:val="2D412A32"/>
    <w:rsid w:val="2E224CAB"/>
    <w:rsid w:val="2E345C41"/>
    <w:rsid w:val="2FAF694F"/>
    <w:rsid w:val="2FDB2CCA"/>
    <w:rsid w:val="300D3295"/>
    <w:rsid w:val="30B67293"/>
    <w:rsid w:val="313145D4"/>
    <w:rsid w:val="31C07988"/>
    <w:rsid w:val="3265795A"/>
    <w:rsid w:val="33F16F60"/>
    <w:rsid w:val="34514DEA"/>
    <w:rsid w:val="34A5067E"/>
    <w:rsid w:val="34CC3D50"/>
    <w:rsid w:val="354E2190"/>
    <w:rsid w:val="35645814"/>
    <w:rsid w:val="359441D9"/>
    <w:rsid w:val="36232BAE"/>
    <w:rsid w:val="364838ED"/>
    <w:rsid w:val="36682807"/>
    <w:rsid w:val="36D43325"/>
    <w:rsid w:val="37976071"/>
    <w:rsid w:val="37A63B05"/>
    <w:rsid w:val="37F86297"/>
    <w:rsid w:val="38077A24"/>
    <w:rsid w:val="390F6A61"/>
    <w:rsid w:val="396E7383"/>
    <w:rsid w:val="39822E25"/>
    <w:rsid w:val="39A33E38"/>
    <w:rsid w:val="39B07817"/>
    <w:rsid w:val="39E30BB5"/>
    <w:rsid w:val="39F775D0"/>
    <w:rsid w:val="3AB70F8D"/>
    <w:rsid w:val="3B115497"/>
    <w:rsid w:val="3BB84807"/>
    <w:rsid w:val="3BD261FC"/>
    <w:rsid w:val="3DF5764D"/>
    <w:rsid w:val="3E293D3D"/>
    <w:rsid w:val="3E546CEB"/>
    <w:rsid w:val="3F657D6E"/>
    <w:rsid w:val="401C19E8"/>
    <w:rsid w:val="417567E6"/>
    <w:rsid w:val="418827F6"/>
    <w:rsid w:val="421440A0"/>
    <w:rsid w:val="427914F2"/>
    <w:rsid w:val="42926285"/>
    <w:rsid w:val="42C83582"/>
    <w:rsid w:val="42DA0C6E"/>
    <w:rsid w:val="430640AA"/>
    <w:rsid w:val="43572B58"/>
    <w:rsid w:val="43920409"/>
    <w:rsid w:val="43AB748D"/>
    <w:rsid w:val="44252AFD"/>
    <w:rsid w:val="44663A11"/>
    <w:rsid w:val="44FA1BC9"/>
    <w:rsid w:val="450966EF"/>
    <w:rsid w:val="45412657"/>
    <w:rsid w:val="45EE67C2"/>
    <w:rsid w:val="463C3C8B"/>
    <w:rsid w:val="464A0752"/>
    <w:rsid w:val="465877C4"/>
    <w:rsid w:val="471A0124"/>
    <w:rsid w:val="47246B0D"/>
    <w:rsid w:val="476612EE"/>
    <w:rsid w:val="478B4272"/>
    <w:rsid w:val="47EA5B27"/>
    <w:rsid w:val="484771DF"/>
    <w:rsid w:val="48BD6E6E"/>
    <w:rsid w:val="48F15695"/>
    <w:rsid w:val="49553696"/>
    <w:rsid w:val="495F4D4E"/>
    <w:rsid w:val="49782573"/>
    <w:rsid w:val="4A0467BF"/>
    <w:rsid w:val="4A1C5E76"/>
    <w:rsid w:val="4AF831D9"/>
    <w:rsid w:val="4B3A2F93"/>
    <w:rsid w:val="4C8C73CE"/>
    <w:rsid w:val="4C9E4575"/>
    <w:rsid w:val="4CDF200B"/>
    <w:rsid w:val="4D8818A4"/>
    <w:rsid w:val="4DBF18E4"/>
    <w:rsid w:val="4DC05945"/>
    <w:rsid w:val="4DFA772A"/>
    <w:rsid w:val="4FBF2B30"/>
    <w:rsid w:val="50070AD0"/>
    <w:rsid w:val="51854483"/>
    <w:rsid w:val="51E03E4F"/>
    <w:rsid w:val="51E57C49"/>
    <w:rsid w:val="524A1ECB"/>
    <w:rsid w:val="52FA53F4"/>
    <w:rsid w:val="53A72D40"/>
    <w:rsid w:val="54491131"/>
    <w:rsid w:val="54B11E63"/>
    <w:rsid w:val="54E831A5"/>
    <w:rsid w:val="5736398C"/>
    <w:rsid w:val="577C3B37"/>
    <w:rsid w:val="59034EBC"/>
    <w:rsid w:val="59036C6A"/>
    <w:rsid w:val="5A4159A9"/>
    <w:rsid w:val="5A633C89"/>
    <w:rsid w:val="5AE9425B"/>
    <w:rsid w:val="5AF078D1"/>
    <w:rsid w:val="5B696393"/>
    <w:rsid w:val="5B7B1804"/>
    <w:rsid w:val="5B7D7635"/>
    <w:rsid w:val="5BC01A76"/>
    <w:rsid w:val="5C3948AE"/>
    <w:rsid w:val="5C475F9E"/>
    <w:rsid w:val="5D684457"/>
    <w:rsid w:val="5D6F5467"/>
    <w:rsid w:val="5E111E29"/>
    <w:rsid w:val="5E300EEE"/>
    <w:rsid w:val="5EAE747B"/>
    <w:rsid w:val="5F34520E"/>
    <w:rsid w:val="5F6A0255"/>
    <w:rsid w:val="601445A3"/>
    <w:rsid w:val="601C5B46"/>
    <w:rsid w:val="606A15ED"/>
    <w:rsid w:val="6393508F"/>
    <w:rsid w:val="63A63330"/>
    <w:rsid w:val="63AD641C"/>
    <w:rsid w:val="644665A5"/>
    <w:rsid w:val="647153D0"/>
    <w:rsid w:val="65D90B98"/>
    <w:rsid w:val="65FD5875"/>
    <w:rsid w:val="66313589"/>
    <w:rsid w:val="670818F0"/>
    <w:rsid w:val="676E702E"/>
    <w:rsid w:val="67F10FCD"/>
    <w:rsid w:val="68071BA7"/>
    <w:rsid w:val="68B275A0"/>
    <w:rsid w:val="69826A39"/>
    <w:rsid w:val="69A74ED5"/>
    <w:rsid w:val="69D837FB"/>
    <w:rsid w:val="6A835E5D"/>
    <w:rsid w:val="6AFB752E"/>
    <w:rsid w:val="6B991EF6"/>
    <w:rsid w:val="6C0A331C"/>
    <w:rsid w:val="6CD74B68"/>
    <w:rsid w:val="6D0D797F"/>
    <w:rsid w:val="6D881C70"/>
    <w:rsid w:val="6E0C11B0"/>
    <w:rsid w:val="6E3C0C9C"/>
    <w:rsid w:val="6E446298"/>
    <w:rsid w:val="6E673F14"/>
    <w:rsid w:val="6EBF42F0"/>
    <w:rsid w:val="6F0230C8"/>
    <w:rsid w:val="6FDD6381"/>
    <w:rsid w:val="6FF81729"/>
    <w:rsid w:val="70A231F8"/>
    <w:rsid w:val="72822E9E"/>
    <w:rsid w:val="728C471B"/>
    <w:rsid w:val="733E1211"/>
    <w:rsid w:val="73AF1A71"/>
    <w:rsid w:val="73FB4CB6"/>
    <w:rsid w:val="7418207D"/>
    <w:rsid w:val="74AA237E"/>
    <w:rsid w:val="77470212"/>
    <w:rsid w:val="7750345B"/>
    <w:rsid w:val="7849732E"/>
    <w:rsid w:val="788F00C3"/>
    <w:rsid w:val="797866AB"/>
    <w:rsid w:val="7B4A52E9"/>
    <w:rsid w:val="7D4D5A35"/>
    <w:rsid w:val="7DA75CF8"/>
    <w:rsid w:val="7DF37ED1"/>
    <w:rsid w:val="7E344721"/>
    <w:rsid w:val="7EA55E7F"/>
    <w:rsid w:val="7EAD12A3"/>
    <w:rsid w:val="7FC26B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qFormat="1" w:unhideWhenUsed="0"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nhideWhenUsed="0" w:uiPriority="39" w:semiHidden="0" w:name="toc 8"/>
    <w:lsdException w:qFormat="1" w:uiPriority="39" w:semiHidden="0" w:name="toc 9"/>
    <w:lsdException w:qFormat="1" w:unhideWhenUsed="0" w:uiPriority="0" w:semiHidden="0" w:name="Normal Indent"/>
    <w:lsdException w:uiPriority="0" w:name="footnote text"/>
    <w:lsdException w:qFormat="1" w:unhideWhenUsed="0" w:uiPriority="99"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6"/>
    <w:qFormat/>
    <w:uiPriority w:val="0"/>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2"/>
    <w:link w:val="87"/>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5">
    <w:name w:val="heading 3"/>
    <w:basedOn w:val="1"/>
    <w:next w:val="1"/>
    <w:link w:val="71"/>
    <w:qFormat/>
    <w:uiPriority w:val="0"/>
    <w:pPr>
      <w:keepNext/>
      <w:keepLines/>
      <w:spacing w:before="260" w:after="260" w:line="416" w:lineRule="auto"/>
      <w:outlineLvl w:val="2"/>
    </w:pPr>
    <w:rPr>
      <w:b/>
      <w:bCs/>
      <w:sz w:val="32"/>
      <w:szCs w:val="32"/>
    </w:rPr>
  </w:style>
  <w:style w:type="paragraph" w:styleId="6">
    <w:name w:val="heading 4"/>
    <w:basedOn w:val="1"/>
    <w:next w:val="1"/>
    <w:link w:val="5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88"/>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2"/>
    <w:link w:val="89"/>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53"/>
    <w:qFormat/>
    <w:uiPriority w:val="0"/>
    <w:pPr>
      <w:keepNext/>
      <w:keepLines/>
      <w:spacing w:before="240" w:after="64" w:line="320" w:lineRule="auto"/>
      <w:outlineLvl w:val="6"/>
    </w:pPr>
    <w:rPr>
      <w:b/>
      <w:sz w:val="24"/>
      <w:szCs w:val="20"/>
    </w:rPr>
  </w:style>
  <w:style w:type="paragraph" w:styleId="10">
    <w:name w:val="heading 8"/>
    <w:basedOn w:val="1"/>
    <w:next w:val="2"/>
    <w:link w:val="90"/>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54"/>
    <w:qFormat/>
    <w:uiPriority w:val="0"/>
    <w:pPr>
      <w:keepNext/>
      <w:keepLines/>
      <w:spacing w:before="240" w:after="64" w:line="320" w:lineRule="auto"/>
      <w:outlineLvl w:val="8"/>
    </w:pPr>
    <w:rPr>
      <w:rFonts w:ascii="Arial" w:hAnsi="Arial" w:eastAsia="黑体"/>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58"/>
    <w:qFormat/>
    <w:uiPriority w:val="0"/>
    <w:pPr>
      <w:ind w:firstLine="420"/>
    </w:pPr>
    <w:rPr>
      <w:szCs w:val="20"/>
    </w:rPr>
  </w:style>
  <w:style w:type="paragraph" w:styleId="12">
    <w:name w:val="toc 7"/>
    <w:basedOn w:val="1"/>
    <w:next w:val="1"/>
    <w:unhideWhenUsed/>
    <w:qFormat/>
    <w:uiPriority w:val="39"/>
    <w:pPr>
      <w:ind w:left="1260"/>
      <w:jc w:val="left"/>
    </w:pPr>
    <w:rPr>
      <w:rFonts w:ascii="Calibri" w:hAnsi="Calibri"/>
      <w:sz w:val="18"/>
      <w:szCs w:val="18"/>
    </w:rPr>
  </w:style>
  <w:style w:type="paragraph" w:styleId="13">
    <w:name w:val="caption"/>
    <w:basedOn w:val="1"/>
    <w:next w:val="1"/>
    <w:link w:val="77"/>
    <w:qFormat/>
    <w:uiPriority w:val="0"/>
    <w:rPr>
      <w:rFonts w:ascii="Arial" w:hAnsi="Arial" w:eastAsia="黑体"/>
      <w:sz w:val="20"/>
      <w:szCs w:val="20"/>
    </w:rPr>
  </w:style>
  <w:style w:type="paragraph" w:styleId="14">
    <w:name w:val="Document Map"/>
    <w:basedOn w:val="1"/>
    <w:semiHidden/>
    <w:qFormat/>
    <w:uiPriority w:val="0"/>
    <w:pPr>
      <w:shd w:val="clear" w:color="auto" w:fill="000080"/>
    </w:pPr>
  </w:style>
  <w:style w:type="paragraph" w:styleId="15">
    <w:name w:val="toa heading"/>
    <w:basedOn w:val="1"/>
    <w:next w:val="1"/>
    <w:semiHidden/>
    <w:qFormat/>
    <w:uiPriority w:val="0"/>
    <w:pPr>
      <w:spacing w:before="120"/>
    </w:pPr>
    <w:rPr>
      <w:rFonts w:ascii="Arial" w:hAnsi="Arial"/>
      <w:sz w:val="24"/>
      <w:szCs w:val="20"/>
    </w:rPr>
  </w:style>
  <w:style w:type="paragraph" w:styleId="16">
    <w:name w:val="annotation text"/>
    <w:basedOn w:val="1"/>
    <w:link w:val="70"/>
    <w:semiHidden/>
    <w:qFormat/>
    <w:uiPriority w:val="99"/>
    <w:pPr>
      <w:jc w:val="left"/>
    </w:p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szCs w:val="20"/>
    </w:rPr>
  </w:style>
  <w:style w:type="paragraph" w:styleId="19">
    <w:name w:val="Body Text Indent"/>
    <w:basedOn w:val="1"/>
    <w:link w:val="63"/>
    <w:qFormat/>
    <w:uiPriority w:val="99"/>
    <w:pPr>
      <w:ind w:firstLine="830" w:firstLineChars="352"/>
    </w:pPr>
    <w:rPr>
      <w:rFonts w:ascii="仿宋_GB2312" w:eastAsia="仿宋_GB2312"/>
      <w:sz w:val="32"/>
      <w:szCs w:val="20"/>
    </w:rPr>
  </w:style>
  <w:style w:type="paragraph" w:styleId="20">
    <w:name w:val="toc 5"/>
    <w:basedOn w:val="1"/>
    <w:next w:val="1"/>
    <w:unhideWhenUsed/>
    <w:qFormat/>
    <w:uiPriority w:val="39"/>
    <w:pPr>
      <w:ind w:left="840"/>
      <w:jc w:val="left"/>
    </w:pPr>
    <w:rPr>
      <w:rFonts w:ascii="Calibri" w:hAnsi="Calibri"/>
      <w:sz w:val="18"/>
      <w:szCs w:val="18"/>
    </w:rPr>
  </w:style>
  <w:style w:type="paragraph" w:styleId="21">
    <w:name w:val="toc 3"/>
    <w:basedOn w:val="1"/>
    <w:next w:val="1"/>
    <w:qFormat/>
    <w:uiPriority w:val="39"/>
    <w:pPr>
      <w:tabs>
        <w:tab w:val="left" w:pos="900"/>
        <w:tab w:val="left" w:pos="1080"/>
      </w:tabs>
      <w:ind w:left="100" w:leftChars="100"/>
    </w:pPr>
    <w:rPr>
      <w:rFonts w:ascii="宋体" w:hAnsi="宋体"/>
      <w:iCs/>
    </w:rPr>
  </w:style>
  <w:style w:type="paragraph" w:styleId="22">
    <w:name w:val="Plain Text"/>
    <w:basedOn w:val="1"/>
    <w:link w:val="67"/>
    <w:qFormat/>
    <w:uiPriority w:val="0"/>
    <w:rPr>
      <w:rFonts w:ascii="宋体" w:hAnsi="Courier New" w:cs="Courier New"/>
      <w:szCs w:val="21"/>
    </w:rPr>
  </w:style>
  <w:style w:type="paragraph" w:styleId="23">
    <w:name w:val="toc 8"/>
    <w:basedOn w:val="1"/>
    <w:next w:val="1"/>
    <w:qFormat/>
    <w:uiPriority w:val="39"/>
    <w:pPr>
      <w:ind w:left="1470"/>
      <w:jc w:val="left"/>
    </w:pPr>
    <w:rPr>
      <w:rFonts w:ascii="Calibri" w:hAnsi="Calibri"/>
      <w:sz w:val="18"/>
      <w:szCs w:val="18"/>
    </w:rPr>
  </w:style>
  <w:style w:type="paragraph" w:styleId="24">
    <w:name w:val="index 3"/>
    <w:basedOn w:val="1"/>
    <w:next w:val="1"/>
    <w:semiHidden/>
    <w:qFormat/>
    <w:uiPriority w:val="0"/>
    <w:pPr>
      <w:ind w:left="400" w:leftChars="400"/>
    </w:pPr>
  </w:style>
  <w:style w:type="paragraph" w:styleId="25">
    <w:name w:val="Date"/>
    <w:basedOn w:val="1"/>
    <w:next w:val="1"/>
    <w:qFormat/>
    <w:uiPriority w:val="0"/>
    <w:rPr>
      <w:rFonts w:ascii="宋体" w:hAnsi="Courier New"/>
      <w:b/>
      <w:sz w:val="48"/>
      <w:szCs w:val="20"/>
    </w:rPr>
  </w:style>
  <w:style w:type="paragraph" w:styleId="26">
    <w:name w:val="Body Text Indent 2"/>
    <w:basedOn w:val="1"/>
    <w:link w:val="92"/>
    <w:qFormat/>
    <w:uiPriority w:val="0"/>
    <w:pPr>
      <w:spacing w:after="120" w:line="480" w:lineRule="auto"/>
      <w:ind w:left="420" w:leftChars="200"/>
    </w:pPr>
  </w:style>
  <w:style w:type="paragraph" w:styleId="27">
    <w:name w:val="Balloon Text"/>
    <w:basedOn w:val="1"/>
    <w:link w:val="62"/>
    <w:semiHidden/>
    <w:qFormat/>
    <w:uiPriority w:val="0"/>
    <w:rPr>
      <w:sz w:val="18"/>
      <w:szCs w:val="18"/>
    </w:rPr>
  </w:style>
  <w:style w:type="paragraph" w:styleId="28">
    <w:name w:val="footer"/>
    <w:basedOn w:val="1"/>
    <w:link w:val="80"/>
    <w:qFormat/>
    <w:uiPriority w:val="0"/>
    <w:pPr>
      <w:tabs>
        <w:tab w:val="center" w:pos="4153"/>
        <w:tab w:val="right" w:pos="8306"/>
      </w:tabs>
      <w:snapToGrid w:val="0"/>
      <w:jc w:val="left"/>
    </w:pPr>
    <w:rPr>
      <w:sz w:val="18"/>
      <w:szCs w:val="18"/>
    </w:rPr>
  </w:style>
  <w:style w:type="paragraph" w:styleId="29">
    <w:name w:val="header"/>
    <w:basedOn w:val="1"/>
    <w:link w:val="59"/>
    <w:qFormat/>
    <w:uiPriority w:val="0"/>
    <w:pPr>
      <w:pBdr>
        <w:bottom w:val="single" w:color="auto" w:sz="6" w:space="1"/>
      </w:pBdr>
      <w:tabs>
        <w:tab w:val="center" w:pos="4153"/>
        <w:tab w:val="right" w:pos="8306"/>
      </w:tabs>
      <w:snapToGrid w:val="0"/>
      <w:jc w:val="center"/>
    </w:pPr>
    <w:rPr>
      <w:rFonts w:hAnsi="宋体"/>
      <w:color w:val="000000"/>
      <w:sz w:val="18"/>
      <w:szCs w:val="18"/>
    </w:rPr>
  </w:style>
  <w:style w:type="paragraph" w:styleId="30">
    <w:name w:val="toc 1"/>
    <w:basedOn w:val="1"/>
    <w:next w:val="1"/>
    <w:qFormat/>
    <w:uiPriority w:val="39"/>
    <w:pPr>
      <w:tabs>
        <w:tab w:val="right" w:leader="dot" w:pos="8280"/>
      </w:tabs>
      <w:spacing w:line="360" w:lineRule="auto"/>
    </w:pPr>
    <w:rPr>
      <w:rFonts w:ascii="宋体" w:hAnsi="宋体"/>
      <w:b/>
      <w:sz w:val="22"/>
      <w:szCs w:val="21"/>
    </w:rPr>
  </w:style>
  <w:style w:type="paragraph" w:styleId="31">
    <w:name w:val="toc 4"/>
    <w:basedOn w:val="1"/>
    <w:next w:val="1"/>
    <w:unhideWhenUsed/>
    <w:qFormat/>
    <w:uiPriority w:val="39"/>
    <w:pPr>
      <w:ind w:left="630"/>
      <w:jc w:val="left"/>
    </w:pPr>
    <w:rPr>
      <w:rFonts w:ascii="Calibri" w:hAnsi="Calibri"/>
      <w:sz w:val="18"/>
      <w:szCs w:val="18"/>
    </w:rPr>
  </w:style>
  <w:style w:type="paragraph" w:styleId="32">
    <w:name w:val="index heading"/>
    <w:basedOn w:val="1"/>
    <w:next w:val="33"/>
    <w:semiHidden/>
    <w:qFormat/>
    <w:uiPriority w:val="0"/>
    <w:rPr>
      <w:szCs w:val="20"/>
    </w:rPr>
  </w:style>
  <w:style w:type="paragraph" w:styleId="33">
    <w:name w:val="index 1"/>
    <w:basedOn w:val="1"/>
    <w:next w:val="1"/>
    <w:semiHidden/>
    <w:qFormat/>
    <w:uiPriority w:val="0"/>
    <w:pPr>
      <w:tabs>
        <w:tab w:val="left" w:pos="7740"/>
      </w:tabs>
      <w:jc w:val="center"/>
    </w:pPr>
    <w:rPr>
      <w:rFonts w:ascii="仿宋" w:hAnsi="仿宋" w:eastAsia="仿宋"/>
      <w:b/>
      <w:sz w:val="28"/>
      <w:szCs w:val="28"/>
    </w:rPr>
  </w:style>
  <w:style w:type="paragraph" w:styleId="34">
    <w:name w:val="toc 6"/>
    <w:basedOn w:val="1"/>
    <w:next w:val="1"/>
    <w:unhideWhenUsed/>
    <w:qFormat/>
    <w:uiPriority w:val="39"/>
    <w:pPr>
      <w:ind w:left="1050"/>
      <w:jc w:val="left"/>
    </w:pPr>
    <w:rPr>
      <w:rFonts w:ascii="Calibri" w:hAnsi="Calibri"/>
      <w:sz w:val="18"/>
      <w:szCs w:val="18"/>
    </w:rPr>
  </w:style>
  <w:style w:type="paragraph" w:styleId="35">
    <w:name w:val="Body Text Indent 3"/>
    <w:basedOn w:val="1"/>
    <w:qFormat/>
    <w:uiPriority w:val="0"/>
    <w:pPr>
      <w:spacing w:line="360" w:lineRule="auto"/>
      <w:ind w:firstLine="420" w:firstLineChars="200"/>
    </w:pPr>
    <w:rPr>
      <w:szCs w:val="20"/>
    </w:rPr>
  </w:style>
  <w:style w:type="paragraph" w:styleId="36">
    <w:name w:val="toc 2"/>
    <w:basedOn w:val="1"/>
    <w:next w:val="1"/>
    <w:qFormat/>
    <w:uiPriority w:val="39"/>
    <w:pPr>
      <w:tabs>
        <w:tab w:val="left" w:pos="840"/>
        <w:tab w:val="right" w:leader="dot" w:pos="8302"/>
      </w:tabs>
      <w:spacing w:line="360" w:lineRule="auto"/>
      <w:ind w:left="210" w:leftChars="100"/>
      <w:jc w:val="left"/>
    </w:pPr>
    <w:rPr>
      <w:rFonts w:ascii="黑体" w:hAnsi="宋体"/>
      <w:smallCaps/>
      <w:kern w:val="44"/>
      <w:szCs w:val="21"/>
    </w:rPr>
  </w:style>
  <w:style w:type="paragraph" w:styleId="37">
    <w:name w:val="toc 9"/>
    <w:basedOn w:val="1"/>
    <w:next w:val="1"/>
    <w:unhideWhenUsed/>
    <w:qFormat/>
    <w:uiPriority w:val="39"/>
    <w:pPr>
      <w:ind w:left="1680"/>
      <w:jc w:val="left"/>
    </w:pPr>
    <w:rPr>
      <w:rFonts w:ascii="Calibri" w:hAnsi="Calibri"/>
      <w:sz w:val="18"/>
      <w:szCs w:val="18"/>
    </w:rPr>
  </w:style>
  <w:style w:type="paragraph" w:styleId="38">
    <w:name w:val="Body Text 2"/>
    <w:basedOn w:val="1"/>
    <w:qFormat/>
    <w:uiPriority w:val="0"/>
    <w:pPr>
      <w:spacing w:line="480" w:lineRule="auto"/>
    </w:pPr>
    <w:rPr>
      <w:szCs w:val="20"/>
    </w:rPr>
  </w:style>
  <w:style w:type="paragraph" w:styleId="39">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0">
    <w:name w:val="Title"/>
    <w:basedOn w:val="1"/>
    <w:link w:val="91"/>
    <w:qFormat/>
    <w:uiPriority w:val="0"/>
    <w:pPr>
      <w:spacing w:before="240" w:after="60"/>
      <w:jc w:val="center"/>
      <w:outlineLvl w:val="0"/>
    </w:pPr>
    <w:rPr>
      <w:rFonts w:ascii="Arial" w:hAnsi="Arial"/>
      <w:b/>
      <w:bCs/>
      <w:sz w:val="32"/>
      <w:szCs w:val="32"/>
    </w:rPr>
  </w:style>
  <w:style w:type="paragraph" w:styleId="41">
    <w:name w:val="annotation subject"/>
    <w:basedOn w:val="16"/>
    <w:next w:val="16"/>
    <w:semiHidden/>
    <w:qFormat/>
    <w:uiPriority w:val="0"/>
    <w:rPr>
      <w:b/>
      <w:bCs/>
    </w:rPr>
  </w:style>
  <w:style w:type="paragraph" w:styleId="42">
    <w:name w:val="Body Text First Indent"/>
    <w:basedOn w:val="18"/>
    <w:qFormat/>
    <w:uiPriority w:val="0"/>
    <w:pPr>
      <w:spacing w:after="120" w:line="240" w:lineRule="auto"/>
      <w:ind w:firstLine="420" w:firstLineChars="100"/>
    </w:pPr>
    <w:rPr>
      <w:szCs w:val="24"/>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rFonts w:ascii="Tahoma" w:hAnsi="Tahoma" w:eastAsia="宋体"/>
      <w:b/>
      <w:bCs/>
      <w:spacing w:val="10"/>
      <w:sz w:val="24"/>
      <w:lang w:val="en-US" w:eastAsia="zh-CN" w:bidi="ar-SA"/>
    </w:rPr>
  </w:style>
  <w:style w:type="character" w:styleId="47">
    <w:name w:val="page number"/>
    <w:basedOn w:val="45"/>
    <w:qFormat/>
    <w:uiPriority w:val="0"/>
  </w:style>
  <w:style w:type="character" w:styleId="48">
    <w:name w:val="Hyperlink"/>
    <w:qFormat/>
    <w:uiPriority w:val="99"/>
    <w:rPr>
      <w:color w:val="0000FF"/>
      <w:u w:val="single"/>
    </w:rPr>
  </w:style>
  <w:style w:type="character" w:styleId="49">
    <w:name w:val="annotation reference"/>
    <w:semiHidden/>
    <w:qFormat/>
    <w:uiPriority w:val="0"/>
    <w:rPr>
      <w:sz w:val="21"/>
      <w:szCs w:val="21"/>
    </w:rPr>
  </w:style>
  <w:style w:type="paragraph" w:customStyle="1" w:styleId="5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1">
    <w:name w:val="标书正文1"/>
    <w:basedOn w:val="1"/>
    <w:qFormat/>
    <w:uiPriority w:val="0"/>
    <w:pPr>
      <w:spacing w:line="520" w:lineRule="exact"/>
      <w:ind w:firstLine="640" w:firstLineChars="200"/>
    </w:pPr>
    <w:rPr>
      <w:rFonts w:ascii="Times New Roman" w:hAnsi="Times New Roman"/>
    </w:rPr>
  </w:style>
  <w:style w:type="character" w:customStyle="1" w:styleId="52">
    <w:name w:val="已访问的超链接1"/>
    <w:qFormat/>
    <w:uiPriority w:val="0"/>
    <w:rPr>
      <w:color w:val="800080"/>
      <w:u w:val="single"/>
    </w:rPr>
  </w:style>
  <w:style w:type="character" w:customStyle="1" w:styleId="53">
    <w:name w:val="标题 7 Char"/>
    <w:link w:val="9"/>
    <w:qFormat/>
    <w:locked/>
    <w:uiPriority w:val="0"/>
    <w:rPr>
      <w:b/>
      <w:kern w:val="2"/>
      <w:sz w:val="24"/>
    </w:rPr>
  </w:style>
  <w:style w:type="character" w:customStyle="1" w:styleId="54">
    <w:name w:val="标题 9 Char"/>
    <w:link w:val="11"/>
    <w:qFormat/>
    <w:locked/>
    <w:uiPriority w:val="0"/>
    <w:rPr>
      <w:rFonts w:ascii="Arial" w:hAnsi="Arial" w:eastAsia="黑体"/>
      <w:kern w:val="2"/>
      <w:sz w:val="21"/>
    </w:rPr>
  </w:style>
  <w:style w:type="character" w:customStyle="1" w:styleId="55">
    <w:name w:val="标题 3 Char1"/>
    <w:qFormat/>
    <w:locked/>
    <w:uiPriority w:val="0"/>
    <w:rPr>
      <w:rFonts w:ascii="宋体" w:hAnsi="Times New Roman"/>
    </w:rPr>
  </w:style>
  <w:style w:type="character" w:customStyle="1" w:styleId="56">
    <w:name w:val="标题 4 Char"/>
    <w:link w:val="6"/>
    <w:qFormat/>
    <w:locked/>
    <w:uiPriority w:val="0"/>
    <w:rPr>
      <w:rFonts w:ascii="Arial" w:hAnsi="Arial" w:eastAsia="黑体"/>
      <w:b/>
      <w:bCs/>
      <w:kern w:val="2"/>
      <w:sz w:val="28"/>
      <w:szCs w:val="28"/>
    </w:rPr>
  </w:style>
  <w:style w:type="character" w:customStyle="1" w:styleId="57">
    <w:name w:val="Char Char8"/>
    <w:qFormat/>
    <w:uiPriority w:val="0"/>
    <w:rPr>
      <w:rFonts w:ascii="宋体" w:hAnsi="Courier New" w:eastAsia="宋体"/>
      <w:kern w:val="2"/>
      <w:sz w:val="21"/>
      <w:lang w:val="en-US" w:eastAsia="zh-CN" w:bidi="ar-SA"/>
    </w:rPr>
  </w:style>
  <w:style w:type="character" w:customStyle="1" w:styleId="58">
    <w:name w:val="正文缩进 Char"/>
    <w:link w:val="2"/>
    <w:qFormat/>
    <w:uiPriority w:val="0"/>
    <w:rPr>
      <w:rFonts w:eastAsia="宋体"/>
      <w:kern w:val="2"/>
      <w:sz w:val="21"/>
      <w:lang w:val="en-US" w:eastAsia="zh-CN" w:bidi="ar-SA"/>
    </w:rPr>
  </w:style>
  <w:style w:type="character" w:customStyle="1" w:styleId="59">
    <w:name w:val="页眉 Char"/>
    <w:link w:val="29"/>
    <w:qFormat/>
    <w:uiPriority w:val="0"/>
    <w:rPr>
      <w:rFonts w:hAnsi="宋体"/>
      <w:color w:val="000000"/>
      <w:kern w:val="2"/>
      <w:sz w:val="18"/>
      <w:szCs w:val="18"/>
    </w:rPr>
  </w:style>
  <w:style w:type="character" w:customStyle="1" w:styleId="60">
    <w:name w:val="正文 A Char Char"/>
    <w:link w:val="61"/>
    <w:qFormat/>
    <w:uiPriority w:val="0"/>
    <w:rPr>
      <w:rFonts w:ascii="仿宋_GB2312" w:hAnsi="Heiti SC Light" w:eastAsia="仿宋_GB2312"/>
      <w:kern w:val="2"/>
      <w:sz w:val="24"/>
      <w:lang w:val="en-US" w:eastAsia="zh-CN" w:bidi="ar-SA"/>
    </w:rPr>
  </w:style>
  <w:style w:type="paragraph" w:customStyle="1" w:styleId="61">
    <w:name w:val="正文 A"/>
    <w:link w:val="60"/>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62">
    <w:name w:val="批注框文本 Char"/>
    <w:link w:val="27"/>
    <w:semiHidden/>
    <w:qFormat/>
    <w:locked/>
    <w:uiPriority w:val="0"/>
    <w:rPr>
      <w:kern w:val="2"/>
      <w:sz w:val="18"/>
      <w:szCs w:val="18"/>
    </w:rPr>
  </w:style>
  <w:style w:type="character" w:customStyle="1" w:styleId="63">
    <w:name w:val="正文文本缩进 Char"/>
    <w:link w:val="19"/>
    <w:qFormat/>
    <w:uiPriority w:val="99"/>
    <w:rPr>
      <w:rFonts w:ascii="仿宋_GB2312" w:eastAsia="仿宋_GB2312"/>
      <w:kern w:val="2"/>
      <w:sz w:val="32"/>
    </w:rPr>
  </w:style>
  <w:style w:type="character" w:customStyle="1" w:styleId="64">
    <w:name w:val="xl25 Char"/>
    <w:link w:val="65"/>
    <w:qFormat/>
    <w:uiPriority w:val="0"/>
    <w:rPr>
      <w:rFonts w:ascii="宋体" w:hAnsi="宋体" w:eastAsia="宋体"/>
      <w:sz w:val="21"/>
      <w:szCs w:val="21"/>
      <w:lang w:val="en-US" w:eastAsia="zh-CN" w:bidi="ar-SA"/>
    </w:rPr>
  </w:style>
  <w:style w:type="paragraph" w:customStyle="1" w:styleId="65">
    <w:name w:val="xl25"/>
    <w:basedOn w:val="1"/>
    <w:link w:val="64"/>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66">
    <w:name w:val="font1"/>
    <w:qFormat/>
    <w:uiPriority w:val="0"/>
    <w:rPr>
      <w:sz w:val="18"/>
      <w:szCs w:val="18"/>
      <w:u w:val="none"/>
    </w:rPr>
  </w:style>
  <w:style w:type="character" w:customStyle="1" w:styleId="67">
    <w:name w:val="纯文本 Char"/>
    <w:link w:val="22"/>
    <w:qFormat/>
    <w:uiPriority w:val="0"/>
    <w:rPr>
      <w:rFonts w:ascii="宋体" w:hAnsi="Courier New" w:eastAsia="宋体" w:cs="Courier New"/>
      <w:kern w:val="2"/>
      <w:sz w:val="21"/>
      <w:szCs w:val="21"/>
      <w:lang w:val="en-US" w:eastAsia="zh-CN" w:bidi="ar-SA"/>
    </w:rPr>
  </w:style>
  <w:style w:type="character" w:customStyle="1" w:styleId="68">
    <w:name w:val="标题 2 Char"/>
    <w:qFormat/>
    <w:uiPriority w:val="0"/>
    <w:rPr>
      <w:rFonts w:ascii="Arial" w:hAnsi="Arial" w:eastAsia="黑体"/>
      <w:b/>
      <w:bCs/>
      <w:kern w:val="2"/>
      <w:sz w:val="32"/>
      <w:szCs w:val="32"/>
      <w:lang w:val="en-US" w:eastAsia="zh-CN" w:bidi="ar-SA"/>
    </w:rPr>
  </w:style>
  <w:style w:type="character" w:customStyle="1" w:styleId="69">
    <w:name w:val="纯文本 Char1"/>
    <w:qFormat/>
    <w:uiPriority w:val="0"/>
    <w:rPr>
      <w:rFonts w:ascii="宋体" w:hAnsi="Courier New" w:eastAsia="宋体" w:cs="Times New Roman"/>
      <w:kern w:val="0"/>
      <w:sz w:val="20"/>
      <w:szCs w:val="20"/>
    </w:rPr>
  </w:style>
  <w:style w:type="character" w:customStyle="1" w:styleId="70">
    <w:name w:val="批注文字 Char"/>
    <w:link w:val="16"/>
    <w:semiHidden/>
    <w:qFormat/>
    <w:uiPriority w:val="99"/>
    <w:rPr>
      <w:kern w:val="2"/>
      <w:sz w:val="21"/>
      <w:szCs w:val="24"/>
    </w:rPr>
  </w:style>
  <w:style w:type="character" w:customStyle="1" w:styleId="71">
    <w:name w:val="标题 3 Char"/>
    <w:link w:val="5"/>
    <w:qFormat/>
    <w:uiPriority w:val="0"/>
    <w:rPr>
      <w:rFonts w:eastAsia="宋体"/>
      <w:b/>
      <w:bCs/>
      <w:kern w:val="2"/>
      <w:sz w:val="32"/>
      <w:szCs w:val="32"/>
      <w:lang w:val="en-US" w:eastAsia="zh-CN" w:bidi="ar-SA"/>
    </w:rPr>
  </w:style>
  <w:style w:type="character" w:customStyle="1" w:styleId="72">
    <w:name w:val="mark8"/>
    <w:qFormat/>
    <w:uiPriority w:val="0"/>
    <w:rPr>
      <w:b/>
      <w:bCs/>
      <w:sz w:val="21"/>
      <w:szCs w:val="21"/>
    </w:rPr>
  </w:style>
  <w:style w:type="character" w:customStyle="1" w:styleId="73">
    <w:name w:val="列出段落 Char"/>
    <w:link w:val="74"/>
    <w:qFormat/>
    <w:uiPriority w:val="0"/>
    <w:rPr>
      <w:rFonts w:ascii="Calibri" w:hAnsi="Calibri"/>
      <w:kern w:val="2"/>
      <w:sz w:val="21"/>
      <w:szCs w:val="22"/>
    </w:rPr>
  </w:style>
  <w:style w:type="paragraph" w:styleId="74">
    <w:name w:val="List Paragraph"/>
    <w:basedOn w:val="1"/>
    <w:link w:val="73"/>
    <w:qFormat/>
    <w:uiPriority w:val="0"/>
    <w:pPr>
      <w:ind w:firstLine="420" w:firstLineChars="200"/>
    </w:pPr>
    <w:rPr>
      <w:rFonts w:ascii="Calibri" w:hAnsi="Calibri"/>
      <w:szCs w:val="22"/>
    </w:rPr>
  </w:style>
  <w:style w:type="character" w:customStyle="1" w:styleId="75">
    <w:name w:val="Char Char10"/>
    <w:qFormat/>
    <w:uiPriority w:val="0"/>
    <w:rPr>
      <w:rFonts w:eastAsia="宋体"/>
      <w:kern w:val="2"/>
      <w:sz w:val="18"/>
      <w:szCs w:val="18"/>
      <w:lang w:val="en-US" w:eastAsia="zh-CN" w:bidi="ar-SA"/>
    </w:rPr>
  </w:style>
  <w:style w:type="character" w:customStyle="1" w:styleId="76">
    <w:name w:val="nine-11"/>
    <w:qFormat/>
    <w:uiPriority w:val="0"/>
    <w:rPr>
      <w:rFonts w:hint="default"/>
      <w:sz w:val="18"/>
      <w:szCs w:val="18"/>
    </w:rPr>
  </w:style>
  <w:style w:type="character" w:customStyle="1" w:styleId="77">
    <w:name w:val="题注 Char"/>
    <w:link w:val="13"/>
    <w:qFormat/>
    <w:uiPriority w:val="0"/>
    <w:rPr>
      <w:rFonts w:ascii="Arial" w:hAnsi="Arial" w:eastAsia="黑体" w:cs="Arial"/>
      <w:kern w:val="2"/>
    </w:rPr>
  </w:style>
  <w:style w:type="character" w:customStyle="1" w:styleId="78">
    <w:name w:val="mark"/>
    <w:basedOn w:val="45"/>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页脚 Char"/>
    <w:link w:val="28"/>
    <w:qFormat/>
    <w:uiPriority w:val="0"/>
    <w:rPr>
      <w:rFonts w:eastAsia="宋体"/>
      <w:kern w:val="2"/>
      <w:sz w:val="18"/>
      <w:szCs w:val="18"/>
      <w:lang w:val="en-US" w:eastAsia="zh-CN" w:bidi="ar-SA"/>
    </w:rPr>
  </w:style>
  <w:style w:type="character" w:customStyle="1" w:styleId="81">
    <w:name w:val="font31"/>
    <w:qFormat/>
    <w:uiPriority w:val="0"/>
    <w:rPr>
      <w:rFonts w:hint="eastAsia" w:ascii="宋体" w:hAnsi="宋体" w:eastAsia="宋体" w:cs="宋体"/>
      <w:color w:val="000000"/>
      <w:sz w:val="20"/>
      <w:szCs w:val="20"/>
      <w:u w:val="none"/>
    </w:rPr>
  </w:style>
  <w:style w:type="character" w:customStyle="1" w:styleId="82">
    <w:name w:val="Font Style17"/>
    <w:qFormat/>
    <w:uiPriority w:val="0"/>
    <w:rPr>
      <w:rFonts w:ascii="黑体" w:eastAsia="黑体" w:cs="黑体"/>
      <w:sz w:val="28"/>
      <w:szCs w:val="28"/>
    </w:rPr>
  </w:style>
  <w:style w:type="character" w:customStyle="1" w:styleId="83">
    <w:name w:val="标题 1 Char"/>
    <w:qFormat/>
    <w:uiPriority w:val="0"/>
    <w:rPr>
      <w:rFonts w:ascii="Times New Roman" w:hAnsi="Times New Roman" w:eastAsia="宋体" w:cs="Times New Roman"/>
      <w:b/>
      <w:bCs/>
      <w:kern w:val="44"/>
      <w:sz w:val="44"/>
      <w:szCs w:val="44"/>
    </w:rPr>
  </w:style>
  <w:style w:type="character" w:customStyle="1" w:styleId="84">
    <w:name w:val="List Paragraph Char"/>
    <w:link w:val="85"/>
    <w:qFormat/>
    <w:locked/>
    <w:uiPriority w:val="0"/>
    <w:rPr>
      <w:rFonts w:ascii="Calibri" w:hAnsi="Calibri"/>
      <w:kern w:val="2"/>
      <w:sz w:val="21"/>
      <w:szCs w:val="22"/>
    </w:rPr>
  </w:style>
  <w:style w:type="paragraph" w:customStyle="1" w:styleId="85">
    <w:name w:val="列出段落2"/>
    <w:basedOn w:val="1"/>
    <w:link w:val="84"/>
    <w:qFormat/>
    <w:uiPriority w:val="0"/>
    <w:pPr>
      <w:ind w:firstLine="420" w:firstLineChars="200"/>
    </w:pPr>
    <w:rPr>
      <w:rFonts w:ascii="Calibri" w:hAnsi="Calibri"/>
      <w:szCs w:val="22"/>
    </w:rPr>
  </w:style>
  <w:style w:type="character" w:customStyle="1" w:styleId="86">
    <w:name w:val="标题 1 Char1"/>
    <w:link w:val="3"/>
    <w:qFormat/>
    <w:locked/>
    <w:uiPriority w:val="0"/>
    <w:rPr>
      <w:b/>
      <w:bCs/>
      <w:kern w:val="44"/>
      <w:sz w:val="44"/>
      <w:szCs w:val="44"/>
    </w:rPr>
  </w:style>
  <w:style w:type="character" w:customStyle="1" w:styleId="87">
    <w:name w:val="标题 2 Char1"/>
    <w:link w:val="4"/>
    <w:qFormat/>
    <w:locked/>
    <w:uiPriority w:val="0"/>
    <w:rPr>
      <w:rFonts w:ascii="Arial" w:hAnsi="Arial" w:eastAsia="黑体"/>
      <w:b/>
      <w:bCs/>
      <w:kern w:val="2"/>
      <w:sz w:val="32"/>
      <w:szCs w:val="32"/>
    </w:rPr>
  </w:style>
  <w:style w:type="character" w:customStyle="1" w:styleId="88">
    <w:name w:val="标题 5 Char"/>
    <w:link w:val="7"/>
    <w:qFormat/>
    <w:locked/>
    <w:uiPriority w:val="0"/>
    <w:rPr>
      <w:b/>
      <w:sz w:val="28"/>
    </w:rPr>
  </w:style>
  <w:style w:type="character" w:customStyle="1" w:styleId="89">
    <w:name w:val="标题 6 Char"/>
    <w:link w:val="8"/>
    <w:qFormat/>
    <w:locked/>
    <w:uiPriority w:val="0"/>
    <w:rPr>
      <w:rFonts w:ascii="Arial" w:hAnsi="Arial" w:eastAsia="黑体"/>
      <w:b/>
      <w:kern w:val="2"/>
      <w:sz w:val="24"/>
    </w:rPr>
  </w:style>
  <w:style w:type="character" w:customStyle="1" w:styleId="90">
    <w:name w:val="标题 8 Char"/>
    <w:link w:val="10"/>
    <w:qFormat/>
    <w:locked/>
    <w:uiPriority w:val="0"/>
    <w:rPr>
      <w:rFonts w:ascii="Arial" w:hAnsi="Arial" w:eastAsia="黑体"/>
      <w:kern w:val="2"/>
      <w:sz w:val="24"/>
    </w:rPr>
  </w:style>
  <w:style w:type="character" w:customStyle="1" w:styleId="91">
    <w:name w:val="标题 Char"/>
    <w:link w:val="40"/>
    <w:qFormat/>
    <w:uiPriority w:val="0"/>
    <w:rPr>
      <w:rFonts w:ascii="Arial" w:hAnsi="Arial" w:cs="Arial"/>
      <w:b/>
      <w:bCs/>
      <w:kern w:val="2"/>
      <w:sz w:val="32"/>
      <w:szCs w:val="32"/>
    </w:rPr>
  </w:style>
  <w:style w:type="character" w:customStyle="1" w:styleId="92">
    <w:name w:val="正文文本缩进 2 Char"/>
    <w:link w:val="26"/>
    <w:qFormat/>
    <w:uiPriority w:val="0"/>
    <w:rPr>
      <w:kern w:val="2"/>
      <w:sz w:val="21"/>
      <w:szCs w:val="24"/>
    </w:rPr>
  </w:style>
  <w:style w:type="character" w:customStyle="1" w:styleId="93">
    <w:name w:val="表标题 Char Char"/>
    <w:link w:val="94"/>
    <w:qFormat/>
    <w:uiPriority w:val="0"/>
    <w:rPr>
      <w:b/>
    </w:rPr>
  </w:style>
  <w:style w:type="paragraph" w:customStyle="1" w:styleId="94">
    <w:name w:val="表标题"/>
    <w:basedOn w:val="2"/>
    <w:link w:val="93"/>
    <w:qFormat/>
    <w:uiPriority w:val="0"/>
    <w:pPr>
      <w:adjustRightInd w:val="0"/>
      <w:snapToGrid w:val="0"/>
      <w:spacing w:before="62" w:after="62"/>
      <w:ind w:firstLine="0"/>
      <w:jc w:val="center"/>
    </w:pPr>
    <w:rPr>
      <w:b/>
      <w:kern w:val="0"/>
      <w:sz w:val="20"/>
    </w:rPr>
  </w:style>
  <w:style w:type="paragraph" w:customStyle="1" w:styleId="9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96">
    <w:name w:val="_Style 4"/>
    <w:basedOn w:val="1"/>
    <w:qFormat/>
    <w:uiPriority w:val="0"/>
    <w:pPr>
      <w:spacing w:beforeLines="50" w:afterLines="50"/>
    </w:pPr>
  </w:style>
  <w:style w:type="paragraph" w:customStyle="1" w:styleId="97">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9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99">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100">
    <w:name w:val="办公自动化专用标题"/>
    <w:basedOn w:val="40"/>
    <w:qFormat/>
    <w:uiPriority w:val="0"/>
    <w:pPr>
      <w:spacing w:line="560" w:lineRule="atLeast"/>
    </w:pPr>
    <w:rPr>
      <w:rFonts w:ascii="宋体"/>
      <w:bCs w:val="0"/>
      <w:sz w:val="44"/>
      <w:szCs w:val="20"/>
    </w:rPr>
  </w:style>
  <w:style w:type="paragraph" w:customStyle="1" w:styleId="101">
    <w:name w:val="Char3"/>
    <w:basedOn w:val="1"/>
    <w:qFormat/>
    <w:uiPriority w:val="0"/>
  </w:style>
  <w:style w:type="paragraph" w:customStyle="1" w:styleId="102">
    <w:name w:val="表格"/>
    <w:basedOn w:val="1"/>
    <w:next w:val="1"/>
    <w:qFormat/>
    <w:uiPriority w:val="0"/>
    <w:pPr>
      <w:jc w:val="center"/>
    </w:pPr>
    <w:rPr>
      <w:rFonts w:ascii="宋体"/>
      <w:b/>
      <w:szCs w:val="20"/>
    </w:rPr>
  </w:style>
  <w:style w:type="paragraph" w:customStyle="1" w:styleId="103">
    <w:name w:val="Char Char3 Char Char"/>
    <w:basedOn w:val="1"/>
    <w:qFormat/>
    <w:uiPriority w:val="0"/>
    <w:pPr>
      <w:spacing w:line="360" w:lineRule="auto"/>
      <w:ind w:firstLine="200" w:firstLineChars="200"/>
    </w:pPr>
    <w:rPr>
      <w:rFonts w:ascii="宋体" w:hAnsi="宋体" w:cs="宋体"/>
      <w:sz w:val="24"/>
    </w:rPr>
  </w:style>
  <w:style w:type="paragraph" w:customStyle="1" w:styleId="104">
    <w:name w:val="font5"/>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105">
    <w:name w:val="p0"/>
    <w:basedOn w:val="1"/>
    <w:qFormat/>
    <w:uiPriority w:val="0"/>
    <w:pPr>
      <w:widowControl/>
    </w:pPr>
    <w:rPr>
      <w:kern w:val="0"/>
      <w:szCs w:val="21"/>
    </w:rPr>
  </w:style>
  <w:style w:type="paragraph" w:customStyle="1" w:styleId="106">
    <w:name w:val="图框内的文字"/>
    <w:basedOn w:val="1"/>
    <w:qFormat/>
    <w:uiPriority w:val="0"/>
    <w:pPr>
      <w:jc w:val="center"/>
    </w:pPr>
    <w:rPr>
      <w:position w:val="6"/>
      <w:szCs w:val="20"/>
    </w:rPr>
  </w:style>
  <w:style w:type="paragraph" w:customStyle="1" w:styleId="107">
    <w:name w:val="默认段落字体 Para Char"/>
    <w:basedOn w:val="1"/>
    <w:qFormat/>
    <w:uiPriority w:val="0"/>
    <w:rPr>
      <w:rFonts w:ascii="宋体" w:hAnsi="宋体"/>
      <w:b/>
      <w:sz w:val="28"/>
      <w:szCs w:val="28"/>
    </w:rPr>
  </w:style>
  <w:style w:type="paragraph" w:customStyle="1" w:styleId="108">
    <w:name w:val="font12"/>
    <w:basedOn w:val="1"/>
    <w:qFormat/>
    <w:uiPriority w:val="0"/>
    <w:pPr>
      <w:widowControl/>
      <w:spacing w:before="100" w:beforeAutospacing="1" w:after="100" w:afterAutospacing="1"/>
      <w:jc w:val="left"/>
    </w:pPr>
    <w:rPr>
      <w:rFonts w:eastAsia="Arial Unicode MS"/>
      <w:kern w:val="0"/>
      <w:sz w:val="28"/>
      <w:szCs w:val="28"/>
    </w:rPr>
  </w:style>
  <w:style w:type="paragraph" w:customStyle="1" w:styleId="109">
    <w:name w:val="字元 字元"/>
    <w:basedOn w:val="1"/>
    <w:qFormat/>
    <w:uiPriority w:val="0"/>
    <w:pPr>
      <w:spacing w:line="360" w:lineRule="auto"/>
      <w:ind w:firstLine="200" w:firstLineChars="200"/>
    </w:pPr>
    <w:rPr>
      <w:rFonts w:ascii="宋体" w:hAnsi="宋体" w:cs="宋体"/>
      <w:sz w:val="24"/>
    </w:rPr>
  </w:style>
  <w:style w:type="paragraph" w:customStyle="1" w:styleId="110">
    <w:name w:val="正文段落"/>
    <w:basedOn w:val="1"/>
    <w:qFormat/>
    <w:uiPriority w:val="0"/>
    <w:pPr>
      <w:widowControl/>
      <w:spacing w:after="40" w:line="360" w:lineRule="auto"/>
      <w:ind w:firstLine="200" w:firstLineChars="200"/>
    </w:pPr>
    <w:rPr>
      <w:kern w:val="0"/>
      <w:sz w:val="24"/>
    </w:rPr>
  </w:style>
  <w:style w:type="paragraph" w:customStyle="1" w:styleId="111">
    <w:name w:val="font0"/>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112">
    <w:name w:val="Char Char2 Char"/>
    <w:basedOn w:val="1"/>
    <w:qFormat/>
    <w:uiPriority w:val="0"/>
    <w:rPr>
      <w:rFonts w:ascii="宋体" w:hAnsi="宋体"/>
      <w:b/>
      <w:sz w:val="28"/>
      <w:szCs w:val="28"/>
    </w:rPr>
  </w:style>
  <w:style w:type="paragraph" w:customStyle="1" w:styleId="113">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14">
    <w:name w:val="Char Char"/>
    <w:basedOn w:val="1"/>
    <w:qFormat/>
    <w:uiPriority w:val="0"/>
    <w:rPr>
      <w:rFonts w:ascii="宋体" w:hAnsi="宋体"/>
      <w:b/>
      <w:sz w:val="28"/>
      <w:szCs w:val="28"/>
    </w:rPr>
  </w:style>
  <w:style w:type="paragraph" w:customStyle="1" w:styleId="115">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16">
    <w:name w:val="题注5"/>
    <w:basedOn w:val="1"/>
    <w:next w:val="13"/>
    <w:qFormat/>
    <w:uiPriority w:val="0"/>
    <w:pPr>
      <w:jc w:val="center"/>
    </w:pPr>
    <w:rPr>
      <w:b/>
      <w:color w:val="000000"/>
      <w:sz w:val="24"/>
      <w:szCs w:val="21"/>
    </w:rPr>
  </w:style>
  <w:style w:type="paragraph" w:customStyle="1" w:styleId="11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118">
    <w:name w:val="题注4"/>
    <w:basedOn w:val="1"/>
    <w:next w:val="13"/>
    <w:qFormat/>
    <w:uiPriority w:val="0"/>
    <w:pPr>
      <w:ind w:left="-132" w:leftChars="-64" w:right="-105" w:rightChars="-50" w:hanging="2"/>
      <w:jc w:val="center"/>
    </w:pPr>
    <w:rPr>
      <w:b/>
      <w:color w:val="FF0000"/>
      <w:szCs w:val="21"/>
      <w:lang w:val="en-GB"/>
    </w:rPr>
  </w:style>
  <w:style w:type="paragraph" w:customStyle="1" w:styleId="119">
    <w:name w:val="表格文字"/>
    <w:basedOn w:val="1"/>
    <w:qFormat/>
    <w:uiPriority w:val="0"/>
    <w:pPr>
      <w:spacing w:before="25" w:after="25"/>
      <w:jc w:val="left"/>
    </w:pPr>
    <w:rPr>
      <w:bCs/>
      <w:spacing w:val="10"/>
      <w:kern w:val="0"/>
      <w:sz w:val="24"/>
      <w:szCs w:val="20"/>
    </w:rPr>
  </w:style>
  <w:style w:type="paragraph" w:customStyle="1" w:styleId="120">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122">
    <w:name w:val="列出段落1"/>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123">
    <w:name w:val="font6"/>
    <w:basedOn w:val="1"/>
    <w:qFormat/>
    <w:uiPriority w:val="0"/>
    <w:pPr>
      <w:widowControl/>
      <w:spacing w:before="100" w:beforeAutospacing="1" w:after="100" w:afterAutospacing="1"/>
      <w:jc w:val="left"/>
    </w:pPr>
    <w:rPr>
      <w:rFonts w:eastAsia="Arial Unicode MS"/>
      <w:kern w:val="0"/>
      <w:sz w:val="24"/>
    </w:rPr>
  </w:style>
  <w:style w:type="paragraph" w:customStyle="1" w:styleId="124">
    <w:name w:val="font7"/>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24"/>
    </w:rPr>
  </w:style>
  <w:style w:type="paragraph" w:customStyle="1" w:styleId="126">
    <w:name w:val="Char Char Char Char Char Char Char Char Char"/>
    <w:basedOn w:val="1"/>
    <w:qFormat/>
    <w:uiPriority w:val="0"/>
    <w:rPr>
      <w:sz w:val="28"/>
    </w:rPr>
  </w:style>
  <w:style w:type="paragraph" w:customStyle="1" w:styleId="127">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8">
    <w:name w:val="Char Char Char Char Char Char Char"/>
    <w:basedOn w:val="1"/>
    <w:qFormat/>
    <w:uiPriority w:val="0"/>
    <w:pPr>
      <w:tabs>
        <w:tab w:val="left" w:pos="425"/>
      </w:tabs>
      <w:ind w:left="425" w:hanging="425"/>
    </w:pPr>
    <w:rPr>
      <w:rFonts w:eastAsia="仿宋_GB2312"/>
      <w:kern w:val="24"/>
      <w:sz w:val="24"/>
    </w:rPr>
  </w:style>
  <w:style w:type="paragraph" w:customStyle="1" w:styleId="129">
    <w:name w:val="font9"/>
    <w:basedOn w:val="1"/>
    <w:qFormat/>
    <w:uiPriority w:val="0"/>
    <w:pPr>
      <w:widowControl/>
      <w:spacing w:before="100" w:beforeAutospacing="1" w:after="100" w:afterAutospacing="1"/>
      <w:jc w:val="left"/>
    </w:pPr>
    <w:rPr>
      <w:rFonts w:hint="eastAsia" w:ascii="宋体" w:hAnsi="宋体" w:cs="Arial Unicode MS"/>
      <w:color w:val="000000"/>
      <w:kern w:val="0"/>
      <w:sz w:val="24"/>
    </w:rPr>
  </w:style>
  <w:style w:type="paragraph" w:customStyle="1" w:styleId="130">
    <w:name w:val="font11"/>
    <w:basedOn w:val="1"/>
    <w:qFormat/>
    <w:uiPriority w:val="0"/>
    <w:pPr>
      <w:widowControl/>
      <w:spacing w:before="100" w:beforeAutospacing="1" w:after="100" w:afterAutospacing="1"/>
      <w:jc w:val="left"/>
    </w:pPr>
    <w:rPr>
      <w:rFonts w:eastAsia="Arial Unicode MS"/>
      <w:color w:val="000000"/>
      <w:kern w:val="0"/>
      <w:szCs w:val="21"/>
    </w:rPr>
  </w:style>
  <w:style w:type="paragraph" w:customStyle="1" w:styleId="131">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32">
    <w:name w:val="样式1"/>
    <w:basedOn w:val="6"/>
    <w:qFormat/>
    <w:uiPriority w:val="0"/>
    <w:pPr>
      <w:spacing w:line="416" w:lineRule="auto"/>
      <w:ind w:left="560" w:leftChars="200"/>
    </w:pPr>
    <w:rPr>
      <w:rFonts w:ascii="宋体"/>
      <w:bCs w:val="0"/>
      <w:color w:val="FF0000"/>
    </w:rPr>
  </w:style>
  <w:style w:type="paragraph" w:customStyle="1" w:styleId="133">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134">
    <w:name w:val="Char1 Char Char Char"/>
    <w:basedOn w:val="1"/>
    <w:qFormat/>
    <w:uiPriority w:val="0"/>
    <w:pPr>
      <w:numPr>
        <w:ilvl w:val="0"/>
        <w:numId w:val="2"/>
      </w:numPr>
    </w:pPr>
    <w:rPr>
      <w:sz w:val="24"/>
    </w:rPr>
  </w:style>
  <w:style w:type="paragraph" w:customStyle="1" w:styleId="135">
    <w:name w:val="正文1"/>
    <w:qFormat/>
    <w:uiPriority w:val="0"/>
    <w:pPr>
      <w:widowControl w:val="0"/>
      <w:jc w:val="both"/>
    </w:pPr>
    <w:rPr>
      <w:rFonts w:ascii="Times New Roman" w:hAnsi="Times New Roman" w:eastAsia="宋体" w:cs="Times New Roman"/>
      <w:lang w:val="en-US" w:eastAsia="zh-CN" w:bidi="ar-SA"/>
    </w:rPr>
  </w:style>
  <w:style w:type="paragraph" w:customStyle="1" w:styleId="136">
    <w:name w:val="font8"/>
    <w:basedOn w:val="1"/>
    <w:qFormat/>
    <w:uiPriority w:val="0"/>
    <w:pPr>
      <w:widowControl/>
      <w:spacing w:before="100" w:beforeAutospacing="1" w:after="100" w:afterAutospacing="1"/>
      <w:jc w:val="left"/>
    </w:pPr>
    <w:rPr>
      <w:rFonts w:hint="eastAsia" w:ascii="宋体" w:hAnsi="宋体" w:cs="Arial Unicode MS"/>
      <w:kern w:val="0"/>
      <w:sz w:val="28"/>
      <w:szCs w:val="28"/>
    </w:rPr>
  </w:style>
  <w:style w:type="paragraph" w:customStyle="1" w:styleId="137">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138">
    <w:name w:val="font10"/>
    <w:basedOn w:val="1"/>
    <w:qFormat/>
    <w:uiPriority w:val="0"/>
    <w:pPr>
      <w:widowControl/>
      <w:spacing w:before="100" w:beforeAutospacing="1" w:after="100" w:afterAutospacing="1"/>
      <w:jc w:val="left"/>
    </w:pPr>
    <w:rPr>
      <w:rFonts w:eastAsia="Arial Unicode MS"/>
      <w:color w:val="000000"/>
      <w:kern w:val="0"/>
      <w:sz w:val="24"/>
    </w:rPr>
  </w:style>
  <w:style w:type="paragraph" w:customStyle="1" w:styleId="1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14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14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142">
    <w:name w:val="List Paragraph1"/>
    <w:basedOn w:val="1"/>
    <w:qFormat/>
    <w:uiPriority w:val="0"/>
    <w:pPr>
      <w:ind w:firstLine="420" w:firstLineChars="200"/>
    </w:pPr>
    <w:rPr>
      <w:rFonts w:ascii="Calibri" w:hAnsi="Calibri" w:cs="黑体"/>
      <w:szCs w:val="22"/>
    </w:rPr>
  </w:style>
  <w:style w:type="paragraph" w:customStyle="1" w:styleId="14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144">
    <w:name w:val="正文 + 宋体"/>
    <w:basedOn w:val="1"/>
    <w:qFormat/>
    <w:uiPriority w:val="0"/>
    <w:pPr>
      <w:numPr>
        <w:ilvl w:val="0"/>
        <w:numId w:val="3"/>
      </w:numPr>
      <w:autoSpaceDE w:val="0"/>
      <w:autoSpaceDN w:val="0"/>
      <w:spacing w:line="360" w:lineRule="auto"/>
    </w:pPr>
    <w:rPr>
      <w:rFonts w:ascii="宋体" w:hAnsi="宋体"/>
      <w:szCs w:val="21"/>
    </w:rPr>
  </w:style>
  <w:style w:type="paragraph" w:customStyle="1" w:styleId="145">
    <w:name w:val="Char Char Char1 Char Char Char Char Char Char Char"/>
    <w:basedOn w:val="1"/>
    <w:qFormat/>
    <w:uiPriority w:val="0"/>
    <w:rPr>
      <w:rFonts w:ascii="Arial" w:hAnsi="Arial" w:cs="Arial"/>
      <w:sz w:val="20"/>
      <w:szCs w:val="20"/>
    </w:rPr>
  </w:style>
  <w:style w:type="paragraph" w:customStyle="1" w:styleId="1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147">
    <w:name w:val="_Style 2"/>
    <w:basedOn w:val="1"/>
    <w:qFormat/>
    <w:uiPriority w:val="34"/>
    <w:pPr>
      <w:ind w:firstLine="420" w:firstLineChars="200"/>
    </w:pPr>
  </w:style>
  <w:style w:type="paragraph" w:customStyle="1" w:styleId="148">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149">
    <w:name w:val="列举"/>
    <w:basedOn w:val="1"/>
    <w:qFormat/>
    <w:uiPriority w:val="0"/>
    <w:pPr>
      <w:numPr>
        <w:ilvl w:val="0"/>
        <w:numId w:val="4"/>
      </w:numPr>
      <w:spacing w:line="360" w:lineRule="auto"/>
    </w:pPr>
    <w:rPr>
      <w:rFonts w:ascii="宋体"/>
    </w:rPr>
  </w:style>
  <w:style w:type="table" w:customStyle="1" w:styleId="150">
    <w:name w:val="网格型1"/>
    <w:basedOn w:val="4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1">
    <w:name w:val="Placeholder Text"/>
    <w:semiHidden/>
    <w:qFormat/>
    <w:uiPriority w:val="99"/>
    <w:rPr>
      <w:color w:val="808080"/>
    </w:rPr>
  </w:style>
  <w:style w:type="paragraph" w:customStyle="1" w:styleId="152">
    <w:name w:val="样式 样式 标题 4Alt+41.1.1.1 Heading 4bulletblbbH44h4H41h41H42... + 自动..."/>
    <w:basedOn w:val="1"/>
    <w:qFormat/>
    <w:uiPriority w:val="0"/>
    <w:pPr>
      <w:keepNext/>
      <w:keepLines/>
      <w:numPr>
        <w:ilvl w:val="3"/>
        <w:numId w:val="5"/>
      </w:numPr>
      <w:spacing w:before="120" w:after="120" w:line="376" w:lineRule="auto"/>
      <w:outlineLvl w:val="3"/>
    </w:pPr>
    <w:rPr>
      <w:rFonts w:ascii="宋体" w:hAnsi="宋体" w:eastAsia="黑体"/>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57</Pages>
  <Words>10197</Words>
  <Characters>10885</Characters>
  <Lines>196</Lines>
  <Paragraphs>55</Paragraphs>
  <TotalTime>1</TotalTime>
  <ScaleCrop>false</ScaleCrop>
  <LinksUpToDate>false</LinksUpToDate>
  <CharactersWithSpaces>11200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2017-11-24T01:24:00Z</dcterms:created>
  <dc:creator>ibm</dc:creator>
  <cp:lastModifiedBy>Administrator</cp:lastModifiedBy>
  <cp:lastPrinted>2023-08-09T11:11:00Z</cp:lastPrinted>
  <dcterms:modified xsi:type="dcterms:W3CDTF">2026-10-08T08:49:05Z</dcterms:modified>
  <dc:title>第三部分  政府采购规范文本</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958561446096443CA77D9A05DD725A50</vt:lpwstr>
  </property>
  <property fmtid="{D5CDD505-2E9C-101B-9397-08002B2CF9AE}" pid="4" name="KSOTemplateDocerSaveRecord">
    <vt:lpwstr>eyJoZGlkIjoiNjRhODA0MGJlYjkwYzhjNWY3NDVmZDZhNTM4ODVlZmIifQ==</vt:lpwstr>
  </property>
</Properties>
</file>