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98808EF">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2"/>
        <w:tblW w:w="8626" w:type="dxa"/>
        <w:jc w:val="center"/>
        <w:tblLayout w:type="fixed"/>
        <w:tblCellMar>
          <w:top w:w="0" w:type="dxa"/>
          <w:left w:w="108" w:type="dxa"/>
          <w:bottom w:w="0" w:type="dxa"/>
          <w:right w:w="108" w:type="dxa"/>
        </w:tblCellMar>
      </w:tblPr>
      <w:tblGrid>
        <w:gridCol w:w="1951"/>
        <w:gridCol w:w="284"/>
        <w:gridCol w:w="6391"/>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91"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YXCG-20261019</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91"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2026年阳西县应急管理局森林防火物资采购项目</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391"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阳西县应急管理局</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391"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0C685001">
      <w:pPr>
        <w:rPr>
          <w:rFonts w:hint="eastAsia"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br w:type="page"/>
      </w: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1E4C6817">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_Toc3713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_Toc3713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72C420A0">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_Toc24251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_Toc24251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E9B6AA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_Toc16781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_Toc16781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641CD3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_Toc21249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_Toc21249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01A056C">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_Toc5019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一、项目清单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_Toc5019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800F1DF">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_Toc19166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_Toc19166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068488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_Toc29202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AA2099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_Toc11496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_Toc11496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F0F245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_Toc25791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_Toc25791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661BE4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_Toc22308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0D112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_Toc31085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5A7478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_Toc4250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817E6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_Toc20906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D18533">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_Toc14501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_Toc14501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80EF53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_Toc2912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B6C5B6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_Toc10651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_Toc10651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D00C1C">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_Toc17243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2EBEC7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_Toc12726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E405EA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_Toc10499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_Toc10499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EB55906">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_Toc23668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_Toc23668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64AA6B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_Toc5319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799459F">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_Toc22469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_Toc22469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84BACC">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_Toc24342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_Toc24342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CC514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_Toc23478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_Toc23478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C32839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_Toc25551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_Toc25551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70AF06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_Toc28805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_Toc28805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91DC17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_Toc16021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_Toc16021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B1D69D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_Toc3645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_Toc3645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C2967B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_Toc28271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C66E5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_Toc10828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C6A1B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_Toc17293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AEC6CD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_Toc10930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35E312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_Toc20536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8718D3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_Toc13241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_Toc13241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F36605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_Toc7727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88E4E7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_Toc11347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8CC8B4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_Toc13312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_Toc13312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EAFC2E6">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_Toc30361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34161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_Toc4642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_Toc4642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03A92D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_Toc1271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3825C1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_Toc19928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_Toc19928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8FB811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_Toc31243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_Toc31243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3"/>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32270305"/>
      <w:bookmarkStart w:id="2" w:name="_Toc340677031"/>
      <w:bookmarkStart w:id="3" w:name="_Toc339019954"/>
      <w:bookmarkStart w:id="4" w:name="_Toc337632315"/>
      <w:bookmarkStart w:id="5" w:name="_Toc333237723"/>
      <w:bookmarkStart w:id="6" w:name="_Toc331512856"/>
      <w:bookmarkStart w:id="7" w:name="_Toc350756403"/>
      <w:bookmarkStart w:id="8" w:name="_Toc332206657"/>
      <w:bookmarkStart w:id="9" w:name="_Toc365985108"/>
      <w:bookmarkStart w:id="10" w:name="_Toc349143546"/>
      <w:bookmarkStart w:id="11" w:name="_Toc330459945"/>
      <w:bookmarkStart w:id="12" w:name="_Toc333935619"/>
      <w:bookmarkStart w:id="13" w:name="_Toc342060322"/>
      <w:bookmarkStart w:id="14" w:name="_Toc339362257"/>
      <w:bookmarkStart w:id="15" w:name="_Toc365967002"/>
      <w:bookmarkStart w:id="16" w:name="_Toc340507403"/>
      <w:bookmarkStart w:id="17" w:name="_Toc342296708"/>
      <w:bookmarkStart w:id="18" w:name="_Toc339019828"/>
      <w:bookmarkStart w:id="19" w:name="_Toc333935278"/>
      <w:bookmarkStart w:id="20" w:name="_Toc336681537"/>
      <w:bookmarkStart w:id="21" w:name="_Toc333237612"/>
      <w:bookmarkStart w:id="22" w:name="_Toc350438702"/>
      <w:bookmarkStart w:id="23" w:name="_Toc345513762"/>
      <w:bookmarkStart w:id="24" w:name="_Toc331683994"/>
      <w:bookmarkStart w:id="25" w:name="_Toc339020048"/>
      <w:bookmarkStart w:id="26" w:name="_Toc341348291"/>
      <w:bookmarkStart w:id="27" w:name="_Toc339020186"/>
      <w:bookmarkStart w:id="28" w:name="_Toc3713"/>
      <w:bookmarkStart w:id="29" w:name="_Toc340672830"/>
      <w:bookmarkStart w:id="30" w:name="_Toc349127583"/>
      <w:bookmarkStart w:id="31" w:name="_Toc366072457"/>
      <w:bookmarkStart w:id="32" w:name="_Toc333238571"/>
      <w:bookmarkStart w:id="33" w:name="_Toc336681892"/>
      <w:bookmarkStart w:id="34" w:name="_Toc339441044"/>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阳西县应急管理局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2026年阳西县应急管理局森林防火物资采购项目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YXCG-20261019</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2026年阳西县应急管理局森林防火物资采购项目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YXCG-20261019</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cs="宋体"/>
          <w:b w:val="0"/>
          <w:bCs w:val="0"/>
          <w:color w:val="000000" w:themeColor="text1"/>
          <w:highlight w:val="none"/>
          <w:lang w:val="en-US" w:eastAsia="zh-CN"/>
          <w14:textFill>
            <w14:solidFill>
              <w14:schemeClr w14:val="tx1"/>
            </w14:solidFill>
          </w14:textFill>
        </w:rPr>
        <w:t>145000.00</w:t>
      </w:r>
      <w:r>
        <w:rPr>
          <w:rFonts w:hint="eastAsia" w:ascii="宋体" w:hAnsi="宋体" w:eastAsia="宋体" w:cs="宋体"/>
          <w:b w:val="0"/>
          <w:bCs w:val="0"/>
          <w:color w:val="000000" w:themeColor="text1"/>
          <w:highlight w:val="none"/>
          <w:lang w:val="en-US" w:eastAsia="zh-CN"/>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val="en-US"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合同签订生效之日起30天内交货安装完成。（超出该完工期将作为无效投标处理）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6F903EE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1.供应商应具备《中华人民共和国政府采购法》第二十二条规定的条件</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p>
    <w:p w14:paraId="6B14136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B23E6A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6547CCF1">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1F14044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0B245D6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7B46A559">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02F6453C">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420" w:firstLineChars="200"/>
        <w:rPr>
          <w:rFonts w:hint="eastAsia"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156715A7">
      <w:pPr>
        <w:widowControl/>
        <w:tabs>
          <w:tab w:val="left" w:pos="502"/>
        </w:tabs>
        <w:adjustRightInd w:val="0"/>
        <w:snapToGrid w:val="0"/>
        <w:spacing w:line="360" w:lineRule="auto"/>
        <w:ind w:firstLine="420" w:firstLineChars="200"/>
        <w:rPr>
          <w:rFonts w:hint="default" w:ascii="宋体" w:hAnsi="宋体" w:eastAsia="宋体" w:cs="Tahoma"/>
          <w:b w:val="0"/>
          <w:bCs w:val="0"/>
          <w:color w:val="000000" w:themeColor="text1"/>
          <w:szCs w:val="21"/>
          <w:highlight w:val="none"/>
          <w:lang w:val="en-US" w:eastAsia="zh-CN"/>
          <w14:textFill>
            <w14:solidFill>
              <w14:schemeClr w14:val="tx1"/>
            </w14:solidFill>
          </w14:textFill>
        </w:rPr>
      </w:pPr>
      <w:r>
        <w:rPr>
          <w:rFonts w:hint="eastAsia" w:ascii="宋体" w:hAnsi="宋体" w:cs="Tahoma"/>
          <w:b w:val="0"/>
          <w:bCs w:val="0"/>
          <w:color w:val="000000" w:themeColor="text1"/>
          <w:szCs w:val="21"/>
          <w:highlight w:val="none"/>
          <w:lang w:val="en-US" w:eastAsia="zh-CN"/>
          <w14:textFill>
            <w14:solidFill>
              <w14:schemeClr w14:val="tx1"/>
            </w14:solidFill>
          </w14:textFill>
        </w:rPr>
        <w:t>7.落实政府采购政策需满足的资格要求：本项目不专门面向中小企业采购。（本项目所属行业：工业）</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间及下载：2026年10月21日至2026年10月28日。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时间：2026年10月21日至2026年10月28日，上午9:00～12:00，下午2:30～5:30（节假日除外）（北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1.递交磋商响应文件时间：2026年11月2日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2.响应截止时间：2026年11月2日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阳西县应急管理局</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址：阳西县明珠路1号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人：梁永良</w:t>
      </w:r>
    </w:p>
    <w:p w14:paraId="37FCC3D6">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联系电话：15089569251</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04B8195">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bookmarkStart w:id="395" w:name="_GoBack"/>
      <w:bookmarkEnd w:id="395"/>
      <w:r>
        <w:rPr>
          <w:rFonts w:hint="eastAsia" w:ascii="宋体" w:hAnsi="宋体"/>
          <w:bCs/>
          <w:color w:val="000000" w:themeColor="text1"/>
          <w:highlight w:val="none"/>
          <w14:textFill>
            <w14:solidFill>
              <w14:schemeClr w14:val="tx1"/>
            </w14:solidFill>
          </w14:textFill>
        </w:rPr>
        <w:t xml:space="preserve">                                                               </w:t>
      </w:r>
      <w:bookmarkStart w:id="37" w:name="_Toc339019829"/>
      <w:bookmarkStart w:id="38" w:name="_Toc342296709"/>
      <w:bookmarkStart w:id="39" w:name="_Toc333935620"/>
      <w:bookmarkStart w:id="40" w:name="_Toc365985109"/>
      <w:bookmarkStart w:id="41" w:name="_Toc340672831"/>
      <w:bookmarkStart w:id="42" w:name="_Toc350438703"/>
      <w:bookmarkStart w:id="43" w:name="_Toc339441045"/>
      <w:bookmarkStart w:id="44" w:name="_Toc345513763"/>
      <w:bookmarkStart w:id="45" w:name="_Toc332270306"/>
      <w:bookmarkStart w:id="46" w:name="_Toc341348292"/>
      <w:bookmarkStart w:id="47" w:name="_Toc331683995"/>
      <w:bookmarkStart w:id="48" w:name="_Toc332206658"/>
      <w:bookmarkStart w:id="49" w:name="_Toc330459946"/>
      <w:bookmarkStart w:id="50" w:name="_Toc339020187"/>
      <w:bookmarkStart w:id="51" w:name="_Toc366072458"/>
      <w:bookmarkStart w:id="52" w:name="_Toc342060323"/>
      <w:bookmarkStart w:id="53" w:name="_Toc336681538"/>
      <w:bookmarkStart w:id="54" w:name="_Toc333238572"/>
      <w:bookmarkStart w:id="55" w:name="_Toc340507404"/>
      <w:bookmarkStart w:id="56" w:name="_Toc333935279"/>
      <w:bookmarkStart w:id="57" w:name="_Toc333237724"/>
      <w:bookmarkStart w:id="58" w:name="_Toc349143547"/>
      <w:bookmarkStart w:id="59" w:name="_Toc365967003"/>
      <w:bookmarkStart w:id="60" w:name="_Toc339019955"/>
      <w:bookmarkStart w:id="61" w:name="_Toc331512857"/>
      <w:bookmarkStart w:id="62" w:name="_Toc336681893"/>
      <w:bookmarkStart w:id="63" w:name="_Toc350756404"/>
      <w:bookmarkStart w:id="64" w:name="_Toc333237613"/>
      <w:bookmarkStart w:id="65" w:name="_Toc340677032"/>
      <w:bookmarkStart w:id="66" w:name="_Toc349127584"/>
      <w:bookmarkStart w:id="67" w:name="_Toc339020049"/>
      <w:bookmarkStart w:id="68" w:name="_Toc337632316"/>
      <w:bookmarkStart w:id="69" w:name="_Toc339362258"/>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w:t>
      </w:r>
      <w:r>
        <w:rPr>
          <w:rFonts w:hint="eastAsia" w:ascii="宋体" w:hAnsi="宋体"/>
          <w:bCs/>
          <w:color w:val="000000" w:themeColor="text1"/>
          <w:highlight w:val="none"/>
          <w:lang w:val="en-US" w:eastAsia="zh-CN"/>
          <w14:textFill>
            <w14:solidFill>
              <w14:schemeClr w14:val="tx1"/>
            </w14:solidFill>
          </w14:textFill>
        </w:rPr>
        <w:t>10</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21</w:t>
      </w:r>
      <w:r>
        <w:rPr>
          <w:rFonts w:hint="eastAsia" w:ascii="宋体" w:hAnsi="宋体"/>
          <w:bCs/>
          <w:color w:val="000000" w:themeColor="text1"/>
          <w:highlight w:val="none"/>
          <w14:textFill>
            <w14:solidFill>
              <w14:schemeClr w14:val="tx1"/>
            </w14:solidFill>
          </w14:textFill>
        </w:rPr>
        <w:t>日</w:t>
      </w:r>
    </w:p>
    <w:p w14:paraId="5D11C19A">
      <w:pP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br w:type="page"/>
      </w:r>
    </w:p>
    <w:p w14:paraId="65AE2E55">
      <w:pPr>
        <w:pStyle w:val="3"/>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24251"/>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75570886"/>
      <w:bookmarkStart w:id="73" w:name="_Toc333237725"/>
      <w:bookmarkStart w:id="74" w:name="_Toc330459949"/>
      <w:bookmarkStart w:id="75" w:name="_Toc333237614"/>
      <w:bookmarkStart w:id="76" w:name="_Toc333935621"/>
      <w:bookmarkStart w:id="77" w:name="_Toc333935280"/>
      <w:bookmarkStart w:id="78" w:name="_Toc333238573"/>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39020200"/>
      <w:bookmarkStart w:id="80" w:name="_Toc339441054"/>
      <w:bookmarkStart w:id="81" w:name="_Toc342296727"/>
      <w:bookmarkStart w:id="82" w:name="_Toc342060341"/>
      <w:bookmarkStart w:id="83" w:name="_Toc336681902"/>
      <w:bookmarkStart w:id="84" w:name="_Toc330459952"/>
      <w:bookmarkStart w:id="85" w:name="_Toc350756417"/>
      <w:bookmarkStart w:id="86" w:name="_Toc332206675"/>
      <w:bookmarkStart w:id="87" w:name="_Toc333237755"/>
      <w:bookmarkStart w:id="88" w:name="_Toc365967040"/>
      <w:bookmarkStart w:id="89" w:name="_Toc340672836"/>
      <w:bookmarkStart w:id="90" w:name="_Toc349127593"/>
      <w:bookmarkStart w:id="91" w:name="_Toc349143556"/>
      <w:bookmarkStart w:id="92" w:name="_Toc340507409"/>
      <w:bookmarkStart w:id="93" w:name="_Toc333237644"/>
      <w:bookmarkStart w:id="94" w:name="_Toc333238600"/>
      <w:bookmarkStart w:id="95" w:name="_Toc350438716"/>
      <w:bookmarkStart w:id="96" w:name="_Toc332270313"/>
      <w:bookmarkStart w:id="97" w:name="_Toc339020062"/>
      <w:bookmarkStart w:id="98" w:name="_Toc339019856"/>
      <w:bookmarkStart w:id="99" w:name="_Toc333935654"/>
      <w:bookmarkStart w:id="100" w:name="_Toc337632325"/>
      <w:bookmarkStart w:id="101" w:name="_Toc365985146"/>
      <w:bookmarkStart w:id="102" w:name="_Toc340677037"/>
      <w:bookmarkStart w:id="103" w:name="_Toc345513834"/>
      <w:bookmarkStart w:id="104" w:name="_Toc331684005"/>
      <w:bookmarkStart w:id="105" w:name="_Toc331512865"/>
      <w:bookmarkStart w:id="106" w:name="_Toc333935313"/>
      <w:bookmarkStart w:id="107" w:name="_Toc336681547"/>
      <w:bookmarkStart w:id="108" w:name="_Toc366072495"/>
      <w:bookmarkStart w:id="109" w:name="_Toc339019982"/>
      <w:bookmarkStart w:id="110" w:name="_Toc339362267"/>
      <w:bookmarkStart w:id="111" w:name="_Toc341348305"/>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YXCG-20261019</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2026年阳西县应急管理局森林防火物资采购项目</w:t>
      </w:r>
    </w:p>
    <w:p w14:paraId="4D4804CF">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16781"/>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0A202BB">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本项目以人民币进行报价，报价应包括：设计、设备制造、包装、仓储、运输、安装（含安装所需材料）、保修期、保险与备品备件发生的所有含税费用以及合同实施过程中不可预见费用等，所有货物都必须由成交供应商专人送达，采购人不代收快递传送货物。项目执行期间项目总金额不变，采购人无须另向成交供应商支付其他任何费用。</w:t>
            </w:r>
          </w:p>
          <w:p w14:paraId="4C9B0173">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2.供应商必须对项目整体进行报价，提供所投标设备的详细技术资料，并对其提供的资料的真实性、准确性负责。</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043D31">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采购合同由成交供应商凭《成交通知书》与采购人双方签订，签订时间为《成交通知书》发出之日起20个日历日内。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A40343">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3" w:name="_Hlk166964368"/>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w:t>
            </w:r>
            <w:bookmarkStart w:id="114" w:name="OLE_LINK24"/>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.验收合格后7个工作日内一次性付清项目金额的100%。</w:t>
            </w:r>
          </w:p>
          <w:bookmarkEnd w:id="113"/>
          <w:bookmarkEnd w:id="114"/>
          <w:p w14:paraId="1D9422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2.成交供应商凭以下有效文件与采购人结算：</w:t>
            </w:r>
          </w:p>
          <w:p w14:paraId="6F1A7D5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a.合同；</w:t>
            </w:r>
          </w:p>
          <w:p w14:paraId="6DCE01BD">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b.成交供应商开具的正式发票；</w:t>
            </w:r>
          </w:p>
          <w:p w14:paraId="364D466A">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c.验收报告（加盖采购人公章）；</w:t>
            </w:r>
          </w:p>
          <w:p w14:paraId="368D22DE">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d.中标（成交）通知书。</w:t>
            </w:r>
          </w:p>
        </w:tc>
      </w:tr>
      <w:tr w14:paraId="7BE9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96D24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4BBB7FA">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质量标准</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97FEF4">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供应商所投所有货物必须是制造商原装、全新、性能及指标应符合磋商文件提出的有关技术、质量、安全标准、要求的货物。在中国范围内合法销售的产品，不得以旧货翻新充数，并提供出厂合格等质量证明文件。所有货物均由制造商或其授权的分销机构所提供，具有合法透明的供货渠道，如供应商不是制造商的，供应商须确保其产品来源可溯源和提供一切售后服务保障。</w:t>
            </w:r>
          </w:p>
          <w:p w14:paraId="67DDE61E">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货物包装均应有良好的防湿、防锈、防潮、防雨、防腐及防碰撞、防盗的保护措施。以便合同货物在没有任何损坏和腐蚀的情况下安全地运抵合同货物安装现场。凡由于包装不良造成的损失和由此产生的费用均由成交供应商承担,不可负偏离。</w:t>
            </w:r>
          </w:p>
          <w:p w14:paraId="68D36BA6">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5" w:name="OLE_LINK19"/>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w:t>
            </w:r>
            <w:bookmarkEnd w:id="115"/>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.成交供应商所提供的货物若在实际供货时已经废型，则成交供应商必须用供货时该厂家的最新货物提供给采购人，其性能指标不得低于所报货物，并且价格不变。</w:t>
            </w:r>
          </w:p>
        </w:tc>
      </w:tr>
      <w:tr w14:paraId="1816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9E85D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067358D">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运输、保管</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641BE01">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1.成交供应商负责根据各品目不同的安装地点，将货物材料送到现场过程中的全部运输；包括装卸车、货物现场的搬运、货物的安装、调试等；</w:t>
            </w:r>
          </w:p>
          <w:p w14:paraId="4F26FC30">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2.货物在现场的保管由成交供应商负责，直至项目安装、验收完毕；</w:t>
            </w:r>
          </w:p>
          <w:p w14:paraId="5DF69153">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3.货物在安装调试验收合格前的保险由成交供应商负责，成交供应商负责其派出的现场服务人员人身意外保险。</w:t>
            </w:r>
          </w:p>
        </w:tc>
      </w:tr>
      <w:tr w14:paraId="615F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B7241A2">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FE2F625">
            <w:pPr>
              <w:spacing w:line="320" w:lineRule="exact"/>
              <w:jc w:val="center"/>
              <w:rPr>
                <w:rFonts w:hint="eastAsia" w:ascii="宋体" w:hAnsi="宋体" w:cs="宋体"/>
                <w:b/>
                <w:bCs/>
                <w:color w:val="000000" w:themeColor="text1"/>
                <w:sz w:val="21"/>
                <w:szCs w:val="21"/>
                <w:highlight w:val="none"/>
                <w:lang w:eastAsia="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安装调试</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5559E0">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调试：货物到达采购人指定地点后，在采购人指定的技术人员在场的情况下组织调试，调试后达到验收交付的条件。验收交付前的保管安全责任由</w:t>
            </w:r>
            <w:r>
              <w:rPr>
                <w:rFonts w:hint="eastAsia" w:ascii="宋体" w:hAnsi="宋体"/>
                <w:bCs/>
                <w:color w:val="000000" w:themeColor="text1"/>
                <w:szCs w:val="21"/>
                <w:highlight w:val="none"/>
                <w:lang w:eastAsia="zh-CN"/>
                <w14:textFill>
                  <w14:solidFill>
                    <w14:schemeClr w14:val="tx1"/>
                  </w14:solidFill>
                </w14:textFill>
              </w:rPr>
              <w:t>成交</w:t>
            </w:r>
            <w:r>
              <w:rPr>
                <w:rFonts w:hint="eastAsia" w:ascii="宋体" w:hAnsi="宋体"/>
                <w:bCs/>
                <w:color w:val="000000" w:themeColor="text1"/>
                <w:szCs w:val="21"/>
                <w:highlight w:val="none"/>
                <w14:textFill>
                  <w14:solidFill>
                    <w14:schemeClr w14:val="tx1"/>
                  </w14:solidFill>
                </w14:textFill>
              </w:rPr>
              <w:t>供应商承担，采购人不承担保管安全责任；</w:t>
            </w:r>
          </w:p>
          <w:p w14:paraId="5F65B5A6">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本项目所列所有设备（产品）在合同签约后按约定时间内全部安装、调试完毕；</w:t>
            </w:r>
          </w:p>
          <w:p w14:paraId="5BF681E3">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设备的拆箱、安装、通电、调试等各项工作由</w:t>
            </w:r>
            <w:r>
              <w:rPr>
                <w:rFonts w:hint="eastAsia" w:ascii="宋体" w:hAnsi="宋体"/>
                <w:bCs/>
                <w:color w:val="000000" w:themeColor="text1"/>
                <w:szCs w:val="21"/>
                <w:highlight w:val="none"/>
                <w:lang w:eastAsia="zh-CN"/>
                <w14:textFill>
                  <w14:solidFill>
                    <w14:schemeClr w14:val="tx1"/>
                  </w14:solidFill>
                </w14:textFill>
              </w:rPr>
              <w:t>成交</w:t>
            </w:r>
            <w:r>
              <w:rPr>
                <w:rFonts w:hint="eastAsia" w:ascii="宋体" w:hAnsi="宋体"/>
                <w:bCs/>
                <w:color w:val="000000" w:themeColor="text1"/>
                <w:szCs w:val="21"/>
                <w:highlight w:val="none"/>
                <w14:textFill>
                  <w14:solidFill>
                    <w14:schemeClr w14:val="tx1"/>
                  </w14:solidFill>
                </w14:textFill>
              </w:rPr>
              <w:t>供应商负责，但必须在采购人指定人员的参与下进行。在实际实施前必须先经采购人同意方可进行；</w:t>
            </w:r>
          </w:p>
          <w:p w14:paraId="1AE1C07A">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为了使项目按质、按量、按时及有序实施，需要下列项目管理要求：</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必须提供的设备安装调试及保养维修服务，安装队伍要具备专业知识及技术水平，熟悉所提供产品的技术性能、指标、安装工艺、维修保养知识，有足够能力承担设备的安装，并保证安装工艺达到设备运行合格的要求。</w:t>
            </w:r>
          </w:p>
          <w:p w14:paraId="61A1C815">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成交</w:t>
            </w:r>
            <w:r>
              <w:rPr>
                <w:rFonts w:hint="eastAsia" w:ascii="宋体" w:hAnsi="宋体"/>
                <w:bCs/>
                <w:color w:val="000000" w:themeColor="text1"/>
                <w:szCs w:val="21"/>
                <w:highlight w:val="none"/>
                <w14:textFill>
                  <w14:solidFill>
                    <w14:schemeClr w14:val="tx1"/>
                  </w14:solidFill>
                </w14:textFill>
              </w:rPr>
              <w:t>供应商（或产品制造商）应在交货之日起前2个日历日内与采购人对接，并向采购人提出产品安装、调试应准备的条件。设备到货后应派出有经验的工程技术人员到现场进行安装，采购人给予相应的配合。</w:t>
            </w:r>
          </w:p>
          <w:p w14:paraId="1685BD93">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成交</w:t>
            </w:r>
            <w:r>
              <w:rPr>
                <w:rFonts w:hint="eastAsia" w:ascii="宋体" w:hAnsi="宋体"/>
                <w:bCs/>
                <w:color w:val="000000" w:themeColor="text1"/>
                <w:szCs w:val="21"/>
                <w:highlight w:val="none"/>
                <w14:textFill>
                  <w14:solidFill>
                    <w14:schemeClr w14:val="tx1"/>
                  </w14:solidFill>
                </w14:textFill>
              </w:rPr>
              <w:t>供应商应将用户手册、保修手册、有关单证资料及配备件、随车工具、维修密码、测试密码以及完整的软硬件资料等（若有）交付给采购人，使用操作及安全须知等重要资料应附有中文说明。</w:t>
            </w:r>
          </w:p>
          <w:p w14:paraId="23C6721E">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成交</w:t>
            </w:r>
            <w:r>
              <w:rPr>
                <w:rFonts w:hint="eastAsia" w:ascii="宋体" w:hAnsi="宋体"/>
                <w:bCs/>
                <w:color w:val="000000" w:themeColor="text1"/>
                <w:szCs w:val="21"/>
                <w:highlight w:val="none"/>
                <w14:textFill>
                  <w14:solidFill>
                    <w14:schemeClr w14:val="tx1"/>
                  </w14:solidFill>
                </w14:textFill>
              </w:rPr>
              <w:t>供应商（或产品制造商）根据现场情况、</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文件的要求和</w:t>
            </w:r>
            <w:r>
              <w:rPr>
                <w:rFonts w:hint="eastAsia" w:ascii="宋体" w:hAnsi="宋体"/>
                <w:bCs/>
                <w:color w:val="000000" w:themeColor="text1"/>
                <w:szCs w:val="21"/>
                <w:highlight w:val="none"/>
                <w:lang w:val="en-US"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文件的承诺及有关技术标准、规范进行安装并调试至正常运行的最佳状态。</w:t>
            </w:r>
          </w:p>
          <w:p w14:paraId="0854B6F3">
            <w:pPr>
              <w:adjustRightInd w:val="0"/>
              <w:snapToGrid w:val="0"/>
              <w:spacing w:line="360" w:lineRule="auto"/>
              <w:ind w:firstLine="420" w:firstLineChars="20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完成安装后，</w:t>
            </w:r>
            <w:r>
              <w:rPr>
                <w:rFonts w:hint="eastAsia" w:ascii="宋体" w:hAnsi="宋体"/>
                <w:bCs/>
                <w:color w:val="000000" w:themeColor="text1"/>
                <w:szCs w:val="21"/>
                <w:highlight w:val="none"/>
                <w:lang w:eastAsia="zh-CN"/>
                <w14:textFill>
                  <w14:solidFill>
                    <w14:schemeClr w14:val="tx1"/>
                  </w14:solidFill>
                </w14:textFill>
              </w:rPr>
              <w:t>成交</w:t>
            </w:r>
            <w:r>
              <w:rPr>
                <w:rFonts w:hint="eastAsia" w:ascii="宋体" w:hAnsi="宋体"/>
                <w:bCs/>
                <w:color w:val="000000" w:themeColor="text1"/>
                <w:szCs w:val="21"/>
                <w:highlight w:val="none"/>
                <w14:textFill>
                  <w14:solidFill>
                    <w14:schemeClr w14:val="tx1"/>
                  </w14:solidFill>
                </w14:textFill>
              </w:rPr>
              <w:t>供应商需负责清理安装过程中货物的外包装和搞好场地清洁卫生。</w:t>
            </w:r>
          </w:p>
          <w:p w14:paraId="2AFDBDEA">
            <w:pPr>
              <w:adjustRightInd w:val="0"/>
              <w:snapToGrid w:val="0"/>
              <w:spacing w:line="360" w:lineRule="auto"/>
              <w:ind w:firstLine="420" w:firstLineChars="200"/>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在安装过程发现的供货及其质量问题，</w:t>
            </w:r>
            <w:r>
              <w:rPr>
                <w:rFonts w:hint="eastAsia" w:ascii="宋体" w:hAnsi="宋体"/>
                <w:bCs/>
                <w:color w:val="000000" w:themeColor="text1"/>
                <w:szCs w:val="21"/>
                <w:highlight w:val="none"/>
                <w:lang w:eastAsia="zh-CN"/>
                <w14:textFill>
                  <w14:solidFill>
                    <w14:schemeClr w14:val="tx1"/>
                  </w14:solidFill>
                </w14:textFill>
              </w:rPr>
              <w:t>成交</w:t>
            </w:r>
            <w:r>
              <w:rPr>
                <w:rFonts w:hint="eastAsia" w:ascii="宋体" w:hAnsi="宋体"/>
                <w:bCs/>
                <w:color w:val="000000" w:themeColor="text1"/>
                <w:szCs w:val="21"/>
                <w:highlight w:val="none"/>
                <w14:textFill>
                  <w14:solidFill>
                    <w14:schemeClr w14:val="tx1"/>
                  </w14:solidFill>
                </w14:textFill>
              </w:rPr>
              <w:t>供应商也要负责补救处理。</w:t>
            </w:r>
          </w:p>
        </w:tc>
      </w:tr>
      <w:tr w14:paraId="4C58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655B290">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B41B6FE">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1BAAA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1.履约验收主体：采购人；</w:t>
            </w:r>
          </w:p>
          <w:p w14:paraId="305368F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2.履约验收时间：</w:t>
            </w:r>
          </w:p>
          <w:p w14:paraId="2A261AE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到货检验，在货物到达采购人指定地点后，成交供应商应在对所有货物通过试运行后，且运行稳定无故障，未达到合同约定或出现运行故障，均为不合格，成交供应商须进行返修或更换后重新进行试运行阶段。</w:t>
            </w:r>
          </w:p>
          <w:p w14:paraId="7DF6573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成交供应商向采购人提请验收。成交供应商应在收到验收通知后2个工作日（或根据采购人实际需要和采购人商议决定到场检验时间。）内派工程技术人员到达现场协助验收。</w:t>
            </w:r>
          </w:p>
          <w:p w14:paraId="7E6697F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3.履约验收方式：</w:t>
            </w:r>
          </w:p>
          <w:p w14:paraId="1516539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由采购人依磋商文件要求对全部货物、产品、型号、规格、数量、外型、外观、包装及有关资料、文件（如进货单、装箱单、保修证明、保修单、随箱介质等）（若有）进行验收。货物为原厂商未启封全新包装，并可追索查阅。如出现货物短缺、损坏或存在缺陷，成交供应商应在采购人限定的时间内补齐或更换全新合格品，否则采购人有权退货和有权取消合同，由此造成的双方所有损失均由成交供应商负责。成交供应商须为交付验收提供必需的一切条件及产生相关费用。</w:t>
            </w:r>
          </w:p>
          <w:p w14:paraId="4B5A0C3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4.履约验收程序：</w:t>
            </w:r>
          </w:p>
          <w:p w14:paraId="7A29900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（1）验收由采购人与成交供应商双方人员共同验收，成交供应商的人员应在采购人技术人员在场的情况下协助清点货物。</w:t>
            </w:r>
          </w:p>
          <w:p w14:paraId="4C5B271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（2）采购人依据采购合同及磋商文件，对当次交付的货物数量、质量、规格、配置及随货资料等进行检验。</w:t>
            </w:r>
          </w:p>
          <w:p w14:paraId="2E7D393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（3）验收合格后，采购人与成交供应商应共同签署《验收单》，作为履约凭证及付款依据。</w:t>
            </w:r>
          </w:p>
          <w:p w14:paraId="7ECCCED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5.履约验收内容：</w:t>
            </w:r>
          </w:p>
          <w:p w14:paraId="161433D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满足采购需求的要求、响应文件中的相关承诺及合同约定的内容。</w:t>
            </w:r>
          </w:p>
          <w:p w14:paraId="10A1152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6.验收标准：</w:t>
            </w:r>
          </w:p>
          <w:p w14:paraId="4E6283F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验收并对货物的质量和运行状况及其他进行检验。货物必须符合磋商文件和投标响应承诺中采购人认可的合理最佳配置及各项要求。</w:t>
            </w:r>
          </w:p>
          <w:p w14:paraId="4AA6068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货物安装调试完成并移交所有资料文档后，因货物质量问题发生争议时，由采购人所在地质量技术监督部门鉴定。货物符合质量技术标准的，所产生费用由采购人承担；否则费用由成交供应商承担。</w:t>
            </w:r>
          </w:p>
        </w:tc>
      </w:tr>
      <w:tr w14:paraId="4A0E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80DC04D">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E29A8FD">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培训要求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B72F7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成交供应商应对以后货物中涉及到使用和维护保养方面的技术提供培训，保证使用人员正常操作设备的各种功能。</w:t>
            </w:r>
          </w:p>
          <w:p w14:paraId="2CFFE70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成交供应商应负责对用户使用、操作、维修、保养人员免费进行培训，培训应包括本磋商文件中所有设备的安装和维护、</w:t>
            </w:r>
            <w:bookmarkStart w:id="116" w:name="OLE_LINK5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常见故障现象及诊断、常见的问题及解决办法</w:t>
            </w:r>
            <w:bookmarkEnd w:id="116"/>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等。</w:t>
            </w:r>
          </w:p>
          <w:p w14:paraId="28BB9E4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培训人员数量不限（由采购人指定），培训方式应为上门培训，在合同签订后征得采购人同意后实施。成交供应商负责培训过程中所产生的一切费用。</w:t>
            </w:r>
          </w:p>
        </w:tc>
      </w:tr>
      <w:tr w14:paraId="1ED6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98C6DC">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12</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F767EA1">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A79A60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1.免费售后保修期：1年。</w:t>
            </w:r>
          </w:p>
          <w:p w14:paraId="11A58A5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本合同各类设备的质量保证期从双方签字验收合格之日起算（简称“质保期”）</w:t>
            </w:r>
          </w:p>
          <w:p w14:paraId="41AEB52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成交供应商应可提供7天×24小时热线服务和长期的免费技术支持。保修期内采购人所购货物各部件发生非人为故障，供货商应免费上门维修。成交供应商须指派专人负责与采购人联系售后服务事宜。</w:t>
            </w:r>
          </w:p>
          <w:p w14:paraId="6BD3D19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7" w:name="OLE_LINK7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2.质保期内成交供应商对所供货物实行包修、包换、包维护保养。</w:t>
            </w:r>
            <w:bookmarkEnd w:id="117"/>
          </w:p>
          <w:p w14:paraId="3959FCF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8" w:name="OLE_LINK73"/>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质保期内，对采购人的售后服务通知，成交供应商接报后4小时内响应，12小时内到达现场，24小时内处理完毕。如设备出现故障因成交供应商未能做到本合同的服务承诺而造成短期停用时，采购人可采取必要的补救措施，但其风险和费用由成交供应商承担，采购人根据磋商文件、响应文件和合同规定对成交供应商行使的其它权力不受影响。如24小时内未处理完毕，成交供应商须提供相同功能备用设备予采购人临时使用或采取应急措施解决，不得影响采购人的正常工作业务。如货物或零部件非人为因素出现故障而造成短期停用时，则质保期相应顺延；由于成交供应商的保证服务不到位，则质保期和免费维修期相应顺延。</w:t>
            </w:r>
          </w:p>
          <w:p w14:paraId="22AD93C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9" w:name="OLE_LINK69"/>
            <w:bookmarkStart w:id="120" w:name="OLE_LINK68"/>
            <w:bookmarkStart w:id="121" w:name="OLE_LINK70"/>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4.如货物因自身故障致停用时间累计超过30天</w:t>
            </w:r>
            <w:bookmarkStart w:id="122" w:name="OLE_LINK67"/>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时</w:t>
            </w:r>
            <w:bookmarkEnd w:id="122"/>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，对故障货物予以免费重新更换。</w:t>
            </w:r>
            <w:bookmarkStart w:id="123" w:name="OLE_LINK6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如停用时间累计超过90天时，则故障货物质保期在状态恢复正常时重新起质保期重新计算，情节严重中的，采购人有权单方面解除本合同，并有权追究成交供应商责任。</w:t>
            </w:r>
            <w:bookmarkEnd w:id="119"/>
            <w:bookmarkEnd w:id="123"/>
          </w:p>
          <w:bookmarkEnd w:id="120"/>
          <w:p w14:paraId="20409B2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质保期内，如货物同一故障经成交供应商3次维修仍不能达到采购人使用的质量标准，采购人有权退货，并视作成交供应商不能交付货物而须支付违约赔偿金给采购人，采购人还可依法追究成交供应商的违约责任。</w:t>
            </w:r>
          </w:p>
          <w:bookmarkEnd w:id="118"/>
          <w:bookmarkEnd w:id="121"/>
          <w:p w14:paraId="7F3B206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5.成交供应商需提供以下资料和服务，所需费用包含在合同总价中：</w:t>
            </w:r>
          </w:p>
          <w:p w14:paraId="5B0B56D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（1）提供完整的厂家原版维修手册。</w:t>
            </w:r>
          </w:p>
          <w:p w14:paraId="50617D8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（2）提供设备的使用环境要求。</w:t>
            </w:r>
          </w:p>
          <w:p w14:paraId="506DD1C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（3）提供现场安全操作及必要的维护保养培训。</w:t>
            </w:r>
          </w:p>
          <w:p w14:paraId="487CF3C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6.保修期后，产品厂商须继续提供产品使用运行的技术支持，包括故障排除及零备件的供应等。</w:t>
            </w:r>
          </w:p>
          <w:p w14:paraId="2507E7F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7.采购人按成交价格和数量向成交供应商采购本项目产品后，若需增加采购相同品牌型号的设备，成交供应商必须按相同的配置和不高于成交价格销售给采购人。</w:t>
            </w:r>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13</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14</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00DDDE5A">
      <w:pP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1CDE8DD4">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24" w:name="_Toc21249"/>
      <w:r>
        <w:rPr>
          <w:rFonts w:hint="eastAsia" w:ascii="宋体" w:hAnsi="宋体"/>
          <w:color w:val="000000" w:themeColor="text1"/>
          <w:kern w:val="0"/>
          <w:sz w:val="24"/>
          <w:highlight w:val="none"/>
          <w14:textFill>
            <w14:solidFill>
              <w14:schemeClr w14:val="tx1"/>
            </w14:solidFill>
          </w14:textFill>
        </w:rPr>
        <w:t>B  技术要求</w:t>
      </w:r>
      <w:bookmarkEnd w:id="124"/>
    </w:p>
    <w:p w14:paraId="0A228393">
      <w:pPr>
        <w:bidi w:val="0"/>
        <w:rPr>
          <w:rFonts w:hint="eastAsia"/>
          <w:color w:val="000000" w:themeColor="text1"/>
          <w:highlight w:val="none"/>
          <w:lang w:val="en-US" w:eastAsia="zh-CN"/>
          <w14:textFill>
            <w14:solidFill>
              <w14:schemeClr w14:val="tx1"/>
            </w14:solidFill>
          </w14:textFill>
        </w:rPr>
      </w:pPr>
      <w:bookmarkStart w:id="125" w:name="_Toc183156608"/>
    </w:p>
    <w:bookmarkEnd w:id="125"/>
    <w:p w14:paraId="6959774D">
      <w:pPr>
        <w:pStyle w:val="3"/>
        <w:numPr>
          <w:ilvl w:val="0"/>
          <w:numId w:val="0"/>
        </w:numPr>
        <w:spacing w:before="240" w:line="240" w:lineRule="auto"/>
        <w:jc w:val="both"/>
        <w:rPr>
          <w:rFonts w:hint="eastAsia" w:ascii="宋体" w:hAnsi="宋体" w:eastAsia="宋体"/>
          <w:b/>
          <w:color w:val="000000" w:themeColor="text1"/>
          <w:sz w:val="21"/>
          <w:szCs w:val="21"/>
          <w:highlight w:val="none"/>
          <w14:textFill>
            <w14:solidFill>
              <w14:schemeClr w14:val="tx1"/>
            </w14:solidFill>
          </w14:textFill>
        </w:rPr>
      </w:pPr>
      <w:bookmarkStart w:id="126" w:name="_Toc5019"/>
      <w:r>
        <w:rPr>
          <w:rFonts w:hint="eastAsia" w:ascii="宋体" w:hAnsi="宋体" w:eastAsia="宋体"/>
          <w:b/>
          <w:color w:val="000000" w:themeColor="text1"/>
          <w:sz w:val="21"/>
          <w:szCs w:val="21"/>
          <w:highlight w:val="none"/>
          <w14:textFill>
            <w14:solidFill>
              <w14:schemeClr w14:val="tx1"/>
            </w14:solidFill>
          </w14:textFill>
        </w:rPr>
        <w:t>一、项目清单</w:t>
      </w:r>
      <w:bookmarkEnd w:id="126"/>
    </w:p>
    <w:tbl>
      <w:tblPr>
        <w:tblStyle w:val="52"/>
        <w:tblW w:w="9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244"/>
        <w:gridCol w:w="6178"/>
        <w:gridCol w:w="732"/>
        <w:gridCol w:w="724"/>
      </w:tblGrid>
      <w:tr w14:paraId="0EE0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vAlign w:val="center"/>
          </w:tcPr>
          <w:p w14:paraId="2B66161C">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序号</w:t>
            </w:r>
          </w:p>
        </w:tc>
        <w:tc>
          <w:tcPr>
            <w:tcW w:w="1244" w:type="dxa"/>
            <w:vAlign w:val="center"/>
          </w:tcPr>
          <w:p w14:paraId="659402A6">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物资名称</w:t>
            </w:r>
          </w:p>
        </w:tc>
        <w:tc>
          <w:tcPr>
            <w:tcW w:w="6178" w:type="dxa"/>
            <w:vAlign w:val="center"/>
          </w:tcPr>
          <w:p w14:paraId="07C50CB5">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技术要求</w:t>
            </w:r>
          </w:p>
        </w:tc>
        <w:tc>
          <w:tcPr>
            <w:tcW w:w="732" w:type="dxa"/>
            <w:vAlign w:val="center"/>
          </w:tcPr>
          <w:p w14:paraId="45E9BE04">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数量</w:t>
            </w:r>
          </w:p>
        </w:tc>
        <w:tc>
          <w:tcPr>
            <w:tcW w:w="724" w:type="dxa"/>
            <w:vAlign w:val="center"/>
          </w:tcPr>
          <w:p w14:paraId="62B46875">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单位</w:t>
            </w:r>
          </w:p>
        </w:tc>
      </w:tr>
      <w:tr w14:paraId="5F806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26A8C010">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244" w:type="dxa"/>
            <w:shd w:val="clear" w:color="auto" w:fill="auto"/>
            <w:vAlign w:val="center"/>
          </w:tcPr>
          <w:p w14:paraId="09A2E5AB">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无人机</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电池</w:t>
            </w:r>
          </w:p>
        </w:tc>
        <w:tc>
          <w:tcPr>
            <w:tcW w:w="6178" w:type="dxa"/>
            <w:shd w:val="clear" w:color="auto" w:fill="auto"/>
            <w:vAlign w:val="center"/>
          </w:tcPr>
          <w:p w14:paraId="0522B6D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适配（无人机）原装智能飞行电池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1.电池配置：14S1P  三元锂智能电池</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2.标称容量：38000 mAh（38Ah）</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3.标称电压：51.8V；满电电压：58.8V；最低保护电压：42.0V</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4.电池能量： ≥1900Wh</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5.持续放电倍率：2C；峰值放电倍率 3C</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6.最大充电功率： ≥5700W</w:t>
            </w:r>
          </w:p>
        </w:tc>
        <w:tc>
          <w:tcPr>
            <w:tcW w:w="732" w:type="dxa"/>
            <w:shd w:val="clear" w:color="auto" w:fill="auto"/>
            <w:vAlign w:val="center"/>
          </w:tcPr>
          <w:p w14:paraId="4BDC7D8F">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块</w:t>
            </w:r>
          </w:p>
        </w:tc>
        <w:tc>
          <w:tcPr>
            <w:tcW w:w="724" w:type="dxa"/>
            <w:shd w:val="clear" w:color="auto" w:fill="auto"/>
            <w:vAlign w:val="center"/>
          </w:tcPr>
          <w:p w14:paraId="15EEA30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r>
      <w:tr w14:paraId="0639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24C80B8E">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244" w:type="dxa"/>
            <w:shd w:val="clear" w:color="auto" w:fill="auto"/>
            <w:vAlign w:val="center"/>
          </w:tcPr>
          <w:p w14:paraId="6C6DDD0B">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防寒服</w:t>
            </w:r>
          </w:p>
        </w:tc>
        <w:tc>
          <w:tcPr>
            <w:tcW w:w="6178" w:type="dxa"/>
            <w:shd w:val="clear" w:color="auto" w:fill="auto"/>
            <w:vAlign w:val="center"/>
          </w:tcPr>
          <w:p w14:paraId="178859D1">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1.材质</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涤纶</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2.密度</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经密 282 根/10cm，纬密 168  根/10cm；</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3.耐摩擦色牢度:干摩:4-5级，湿摩 3-4 级；</w:t>
            </w:r>
          </w:p>
          <w:p w14:paraId="1C355AD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4.填充物材料丝绵；</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5.颜色</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火焰蓝。</w:t>
            </w:r>
          </w:p>
        </w:tc>
        <w:tc>
          <w:tcPr>
            <w:tcW w:w="732" w:type="dxa"/>
            <w:shd w:val="clear" w:color="auto" w:fill="auto"/>
            <w:vAlign w:val="center"/>
          </w:tcPr>
          <w:p w14:paraId="158F8C42">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件</w:t>
            </w:r>
          </w:p>
        </w:tc>
        <w:tc>
          <w:tcPr>
            <w:tcW w:w="724" w:type="dxa"/>
            <w:shd w:val="clear" w:color="auto" w:fill="auto"/>
            <w:vAlign w:val="center"/>
          </w:tcPr>
          <w:p w14:paraId="491C767E">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p>
        </w:tc>
      </w:tr>
      <w:tr w14:paraId="4934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32A60FAC">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244" w:type="dxa"/>
            <w:shd w:val="clear" w:color="auto" w:fill="auto"/>
            <w:vAlign w:val="center"/>
          </w:tcPr>
          <w:p w14:paraId="4E937136">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65 消防</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水带</w:t>
            </w:r>
          </w:p>
        </w:tc>
        <w:tc>
          <w:tcPr>
            <w:tcW w:w="6178" w:type="dxa"/>
            <w:shd w:val="clear" w:color="auto" w:fill="auto"/>
            <w:vAlign w:val="top"/>
          </w:tcPr>
          <w:p w14:paraId="5EF665FA">
            <w:pPr>
              <w:pStyle w:val="106"/>
              <w:numPr>
                <w:ilvl w:val="0"/>
                <w:numId w:val="0"/>
              </w:num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1.规格：20型65mm-20米超轻水带，按照国家标准：GB6246-2011生产，提供国家消防装备质量监督检验中心出具的检验报告和消防产品认证证书。</w:t>
            </w:r>
          </w:p>
          <w:p w14:paraId="23F099D0">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kern w:val="0"/>
                <w:sz w:val="21"/>
                <w:szCs w:val="21"/>
                <w:highlight w:val="none"/>
                <w14:textFill>
                  <w14:solidFill>
                    <w14:schemeClr w14:val="tx1"/>
                  </w14:solidFill>
                </w14:textFill>
              </w:rPr>
              <w:t>外编织层经线纬线均采用高强度聚乙烯纤维丝编织</w:t>
            </w:r>
            <w:r>
              <w:rPr>
                <w:rFonts w:hint="eastAsia" w:ascii="宋体" w:hAnsi="宋体"/>
                <w:color w:val="000000" w:themeColor="text1"/>
                <w:sz w:val="21"/>
                <w:szCs w:val="21"/>
                <w:highlight w:val="none"/>
                <w:lang w:val="en-US" w:eastAsia="zh-CN"/>
                <w14:textFill>
                  <w14:solidFill>
                    <w14:schemeClr w14:val="tx1"/>
                  </w14:solidFill>
                </w14:textFill>
              </w:rPr>
              <w:t>。内衬采用优质聚氨酯衬里，厚度均匀，表面光滑平整，无折皱或其它缺陷。</w:t>
            </w:r>
          </w:p>
          <w:p w14:paraId="3589C693">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3.单位长度质量（g/m）：≤202。</w:t>
            </w:r>
          </w:p>
          <w:p w14:paraId="7436B229">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4.爆破压力（MPa）：≥11。</w:t>
            </w:r>
          </w:p>
          <w:p w14:paraId="601DAF70">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5.延伸率（%）：≤1.1。</w:t>
            </w:r>
          </w:p>
          <w:p w14:paraId="14034AAB">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6.膨胀率（%）：≤1.4。</w:t>
            </w:r>
          </w:p>
          <w:p w14:paraId="2CFC82DA">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7.附着强度织物层与衬里（N/25mm）：≥60.1。</w:t>
            </w:r>
          </w:p>
          <w:p w14:paraId="339788CF">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8.扯断延长率（%）：≥329.1。</w:t>
            </w:r>
          </w:p>
          <w:p w14:paraId="1A66653F">
            <w:pPr>
              <w:pStyle w:val="106"/>
              <w:numPr>
                <w:ilvl w:val="0"/>
                <w:numId w:val="0"/>
              </w:numPr>
              <w:ind w:leftChars="0"/>
              <w:rPr>
                <w:rFonts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9.扯断强度（MPa）：≥49.0。</w:t>
            </w:r>
          </w:p>
          <w:p w14:paraId="6706F728">
            <w:pPr>
              <w:bidi w:val="0"/>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10.水带两头均配有65口径的快速接口。水带与消防接口连接处不应发生渗漏、爆破或滑脱</w:t>
            </w:r>
          </w:p>
          <w:p w14:paraId="37879517">
            <w:pPr>
              <w:pStyle w:val="106"/>
              <w:numPr>
                <w:ilvl w:val="0"/>
                <w:numId w:val="0"/>
              </w:num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3E01B974">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条</w:t>
            </w:r>
          </w:p>
        </w:tc>
        <w:tc>
          <w:tcPr>
            <w:tcW w:w="724" w:type="dxa"/>
            <w:shd w:val="clear" w:color="auto" w:fill="auto"/>
            <w:vAlign w:val="center"/>
          </w:tcPr>
          <w:p w14:paraId="43581973">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r>
      <w:tr w14:paraId="0A4A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2101BB24">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1244" w:type="dxa"/>
            <w:shd w:val="clear" w:color="auto" w:fill="auto"/>
            <w:vAlign w:val="center"/>
          </w:tcPr>
          <w:p w14:paraId="53130403">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40 森林</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水带</w:t>
            </w:r>
          </w:p>
        </w:tc>
        <w:tc>
          <w:tcPr>
            <w:tcW w:w="6178" w:type="dxa"/>
            <w:shd w:val="clear" w:color="auto" w:fill="auto"/>
            <w:vAlign w:val="top"/>
          </w:tcPr>
          <w:p w14:paraId="651C7F08">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1.规格：50-40-30米，按照《森林高压水带检验大纲》标准进行生产。</w:t>
            </w:r>
          </w:p>
          <w:p w14:paraId="42A73883">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内衬材质采用优质聚氨酯，厚度均匀，表面光滑清洁，无褶皱，不渗水，不霉变，柔软轻便易卷缠，耐老化，水流阻力小，使用寿命长。 外层材质采用高强度涤纶长丝线，厚度均匀，表面光滑清洁，无褶皱，不渗水，不霉变，柔软轻便易卷缠，耐老化，水流阻力小。</w:t>
            </w:r>
          </w:p>
          <w:p w14:paraId="43059704">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 xml:space="preserve">2.爆破压力：≥16.28MPa； </w:t>
            </w:r>
          </w:p>
          <w:p w14:paraId="667B8E5E">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3.单位长度质量：126g/m</w:t>
            </w:r>
          </w:p>
          <w:p w14:paraId="3C981225">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4.轴向延伸率：≤0.8%</w:t>
            </w:r>
          </w:p>
          <w:p w14:paraId="597CEC2E">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5.直径膨胀率：≤2.3%</w:t>
            </w:r>
          </w:p>
          <w:p w14:paraId="2F719348">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6.附着强度：≥90.1（N/25mm）</w:t>
            </w:r>
          </w:p>
          <w:p w14:paraId="08309744">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7.水带颜色为：白色</w:t>
            </w:r>
          </w:p>
          <w:p w14:paraId="00B124F2">
            <w:pPr>
              <w:rPr>
                <w:rFonts w:hint="default"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8.水带两头均配有40口径的森林专用接口。带口缠绕铁丝为3道，水带和接口捆绑处有水带护皮保护以防损坏。水带与消防接口连接处不应发生渗漏、爆破或滑脱。</w:t>
            </w:r>
          </w:p>
          <w:p w14:paraId="7AAB294C">
            <w:pPr>
              <w:pStyle w:val="2"/>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2875E240">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条</w:t>
            </w:r>
          </w:p>
        </w:tc>
        <w:tc>
          <w:tcPr>
            <w:tcW w:w="724" w:type="dxa"/>
            <w:shd w:val="clear" w:color="auto" w:fill="auto"/>
            <w:vAlign w:val="center"/>
          </w:tcPr>
          <w:p w14:paraId="2F1CF79C">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p>
        </w:tc>
      </w:tr>
      <w:tr w14:paraId="5304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6D26F667">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p>
        </w:tc>
        <w:tc>
          <w:tcPr>
            <w:tcW w:w="1244" w:type="dxa"/>
            <w:shd w:val="clear" w:color="auto" w:fill="auto"/>
            <w:vAlign w:val="center"/>
          </w:tcPr>
          <w:p w14:paraId="6BFD0BDB">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25 森林</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水带</w:t>
            </w:r>
          </w:p>
        </w:tc>
        <w:tc>
          <w:tcPr>
            <w:tcW w:w="6178" w:type="dxa"/>
            <w:shd w:val="clear" w:color="auto" w:fill="auto"/>
            <w:vAlign w:val="center"/>
          </w:tcPr>
          <w:p w14:paraId="5E1C655F">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1.规格：50-25-30米，按照《森林高压水带检验大纲》标准进行生产。</w:t>
            </w:r>
          </w:p>
          <w:p w14:paraId="5F534FA1">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内衬材质采用优质聚氨酯，厚度均匀，表面光滑清洁，无褶皱，不渗水，不霉变，柔软轻便易卷缠，耐老化，水流阻力小，使用寿命长。 外层材质采用高强度涤纶长丝线，厚度均匀，表面光滑清洁，无褶皱，不渗水，不霉变，柔软轻便易卷缠，耐老化，水流阻力小。</w:t>
            </w:r>
          </w:p>
          <w:p w14:paraId="3FA2A006">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 xml:space="preserve">2.爆破压力：≥16.64MPa； </w:t>
            </w:r>
          </w:p>
          <w:p w14:paraId="40B2C357">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3.单位长度质量：78g/m</w:t>
            </w:r>
          </w:p>
          <w:p w14:paraId="1AB07398">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4.轴向延伸率：≤0.8%</w:t>
            </w:r>
          </w:p>
          <w:p w14:paraId="017D719B">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5.直径膨胀率：≤3.3%</w:t>
            </w:r>
          </w:p>
          <w:p w14:paraId="0EC344EA">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olor w:val="000000" w:themeColor="text1"/>
                <w:sz w:val="21"/>
                <w:szCs w:val="21"/>
                <w:highlight w:val="none"/>
                <w:lang w:val="en-US" w:eastAsia="zh-CN"/>
                <w14:textFill>
                  <w14:solidFill>
                    <w14:schemeClr w14:val="tx1"/>
                  </w14:solidFill>
                </w14:textFill>
              </w:rPr>
              <w:t>6.附着强度：≥68.7（N/25mm）</w:t>
            </w:r>
          </w:p>
          <w:p w14:paraId="396E532E">
            <w:pPr>
              <w:rPr>
                <w:rFonts w:hint="eastAsia"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7.水带颜色为：白色</w:t>
            </w:r>
          </w:p>
          <w:p w14:paraId="27F71515">
            <w:pPr>
              <w:rPr>
                <w:rFonts w:hint="default" w:ascii="宋体" w:hAnsi="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 w:val="21"/>
                <w:szCs w:val="21"/>
                <w:highlight w:val="none"/>
                <w:lang w:val="en-US" w:eastAsia="zh-CN"/>
                <w14:textFill>
                  <w14:solidFill>
                    <w14:schemeClr w14:val="tx1"/>
                  </w14:solidFill>
                </w14:textFill>
              </w:rPr>
              <w:t>8.水带两头均配有25口径的森林专用接口。带口缠绕铁丝为3道，水带和接口捆绑处有水带护皮保护以防损坏。水带与消防接口连接处不应发生渗漏、爆破或滑脱。</w:t>
            </w:r>
          </w:p>
          <w:p w14:paraId="30EE02A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539483A6">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条</w:t>
            </w:r>
          </w:p>
        </w:tc>
        <w:tc>
          <w:tcPr>
            <w:tcW w:w="724" w:type="dxa"/>
            <w:shd w:val="clear" w:color="auto" w:fill="auto"/>
            <w:vAlign w:val="center"/>
          </w:tcPr>
          <w:p w14:paraId="1F759661">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p>
        </w:tc>
      </w:tr>
      <w:tr w14:paraId="270C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5A8E6BC4">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p>
        </w:tc>
        <w:tc>
          <w:tcPr>
            <w:tcW w:w="1244" w:type="dxa"/>
            <w:shd w:val="clear" w:color="auto" w:fill="auto"/>
            <w:vAlign w:val="center"/>
          </w:tcPr>
          <w:p w14:paraId="2FC5E9A9">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40口径</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快插式</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止回阀</w:t>
            </w:r>
          </w:p>
        </w:tc>
        <w:tc>
          <w:tcPr>
            <w:tcW w:w="6178" w:type="dxa"/>
            <w:shd w:val="clear" w:color="auto" w:fill="auto"/>
            <w:vAlign w:val="top"/>
          </w:tcPr>
          <w:p w14:paraId="633EE83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接口形式为40快速接口，采用铝镁合金A6061材质锻造成型，表面硬质阳极氧化防腐处理，</w:t>
            </w:r>
          </w:p>
          <w:p w14:paraId="09FEFCC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中性盐雾测试≥300小时。</w:t>
            </w:r>
          </w:p>
          <w:p w14:paraId="2EB6ECE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阀体采用铝镁合金A6061材质，表面蓝色阳极氧化防腐处理，中性盐雾测试≥300小时。</w:t>
            </w:r>
          </w:p>
          <w:p w14:paraId="097B4816">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内部单向密封球体采用优质丁腈橡胶一体成型，实现单向密封功能。</w:t>
            </w:r>
          </w:p>
          <w:p w14:paraId="515FC8BF">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阀体外部安装手动泄压装置，材质为黄铜，泄压装置设在靠近出水口一端，与出水口轴线成</w:t>
            </w:r>
          </w:p>
          <w:p w14:paraId="48FDFE7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45°角固定。</w:t>
            </w:r>
          </w:p>
          <w:p w14:paraId="1F3CE03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耐压强度≥6.0MPa。</w:t>
            </w:r>
          </w:p>
          <w:p w14:paraId="0308333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1CDFEEC8">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724" w:type="dxa"/>
            <w:shd w:val="clear" w:color="auto" w:fill="auto"/>
            <w:vAlign w:val="center"/>
          </w:tcPr>
          <w:p w14:paraId="6C4CD8C2">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r>
      <w:tr w14:paraId="0911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19D7CBD5">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p>
        </w:tc>
        <w:tc>
          <w:tcPr>
            <w:tcW w:w="1244" w:type="dxa"/>
            <w:shd w:val="clear" w:color="auto" w:fill="auto"/>
            <w:vAlign w:val="center"/>
          </w:tcPr>
          <w:p w14:paraId="5FF9C128">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40口径</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外扣式</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止回阀</w:t>
            </w:r>
          </w:p>
        </w:tc>
        <w:tc>
          <w:tcPr>
            <w:tcW w:w="6178" w:type="dxa"/>
            <w:shd w:val="clear" w:color="auto" w:fill="auto"/>
            <w:vAlign w:val="center"/>
          </w:tcPr>
          <w:p w14:paraId="0E783DE2">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接口形式为40内扣接口，采用铝镁合金A6061材质锻造成型，表面硬质阳极氧化防腐处理，</w:t>
            </w:r>
          </w:p>
          <w:p w14:paraId="48EBB8B6">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中性盐雾测试≥300小时。</w:t>
            </w:r>
          </w:p>
          <w:p w14:paraId="1E6AC38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阀体采用铝镁合金A6061材质，表面蓝色阳极氧化防腐处理，中性盐雾测试≥300小时。</w:t>
            </w:r>
          </w:p>
          <w:p w14:paraId="625EE89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内部单向密封球体采用优质丁腈橡胶一体成型，实现单向密封功能。</w:t>
            </w:r>
          </w:p>
          <w:p w14:paraId="7F748D7D">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阀体外部安装手动泄压装置，材质为黄铜，泄压装置设在靠近出水口一端，与出水口轴线成</w:t>
            </w:r>
          </w:p>
          <w:p w14:paraId="03074C92">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45°角固定。</w:t>
            </w:r>
          </w:p>
          <w:p w14:paraId="008FE00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耐压强度≥6.0MPa。</w:t>
            </w:r>
          </w:p>
        </w:tc>
        <w:tc>
          <w:tcPr>
            <w:tcW w:w="732" w:type="dxa"/>
            <w:shd w:val="clear" w:color="auto" w:fill="auto"/>
            <w:vAlign w:val="center"/>
          </w:tcPr>
          <w:p w14:paraId="4A8757F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724" w:type="dxa"/>
            <w:shd w:val="clear" w:color="auto" w:fill="auto"/>
            <w:vAlign w:val="center"/>
          </w:tcPr>
          <w:p w14:paraId="1883F82A">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r>
      <w:tr w14:paraId="575F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5BD48A0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c>
          <w:tcPr>
            <w:tcW w:w="1244" w:type="dxa"/>
            <w:shd w:val="clear" w:color="auto" w:fill="auto"/>
            <w:vAlign w:val="center"/>
          </w:tcPr>
          <w:p w14:paraId="48C585AA">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25口径</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多功能</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内扣水</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枪</w:t>
            </w:r>
          </w:p>
        </w:tc>
        <w:tc>
          <w:tcPr>
            <w:tcW w:w="6178" w:type="dxa"/>
            <w:shd w:val="clear" w:color="auto" w:fill="auto"/>
            <w:vAlign w:val="top"/>
          </w:tcPr>
          <w:p w14:paraId="0FA74A69">
            <w:pPr>
              <w:pStyle w:val="2"/>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材质: 为铝镁合金</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接口尺寸: 内卡扣 25mm适用消防水车高压卷盘和其它小水带配套，用于扑救车辆火灾，船舶火灾等，在具备泡沫装置条件下配合泡沫膨胀管能产生高质量泡沫。可配德式接口， 日式快速接口，高压卷盘接口和其它丝接接口。流量和冲洗挡位的调整都是通过旋转调节环实现，可以实现的流量均雕刻在此环上。通过旋转此环到对应流量挡位上，可获得消防枪在额定工作压力6公斤时对应的流量。调节环上还有对应冲洗挡位，此挡位使水流可以冲出卡在水路中的颗粒物。水带防缠绕接口。</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产品结构：枪体为铝合金结构，坚固且重量轻。表面阳极氧化层可以防止化学腐蚀和机械破坏。枪头有阻燃橡胶保护套，它在极热的环境下也不会融化，是极好的绝缘体，保证了在极热的情况下消防枪仍然可以正常工作，不会有燃烧现象; 同时在低温时也不会粘住消防员的手指。人体工程学防滑抗阻燃尼龙手枪握柄。销轴和螺钉均为不锈钢材质。</w:t>
            </w:r>
          </w:p>
          <w:p w14:paraId="46C4AF94">
            <w:pPr>
              <w:pStyle w:val="2"/>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以上参数须提供第三方检测机构出具的检验报告复印件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56228BE0">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支</w:t>
            </w:r>
          </w:p>
        </w:tc>
        <w:tc>
          <w:tcPr>
            <w:tcW w:w="724" w:type="dxa"/>
            <w:shd w:val="clear" w:color="auto" w:fill="auto"/>
            <w:vAlign w:val="center"/>
          </w:tcPr>
          <w:p w14:paraId="62D3A524">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r>
      <w:tr w14:paraId="2418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658" w:type="dxa"/>
            <w:shd w:val="clear" w:color="auto" w:fill="auto"/>
            <w:vAlign w:val="center"/>
          </w:tcPr>
          <w:p w14:paraId="43104318">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9</w:t>
            </w:r>
          </w:p>
        </w:tc>
        <w:tc>
          <w:tcPr>
            <w:tcW w:w="1244" w:type="dxa"/>
            <w:shd w:val="clear" w:color="auto" w:fill="auto"/>
            <w:vAlign w:val="center"/>
          </w:tcPr>
          <w:p w14:paraId="32BD8B1E">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40口径</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多功能</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快接水</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枪</w:t>
            </w:r>
          </w:p>
        </w:tc>
        <w:tc>
          <w:tcPr>
            <w:tcW w:w="6178" w:type="dxa"/>
            <w:shd w:val="clear" w:color="auto" w:fill="auto"/>
            <w:vAlign w:val="top"/>
          </w:tcPr>
          <w:p w14:paraId="2E6D3EA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直流喷雾水枪</w:t>
            </w:r>
          </w:p>
          <w:p w14:paraId="69EC4AE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执行标准</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GB8181-2005《消防水枪》</w:t>
            </w:r>
          </w:p>
          <w:p w14:paraId="1C54B245">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接口：采用锻造工艺，铝镁合金A6061材质，黑色阳极氧化防腐处理</w:t>
            </w:r>
          </w:p>
          <w:p w14:paraId="65EC682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枪体：精密锻造铝镁合金A6061，德国原装进口五轴加工中心一体成型</w:t>
            </w:r>
          </w:p>
          <w:p w14:paraId="399C311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手柄：PL人体工程学防滑抗阻燃尼龙握柄，内嵌高强度不锈钢片，可耐冲击</w:t>
            </w:r>
          </w:p>
          <w:p w14:paraId="6152ECFA">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阀球：A6061铝镁合金数控精密加工成型，表面阳极氧化防腐处理</w:t>
            </w:r>
          </w:p>
          <w:p w14:paraId="1547928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阀芯：锻造高纯度黄铜</w:t>
            </w:r>
          </w:p>
          <w:p w14:paraId="0B07ED7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密封件：高性能耐油、抗老化特氟龙垫圈</w:t>
            </w:r>
          </w:p>
          <w:p w14:paraId="5B061A86">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紧固件：SUS304不锈钢材质或锻造黄铜</w:t>
            </w:r>
          </w:p>
          <w:p w14:paraId="16FF37B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保护套：高品质阻燃橡胶，耐极限高低温</w:t>
            </w:r>
          </w:p>
          <w:p w14:paraId="5077331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喷雾轮：精密不锈钢，镜面抛光，耐腐蚀</w:t>
            </w:r>
          </w:p>
          <w:p w14:paraId="5DAE73F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性能参数：</w:t>
            </w:r>
          </w:p>
          <w:p w14:paraId="45FF6E8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额定喷射压力:0.60MPa;最大压力1.6MPa</w:t>
            </w:r>
          </w:p>
          <w:p w14:paraId="1B3D927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档位:2.5/4/FLUSH三档</w:t>
            </w:r>
          </w:p>
          <w:p w14:paraId="2B2D692F">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射程:≥</w:t>
            </w:r>
            <w:r>
              <w:rPr>
                <w:rFonts w:hint="eastAsia" w:ascii="宋体" w:hAnsi="宋体" w:cs="宋体"/>
                <w:color w:val="000000" w:themeColor="text1"/>
                <w:sz w:val="21"/>
                <w:szCs w:val="21"/>
                <w:highlight w:val="none"/>
                <w:lang w:val="en-US" w:eastAsia="zh-CN"/>
                <w14:textFill>
                  <w14:solidFill>
                    <w14:schemeClr w14:val="tx1"/>
                  </w14:solidFill>
                </w14:textFill>
              </w:rPr>
              <w:t>35</w:t>
            </w:r>
            <w:r>
              <w:rPr>
                <w:rFonts w:hint="eastAsia" w:ascii="宋体" w:hAnsi="宋体" w:eastAsia="宋体" w:cs="宋体"/>
                <w:color w:val="000000" w:themeColor="text1"/>
                <w:sz w:val="21"/>
                <w:szCs w:val="21"/>
                <w:highlight w:val="none"/>
                <w:lang w:val="en-US" w:eastAsia="zh-CN"/>
                <w14:textFill>
                  <w14:solidFill>
                    <w14:schemeClr w14:val="tx1"/>
                  </w14:solidFill>
                </w14:textFill>
              </w:rPr>
              <w:t>M</w:t>
            </w:r>
          </w:p>
          <w:p w14:paraId="7BB341FA">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喷雾角调节范围:0~110°</w:t>
            </w:r>
          </w:p>
          <w:p w14:paraId="1011F0D5">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重量:≤1.2kg</w:t>
            </w:r>
          </w:p>
          <w:p w14:paraId="3816D091">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枪体长度：≤170mm（不含接口）</w:t>
            </w:r>
          </w:p>
          <w:p w14:paraId="48EA063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额定流量：4L/s</w:t>
            </w:r>
          </w:p>
          <w:p w14:paraId="0608D03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操作力矩</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7.7N.m</w:t>
            </w:r>
          </w:p>
          <w:p w14:paraId="50CBF217">
            <w:pPr>
              <w:pStyle w:val="2"/>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48E24997">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支</w:t>
            </w:r>
          </w:p>
        </w:tc>
        <w:tc>
          <w:tcPr>
            <w:tcW w:w="724" w:type="dxa"/>
            <w:shd w:val="clear" w:color="auto" w:fill="auto"/>
            <w:vAlign w:val="center"/>
          </w:tcPr>
          <w:p w14:paraId="16BF7872">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r>
      <w:tr w14:paraId="67FB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70828C6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c>
          <w:tcPr>
            <w:tcW w:w="1244" w:type="dxa"/>
            <w:shd w:val="clear" w:color="auto" w:fill="auto"/>
            <w:vAlign w:val="center"/>
          </w:tcPr>
          <w:p w14:paraId="02303EC1">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65口径</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多功能</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快接水</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枪</w:t>
            </w:r>
          </w:p>
        </w:tc>
        <w:tc>
          <w:tcPr>
            <w:tcW w:w="6178" w:type="dxa"/>
            <w:shd w:val="clear" w:color="auto" w:fill="auto"/>
            <w:vAlign w:val="top"/>
          </w:tcPr>
          <w:p w14:paraId="1303B636">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直流喷雾水枪</w:t>
            </w:r>
          </w:p>
          <w:p w14:paraId="05D29A9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执行标准</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GB8181-2005《消防水枪》</w:t>
            </w:r>
          </w:p>
          <w:p w14:paraId="0BA5290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接口：采用锻造工艺，铝镁合金A6061材质，黑色阳极氧化防腐处理</w:t>
            </w:r>
          </w:p>
          <w:p w14:paraId="58DC293D">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枪体：精密锻造铝镁合金A6061，德国原装进口五轴加工中心一体成型</w:t>
            </w:r>
          </w:p>
          <w:p w14:paraId="0574F3F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手柄：PL人体工程学防滑抗阻燃尼龙握柄，内嵌高强度不锈钢片，可耐冲击</w:t>
            </w:r>
          </w:p>
          <w:p w14:paraId="366294B1">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阀球：A6061铝镁合金数控精密加工成型，表面阳极氧化防腐处理</w:t>
            </w:r>
          </w:p>
          <w:p w14:paraId="08B3FCB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阀芯：锻造高纯度黄铜</w:t>
            </w:r>
          </w:p>
          <w:p w14:paraId="3E78400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密封件：高性能耐油、抗老化特氟龙垫圈</w:t>
            </w:r>
          </w:p>
          <w:p w14:paraId="68DBD1B1">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紧固件：SUS304不锈钢材质或锻造黄铜</w:t>
            </w:r>
          </w:p>
          <w:p w14:paraId="6FF583DD">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保护套：高品质阻燃橡胶，耐极限高低温</w:t>
            </w:r>
          </w:p>
          <w:p w14:paraId="29FD154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喷雾轮：精密不锈钢，镜面抛光，耐腐蚀</w:t>
            </w:r>
          </w:p>
          <w:p w14:paraId="126D8EF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▲性能参数：</w:t>
            </w:r>
          </w:p>
          <w:p w14:paraId="47B46DF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额定喷射压力:0.60MPa;最大压力1.6MPa</w:t>
            </w:r>
          </w:p>
          <w:p w14:paraId="0EA39D9A">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档位:2.5/5/6.5/8/FLUSH五档</w:t>
            </w:r>
          </w:p>
          <w:p w14:paraId="3F0F18C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射程:≥32M</w:t>
            </w:r>
          </w:p>
          <w:p w14:paraId="3294B02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喷雾角调节范围:0~110°</w:t>
            </w:r>
          </w:p>
          <w:p w14:paraId="10DC340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重量:≤1.8kg</w:t>
            </w:r>
          </w:p>
          <w:p w14:paraId="193AB32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枪体长度：≤200mm（不含接口）</w:t>
            </w:r>
          </w:p>
          <w:p w14:paraId="58E08B1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7</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额定流量：8L/s</w:t>
            </w:r>
          </w:p>
          <w:p w14:paraId="55765E0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操作力矩:7.7N.m</w:t>
            </w:r>
          </w:p>
          <w:p w14:paraId="1A66F795">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5C96EA7B">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支</w:t>
            </w:r>
          </w:p>
        </w:tc>
        <w:tc>
          <w:tcPr>
            <w:tcW w:w="724" w:type="dxa"/>
            <w:shd w:val="clear" w:color="auto" w:fill="auto"/>
            <w:vAlign w:val="center"/>
          </w:tcPr>
          <w:p w14:paraId="2D6A7253">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r>
      <w:tr w14:paraId="3CFC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1F2BF7AE">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p>
        </w:tc>
        <w:tc>
          <w:tcPr>
            <w:tcW w:w="1244" w:type="dxa"/>
            <w:shd w:val="clear" w:color="auto" w:fill="auto"/>
            <w:vAlign w:val="center"/>
          </w:tcPr>
          <w:p w14:paraId="3B410326">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40口径</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转接口</w:t>
            </w:r>
          </w:p>
        </w:tc>
        <w:tc>
          <w:tcPr>
            <w:tcW w:w="6178" w:type="dxa"/>
            <w:shd w:val="clear" w:color="auto" w:fill="auto"/>
            <w:vAlign w:val="center"/>
          </w:tcPr>
          <w:p w14:paraId="1670BB8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40 森林外扣转40 快速雌</w:t>
            </w:r>
          </w:p>
          <w:p w14:paraId="4C60FEA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产品特性：</w:t>
            </w:r>
          </w:p>
          <w:p w14:paraId="3B13453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材质与防腐处理工艺：</w:t>
            </w:r>
          </w:p>
          <w:p w14:paraId="59C3CB3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接口：采用铝镁合金A6061材质，表面金色阳极氧化防腐处理。</w:t>
            </w:r>
          </w:p>
          <w:p w14:paraId="613C3B6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卡簧：采用不锈钢304材质。</w:t>
            </w:r>
          </w:p>
          <w:p w14:paraId="5BE3B2C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铜滑块：采用HPb58-3材质，表面电镀防腐处理，滑块采用弹簧式弹性组件。</w:t>
            </w:r>
          </w:p>
          <w:p w14:paraId="3B3D755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保护圈：采用高性能防紫外线抗老化硅胶，颜色采用鲜亮红色或鲜亮蓝色。</w:t>
            </w:r>
          </w:p>
          <w:p w14:paraId="7C64CC1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2.制造工艺：锻造+热处理工艺。</w:t>
            </w:r>
          </w:p>
          <w:p w14:paraId="13258B1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3.异型连接：采用整体连接或无平垫密封结构连接，确保连接牢靠无松动。</w:t>
            </w:r>
          </w:p>
          <w:p w14:paraId="24E2DCB1">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执行标准：GB12514.1－2005，GB12514.2－2006，GB12514.3－2006</w:t>
            </w:r>
          </w:p>
          <w:p w14:paraId="4C20257D">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技术参数：</w:t>
            </w:r>
          </w:p>
          <w:p w14:paraId="32220FC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公称压力(MPa)：2.5</w:t>
            </w:r>
          </w:p>
          <w:p w14:paraId="2F3E94A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测试压力(MPa)：4.0</w:t>
            </w:r>
          </w:p>
        </w:tc>
        <w:tc>
          <w:tcPr>
            <w:tcW w:w="732" w:type="dxa"/>
            <w:shd w:val="clear" w:color="auto" w:fill="auto"/>
            <w:vAlign w:val="center"/>
          </w:tcPr>
          <w:p w14:paraId="5833E1BB">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724" w:type="dxa"/>
            <w:shd w:val="clear" w:color="auto" w:fill="auto"/>
            <w:vAlign w:val="center"/>
          </w:tcPr>
          <w:p w14:paraId="53BA2331">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p>
        </w:tc>
      </w:tr>
      <w:tr w14:paraId="5A92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1E08201F">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p>
        </w:tc>
        <w:tc>
          <w:tcPr>
            <w:tcW w:w="1244" w:type="dxa"/>
            <w:shd w:val="clear" w:color="auto" w:fill="auto"/>
            <w:vAlign w:val="center"/>
          </w:tcPr>
          <w:p w14:paraId="119F1F15">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65转 65内扣转</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接口</w:t>
            </w:r>
          </w:p>
        </w:tc>
        <w:tc>
          <w:tcPr>
            <w:tcW w:w="6178" w:type="dxa"/>
            <w:shd w:val="clear" w:color="auto" w:fill="auto"/>
            <w:vAlign w:val="center"/>
          </w:tcPr>
          <w:p w14:paraId="0B7B53B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65 内扣转 65 内扣</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产品特性：</w:t>
            </w:r>
          </w:p>
          <w:p w14:paraId="1E777AB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1.材质与防腐处理工艺：</w:t>
            </w:r>
          </w:p>
          <w:p w14:paraId="75584D1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接口：采用铝镁合金A6061材质，表面金色阳极氧化防腐处理。</w:t>
            </w:r>
          </w:p>
          <w:p w14:paraId="7C4CAB5F">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卡簧：采用不锈钢304材质。</w:t>
            </w:r>
          </w:p>
          <w:p w14:paraId="1ECDA03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铜滑块：采用HPb58-3材质，表面电镀防腐处理，滑块采用弹簧式弹性组件。</w:t>
            </w:r>
          </w:p>
          <w:p w14:paraId="16EFA63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保护圈：采用高性能防紫外线抗老化硅胶，颜色采用鲜亮红色或鲜亮蓝色。</w:t>
            </w:r>
          </w:p>
          <w:p w14:paraId="3421B11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2.制造工艺：锻造+热处理工艺。</w:t>
            </w:r>
          </w:p>
          <w:p w14:paraId="2C35095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3.异型连接：采用整体连接或无平垫密封结构连接，确保连接牢靠无松动。</w:t>
            </w:r>
          </w:p>
          <w:p w14:paraId="17C387B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执行标准：GB12514.1－2005，GB12514.2－2006，GB12514.3－2006</w:t>
            </w:r>
          </w:p>
          <w:p w14:paraId="241C877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技术参数：</w:t>
            </w:r>
          </w:p>
          <w:p w14:paraId="5F7E1A7A">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公称压力(MPa)：2.5</w:t>
            </w:r>
          </w:p>
          <w:p w14:paraId="00AAAC4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测试压力(MPa)：4.0</w:t>
            </w:r>
          </w:p>
        </w:tc>
        <w:tc>
          <w:tcPr>
            <w:tcW w:w="732" w:type="dxa"/>
            <w:shd w:val="clear" w:color="auto" w:fill="auto"/>
            <w:vAlign w:val="center"/>
          </w:tcPr>
          <w:p w14:paraId="17CBD158">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724" w:type="dxa"/>
            <w:shd w:val="clear" w:color="auto" w:fill="auto"/>
            <w:vAlign w:val="center"/>
          </w:tcPr>
          <w:p w14:paraId="676EDFC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r>
      <w:tr w14:paraId="0C0D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0A5AF7B7">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13</w:t>
            </w:r>
          </w:p>
        </w:tc>
        <w:tc>
          <w:tcPr>
            <w:tcW w:w="1244" w:type="dxa"/>
            <w:shd w:val="clear" w:color="auto" w:fill="auto"/>
            <w:vAlign w:val="center"/>
          </w:tcPr>
          <w:p w14:paraId="511E88B2">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65内扣</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转65 快速雌转接口</w:t>
            </w:r>
          </w:p>
        </w:tc>
        <w:tc>
          <w:tcPr>
            <w:tcW w:w="6178" w:type="dxa"/>
            <w:shd w:val="clear" w:color="auto" w:fill="auto"/>
            <w:vAlign w:val="center"/>
          </w:tcPr>
          <w:p w14:paraId="6E68B8C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65内扣转65快速雌</w:t>
            </w:r>
          </w:p>
          <w:p w14:paraId="58913C8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产品特性：</w:t>
            </w:r>
          </w:p>
          <w:p w14:paraId="6421D63A">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1.材质与防腐处理工艺：</w:t>
            </w:r>
          </w:p>
          <w:p w14:paraId="61FA5D9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接口：采用铝镁合金A6061材质，表面金色阳极氧化防腐处理。</w:t>
            </w:r>
          </w:p>
          <w:p w14:paraId="5CBCC576">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卡簧：采用不锈钢304材质。</w:t>
            </w:r>
          </w:p>
          <w:p w14:paraId="7ECF7CD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铜滑块：采用HPb58-3材质，表面电镀防腐处理，滑块采用弹簧式弹性组件。</w:t>
            </w:r>
          </w:p>
          <w:p w14:paraId="05F41FF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保护圈：采用高性能防紫外线抗老化硅胶，颜色采用鲜亮红色或鲜亮蓝色。</w:t>
            </w:r>
          </w:p>
          <w:p w14:paraId="4135D9F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2.制造工艺：锻造+热处理工艺。</w:t>
            </w:r>
          </w:p>
          <w:p w14:paraId="6F3896E5">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3.异型连接：采用整体连接或无平垫密封结构连接，确保连接牢靠无松动。</w:t>
            </w:r>
          </w:p>
          <w:p w14:paraId="491BB9D6">
            <w:pPr>
              <w:bidi w:val="0"/>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执行标准：GB12514.1－2005，GB12514.2－2006，GB12514.3－2006</w:t>
            </w:r>
          </w:p>
          <w:p w14:paraId="480A9BAD">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技术参数：</w:t>
            </w:r>
          </w:p>
          <w:p w14:paraId="0FF974A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公称压力(MPa)：2.5</w:t>
            </w:r>
          </w:p>
          <w:p w14:paraId="1A916985">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测试压力(MPa)：4.0</w:t>
            </w:r>
          </w:p>
          <w:p w14:paraId="5302DADA">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3F1C1D9C">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724" w:type="dxa"/>
            <w:shd w:val="clear" w:color="auto" w:fill="auto"/>
            <w:vAlign w:val="center"/>
          </w:tcPr>
          <w:p w14:paraId="3280B8A9">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r>
      <w:tr w14:paraId="5B8DA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58" w:type="dxa"/>
            <w:shd w:val="clear" w:color="auto" w:fill="auto"/>
            <w:vAlign w:val="center"/>
          </w:tcPr>
          <w:p w14:paraId="519EA15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14</w:t>
            </w:r>
          </w:p>
        </w:tc>
        <w:tc>
          <w:tcPr>
            <w:tcW w:w="1244" w:type="dxa"/>
            <w:shd w:val="clear" w:color="auto" w:fill="auto"/>
            <w:vAlign w:val="center"/>
          </w:tcPr>
          <w:p w14:paraId="00AAF370">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80内扣</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转65 快速雌转接口</w:t>
            </w:r>
          </w:p>
        </w:tc>
        <w:tc>
          <w:tcPr>
            <w:tcW w:w="6178" w:type="dxa"/>
            <w:shd w:val="clear" w:color="auto" w:fill="auto"/>
            <w:vAlign w:val="top"/>
          </w:tcPr>
          <w:p w14:paraId="2610784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80内扣转65快速雌</w:t>
            </w:r>
          </w:p>
          <w:p w14:paraId="7917549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产品特性：</w:t>
            </w:r>
          </w:p>
          <w:p w14:paraId="4C2EBEC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1.材质与防腐处理工艺：</w:t>
            </w:r>
          </w:p>
          <w:p w14:paraId="4DFE1F4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接口：采用铝镁合金A6061材质，表面金色阳极氧化防腐处理。</w:t>
            </w:r>
          </w:p>
          <w:p w14:paraId="644C653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卡簧：采用不锈钢304材质。</w:t>
            </w:r>
          </w:p>
          <w:p w14:paraId="0FB0556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铜滑块：采用HPb58-3材质，表面电镀防腐处理，滑块采用弹簧式弹性组件。</w:t>
            </w:r>
          </w:p>
          <w:p w14:paraId="6FEE223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保护圈：采用高性能防紫外线抗老化硅胶，颜色采用鲜亮红色或鲜亮蓝色。</w:t>
            </w:r>
          </w:p>
          <w:p w14:paraId="4B0576F7">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2.制造工艺：锻造+热处理工艺。</w:t>
            </w:r>
          </w:p>
          <w:p w14:paraId="3557E35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3.异型连接：采用整体连接或无平垫密封结构连接，确保连接牢靠无松动。</w:t>
            </w:r>
          </w:p>
          <w:p w14:paraId="186CE60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执行标准：GB12514.1－2005，GB12514.2－2006，GB12514.3－2006</w:t>
            </w:r>
          </w:p>
          <w:p w14:paraId="035D990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技术参数：</w:t>
            </w:r>
          </w:p>
          <w:p w14:paraId="3E9F9E19">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公称压力(MPa)：2.5</w:t>
            </w:r>
          </w:p>
          <w:p w14:paraId="0A8BBDF5">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测试压力(MPa)：4.0</w:t>
            </w:r>
          </w:p>
          <w:p w14:paraId="4E26EE5D">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以上参数须提供第三方权威检测机构出具的检验报告复印件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作为评审依据，</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732" w:type="dxa"/>
            <w:shd w:val="clear" w:color="auto" w:fill="auto"/>
            <w:vAlign w:val="center"/>
          </w:tcPr>
          <w:p w14:paraId="69FA6AAB">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724" w:type="dxa"/>
            <w:shd w:val="clear" w:color="auto" w:fill="auto"/>
            <w:vAlign w:val="center"/>
          </w:tcPr>
          <w:p w14:paraId="3DBF8F6E">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r>
      <w:tr w14:paraId="3AB53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3FACEF56">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p>
        </w:tc>
        <w:tc>
          <w:tcPr>
            <w:tcW w:w="1244" w:type="dxa"/>
            <w:shd w:val="clear" w:color="auto" w:fill="auto"/>
            <w:vAlign w:val="center"/>
          </w:tcPr>
          <w:p w14:paraId="6139352F">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80转65</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内扣转</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接口</w:t>
            </w:r>
          </w:p>
        </w:tc>
        <w:tc>
          <w:tcPr>
            <w:tcW w:w="6178" w:type="dxa"/>
            <w:shd w:val="clear" w:color="auto" w:fill="auto"/>
            <w:vAlign w:val="center"/>
          </w:tcPr>
          <w:p w14:paraId="07392E3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80内扣转65内扣</w:t>
            </w:r>
          </w:p>
          <w:p w14:paraId="6B904EF1">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产品特性：</w:t>
            </w:r>
          </w:p>
          <w:p w14:paraId="04A71DDE">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1.材质与防腐处理工艺：</w:t>
            </w:r>
          </w:p>
          <w:p w14:paraId="707327C8">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接口：采用铝镁合金A6061材质，表面金色阳极氧化防腐处理。</w:t>
            </w:r>
          </w:p>
          <w:p w14:paraId="52FFA4E3">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卡簧：采用不锈钢304材质。</w:t>
            </w:r>
          </w:p>
          <w:p w14:paraId="6A1D37A6">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铜滑块：采用HPb58-3材质，表面电镀防腐处理，滑块采用弹簧式弹性组件。</w:t>
            </w:r>
          </w:p>
          <w:p w14:paraId="29C5F7F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保护圈：采用高性能防紫外线抗老化硅胶，颜色采用鲜亮红色或鲜亮蓝色。</w:t>
            </w:r>
          </w:p>
          <w:p w14:paraId="756B0C3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2.制造工艺：锻造+热处理工艺。</w:t>
            </w:r>
          </w:p>
          <w:p w14:paraId="49C0F710">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3.异型连接：采用整体连接或无平垫密封结构连接，确保连接牢靠无松动。</w:t>
            </w:r>
          </w:p>
          <w:p w14:paraId="5D1C0CD4">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执行标准：GB12514.1－2005，GB12514.2－2006，GB12514.3－2006</w:t>
            </w:r>
          </w:p>
          <w:p w14:paraId="45A6B4B5">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技术参数：</w:t>
            </w:r>
          </w:p>
          <w:p w14:paraId="33F7B73F">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公称压力(MPa)：2.5</w:t>
            </w:r>
          </w:p>
          <w:p w14:paraId="06CC37E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测试压力(MPa)：4.0</w:t>
            </w:r>
          </w:p>
          <w:p w14:paraId="73278D4B">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以上参数须提供第三方检测机构出具的检验报告复印件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0" w:type="auto"/>
            <w:shd w:val="clear" w:color="auto" w:fill="auto"/>
            <w:vAlign w:val="center"/>
          </w:tcPr>
          <w:p w14:paraId="57B795A1">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0" w:type="auto"/>
            <w:shd w:val="clear" w:color="auto" w:fill="auto"/>
            <w:vAlign w:val="center"/>
          </w:tcPr>
          <w:p w14:paraId="66417EDF">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r>
      <w:tr w14:paraId="657A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76AEA4DC">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16</w:t>
            </w:r>
          </w:p>
        </w:tc>
        <w:tc>
          <w:tcPr>
            <w:tcW w:w="1244" w:type="dxa"/>
            <w:shd w:val="clear" w:color="auto" w:fill="auto"/>
            <w:vAlign w:val="center"/>
          </w:tcPr>
          <w:p w14:paraId="3D774803">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森林消</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防手电</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两用软</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体水枪</w:t>
            </w:r>
          </w:p>
        </w:tc>
        <w:tc>
          <w:tcPr>
            <w:tcW w:w="6178" w:type="dxa"/>
            <w:shd w:val="clear" w:color="auto" w:fill="auto"/>
            <w:vAlign w:val="center"/>
          </w:tcPr>
          <w:p w14:paraId="108A86B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背负式，由水囊或背桶，电瓶，背带，连接水管，枪体等组成整机质量：≤25kg；</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电瓶一次充电连续工作时间：≥3h；</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启动性能：≤5s；</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最大压力：≥4.5Mpa；</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水囊或背桶：≥18L；</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最佳灭火距离：2-8m；</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水平工作射程：直流≥10m，扇形≥6m ，雾化≥6m；</w:t>
            </w:r>
            <w:r>
              <w:rPr>
                <w:rFonts w:hint="eastAsia" w:ascii="宋体" w:hAnsi="宋体" w:eastAsia="宋体" w:cs="宋体"/>
                <w:color w:val="000000" w:themeColor="text1"/>
                <w:sz w:val="21"/>
                <w:szCs w:val="21"/>
                <w:highlight w:val="none"/>
                <w:lang w:val="en-US" w:eastAsia="zh-CN"/>
                <w14:textFill>
                  <w14:solidFill>
                    <w14:schemeClr w14:val="tx1"/>
                  </w14:solidFill>
                </w14:textFill>
              </w:rPr>
              <w:br w:type="textWrapping"/>
            </w:r>
            <w:r>
              <w:rPr>
                <w:rFonts w:hint="eastAsia" w:ascii="宋体" w:hAnsi="宋体" w:eastAsia="宋体" w:cs="宋体"/>
                <w:color w:val="000000" w:themeColor="text1"/>
                <w:sz w:val="21"/>
                <w:szCs w:val="21"/>
                <w:highlight w:val="none"/>
                <w:lang w:val="en-US" w:eastAsia="zh-CN"/>
                <w14:textFill>
                  <w14:solidFill>
                    <w14:schemeClr w14:val="tx1"/>
                  </w14:solidFill>
                </w14:textFill>
              </w:rPr>
              <w:t>最大流量：≥6L/min;水枪应为铜质或铝合金内外电镀处理，长度≥500mm，连接水管≥1m。</w:t>
            </w:r>
          </w:p>
          <w:p w14:paraId="7137C08B">
            <w:pPr>
              <w:pStyle w:val="2"/>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以上</w:t>
            </w:r>
            <w:r>
              <w:rPr>
                <w:rFonts w:hint="eastAsia" w:ascii="宋体" w:hAnsi="宋体" w:cs="宋体"/>
                <w:b/>
                <w:bCs/>
                <w:color w:val="000000" w:themeColor="text1"/>
                <w:sz w:val="21"/>
                <w:szCs w:val="21"/>
                <w:highlight w:val="none"/>
                <w:lang w:val="en-US" w:eastAsia="zh-CN"/>
                <w14:textFill>
                  <w14:solidFill>
                    <w14:schemeClr w14:val="tx1"/>
                  </w14:solidFill>
                </w14:textFill>
              </w:rPr>
              <w:t>带“</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w:t>
            </w:r>
            <w:r>
              <w:rPr>
                <w:rFonts w:hint="eastAsia" w:ascii="宋体" w:hAnsi="宋体" w:cs="宋体"/>
                <w:b/>
                <w:bCs/>
                <w:color w:val="000000" w:themeColor="text1"/>
                <w:sz w:val="21"/>
                <w:szCs w:val="21"/>
                <w:highlight w:val="none"/>
                <w:lang w:val="en-US" w:eastAsia="zh-CN"/>
                <w14:textFill>
                  <w14:solidFill>
                    <w14:schemeClr w14:val="tx1"/>
                  </w14:solidFill>
                </w14:textFill>
              </w:rPr>
              <w:t>”号</w:t>
            </w:r>
            <w:r>
              <w:rPr>
                <w:rFonts w:hint="eastAsia" w:ascii="宋体" w:hAnsi="宋体" w:eastAsia="宋体" w:cs="宋体"/>
                <w:b/>
                <w:bCs/>
                <w:color w:val="000000" w:themeColor="text1"/>
                <w:sz w:val="21"/>
                <w:szCs w:val="21"/>
                <w:highlight w:val="none"/>
                <w14:textFill>
                  <w14:solidFill>
                    <w14:schemeClr w14:val="tx1"/>
                  </w14:solidFill>
                </w14:textFill>
              </w:rPr>
              <w:t>参数提供</w:t>
            </w:r>
            <w:r>
              <w:rPr>
                <w:rFonts w:hint="eastAsia" w:ascii="宋体" w:hAnsi="宋体"/>
                <w:b/>
                <w:bCs/>
                <w:color w:val="000000" w:themeColor="text1"/>
                <w:sz w:val="21"/>
                <w:szCs w:val="21"/>
                <w:highlight w:val="none"/>
                <w:lang w:val="en-US" w:eastAsia="zh-CN"/>
                <w14:textFill>
                  <w14:solidFill>
                    <w14:schemeClr w14:val="tx1"/>
                  </w14:solidFill>
                </w14:textFill>
              </w:rPr>
              <w:t>第三方检测机构</w:t>
            </w:r>
            <w:r>
              <w:rPr>
                <w:rFonts w:hint="eastAsia" w:ascii="宋体" w:hAnsi="宋体" w:eastAsia="宋体" w:cs="宋体"/>
                <w:b/>
                <w:bCs/>
                <w:color w:val="000000" w:themeColor="text1"/>
                <w:sz w:val="21"/>
                <w:szCs w:val="21"/>
                <w:highlight w:val="none"/>
                <w14:textFill>
                  <w14:solidFill>
                    <w14:schemeClr w14:val="tx1"/>
                  </w14:solidFill>
                </w14:textFill>
              </w:rPr>
              <w:t>出具的检验报告复印件</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sz w:val="21"/>
                <w:szCs w:val="21"/>
                <w:highlight w:val="none"/>
                <w14:textFill>
                  <w14:solidFill>
                    <w14:schemeClr w14:val="tx1"/>
                  </w14:solidFill>
                </w14:textFill>
              </w:rPr>
              <w:t>。</w:t>
            </w:r>
          </w:p>
        </w:tc>
        <w:tc>
          <w:tcPr>
            <w:tcW w:w="0" w:type="auto"/>
            <w:shd w:val="clear" w:color="auto" w:fill="auto"/>
            <w:vAlign w:val="center"/>
          </w:tcPr>
          <w:p w14:paraId="203960E8">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个</w:t>
            </w:r>
          </w:p>
        </w:tc>
        <w:tc>
          <w:tcPr>
            <w:tcW w:w="0" w:type="auto"/>
            <w:shd w:val="clear" w:color="auto" w:fill="auto"/>
            <w:vAlign w:val="center"/>
          </w:tcPr>
          <w:p w14:paraId="5607830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p>
        </w:tc>
      </w:tr>
      <w:tr w14:paraId="2A461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shd w:val="clear" w:color="auto" w:fill="auto"/>
            <w:vAlign w:val="center"/>
          </w:tcPr>
          <w:p w14:paraId="7B9F3C13">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17</w:t>
            </w:r>
          </w:p>
        </w:tc>
        <w:tc>
          <w:tcPr>
            <w:tcW w:w="1244" w:type="dxa"/>
            <w:shd w:val="clear" w:color="auto" w:fill="auto"/>
            <w:vAlign w:val="center"/>
          </w:tcPr>
          <w:p w14:paraId="575C1003">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防火鞋</w:t>
            </w:r>
          </w:p>
        </w:tc>
        <w:tc>
          <w:tcPr>
            <w:tcW w:w="6178" w:type="dxa"/>
            <w:shd w:val="clear" w:color="auto" w:fill="auto"/>
            <w:vAlign w:val="top"/>
          </w:tcPr>
          <w:p w14:paraId="47796A5A">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基础结构:高帮约 20-22cm防崴脚、防碎石灌入，鞋面为帆布/超纤耐磨透气材质，搭配侧拉链+ 系带双闭合设计，鞋身带黄色反光标识;无钢板/钢头。</w:t>
            </w:r>
          </w:p>
          <w:p w14:paraId="142C6FBC">
            <w:pPr>
              <w:bidi w:val="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重量与鞋底:38 码单只约0.75kg，双只 1.5kg 左右，比19 式实战款轻 30%;采用爆米花EVA 发泡中底+ 防滑橡胶外底，缓震回弹效果好。</w:t>
            </w:r>
          </w:p>
        </w:tc>
        <w:tc>
          <w:tcPr>
            <w:tcW w:w="0" w:type="auto"/>
            <w:shd w:val="clear" w:color="auto" w:fill="auto"/>
            <w:vAlign w:val="center"/>
          </w:tcPr>
          <w:p w14:paraId="3625496D">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双</w:t>
            </w:r>
          </w:p>
        </w:tc>
        <w:tc>
          <w:tcPr>
            <w:tcW w:w="0" w:type="auto"/>
            <w:shd w:val="clear" w:color="auto" w:fill="auto"/>
            <w:vAlign w:val="center"/>
          </w:tcPr>
          <w:p w14:paraId="64573869">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p>
        </w:tc>
      </w:tr>
    </w:tbl>
    <w:p w14:paraId="1FA9A7C1">
      <w:pPr>
        <w:rPr>
          <w:rFonts w:hint="eastAsia"/>
          <w:color w:val="000000" w:themeColor="text1"/>
          <w:highlight w:val="none"/>
          <w14:textFill>
            <w14:solidFill>
              <w14:schemeClr w14:val="tx1"/>
            </w14:solidFill>
          </w14:textFill>
        </w:rPr>
      </w:pPr>
    </w:p>
    <w:p w14:paraId="3048857F">
      <w:pPr>
        <w:pStyle w:val="3"/>
        <w:numPr>
          <w:ilvl w:val="0"/>
          <w:numId w:val="0"/>
        </w:numPr>
        <w:spacing w:before="240" w:line="240" w:lineRule="auto"/>
        <w:rPr>
          <w:rFonts w:hint="eastAsia" w:ascii="宋体" w:hAnsi="宋体" w:eastAsia="宋体"/>
          <w:b/>
          <w:color w:val="000000" w:themeColor="text1"/>
          <w:sz w:val="21"/>
          <w:szCs w:val="21"/>
          <w:highlight w:val="none"/>
          <w14:textFill>
            <w14:solidFill>
              <w14:schemeClr w14:val="tx1"/>
            </w14:solidFill>
          </w14:textFill>
        </w:rPr>
      </w:pPr>
      <w:bookmarkStart w:id="127" w:name="_Toc19166"/>
    </w:p>
    <w:p w14:paraId="4EBAB6DC">
      <w:pPr>
        <w:pStyle w:val="3"/>
        <w:numPr>
          <w:ilvl w:val="0"/>
          <w:numId w:val="0"/>
        </w:numPr>
        <w:spacing w:before="240" w:line="240" w:lineRule="auto"/>
        <w:rPr>
          <w:rFonts w:hint="eastAsia" w:ascii="宋体" w:hAnsi="宋体" w:eastAsia="宋体"/>
          <w:b/>
          <w:color w:val="000000" w:themeColor="text1"/>
          <w:sz w:val="21"/>
          <w:szCs w:val="21"/>
          <w:highlight w:val="none"/>
          <w14:textFill>
            <w14:solidFill>
              <w14:schemeClr w14:val="tx1"/>
            </w14:solidFill>
          </w14:textFill>
        </w:rPr>
      </w:pPr>
    </w:p>
    <w:p w14:paraId="35F8D888">
      <w:pPr>
        <w:pStyle w:val="3"/>
        <w:numPr>
          <w:ilvl w:val="0"/>
          <w:numId w:val="0"/>
        </w:numPr>
        <w:spacing w:before="240" w:line="240" w:lineRule="auto"/>
        <w:rPr>
          <w:rFonts w:hint="eastAsia" w:ascii="宋体" w:hAnsi="宋体" w:eastAsia="宋体"/>
          <w:b/>
          <w:color w:val="000000" w:themeColor="text1"/>
          <w:sz w:val="21"/>
          <w:szCs w:val="21"/>
          <w:highlight w:val="none"/>
          <w14:textFill>
            <w14:solidFill>
              <w14:schemeClr w14:val="tx1"/>
            </w14:solidFill>
          </w14:textFill>
        </w:rPr>
      </w:pPr>
    </w:p>
    <w:p w14:paraId="5D83F458">
      <w:pPr>
        <w:rPr>
          <w:rFonts w:hint="eastAsia" w:ascii="宋体" w:hAnsi="宋体" w:eastAsia="宋体"/>
          <w:b/>
          <w:color w:val="000000" w:themeColor="text1"/>
          <w:sz w:val="21"/>
          <w:szCs w:val="21"/>
          <w:highlight w:val="none"/>
          <w14:textFill>
            <w14:solidFill>
              <w14:schemeClr w14:val="tx1"/>
            </w14:solidFill>
          </w14:textFill>
        </w:rPr>
      </w:pPr>
    </w:p>
    <w:p w14:paraId="5B0A23C6">
      <w:pPr>
        <w:pStyle w:val="2"/>
        <w:rPr>
          <w:rFonts w:hint="eastAsia" w:ascii="宋体" w:hAnsi="宋体" w:eastAsia="宋体"/>
          <w:b/>
          <w:color w:val="000000" w:themeColor="text1"/>
          <w:sz w:val="21"/>
          <w:szCs w:val="21"/>
          <w:highlight w:val="none"/>
          <w14:textFill>
            <w14:solidFill>
              <w14:schemeClr w14:val="tx1"/>
            </w14:solidFill>
          </w14:textFill>
        </w:rPr>
      </w:pPr>
    </w:p>
    <w:p w14:paraId="5952222E">
      <w:pPr>
        <w:pStyle w:val="2"/>
        <w:rPr>
          <w:rFonts w:hint="eastAsia" w:ascii="宋体" w:hAnsi="宋体" w:eastAsia="宋体"/>
          <w:b/>
          <w:color w:val="000000" w:themeColor="text1"/>
          <w:sz w:val="21"/>
          <w:szCs w:val="21"/>
          <w:highlight w:val="none"/>
          <w14:textFill>
            <w14:solidFill>
              <w14:schemeClr w14:val="tx1"/>
            </w14:solidFill>
          </w14:textFill>
        </w:rPr>
      </w:pPr>
    </w:p>
    <w:p w14:paraId="4797D790">
      <w:pPr>
        <w:pStyle w:val="2"/>
        <w:rPr>
          <w:rFonts w:hint="eastAsia" w:ascii="宋体" w:hAnsi="宋体" w:eastAsia="宋体"/>
          <w:b/>
          <w:color w:val="000000" w:themeColor="text1"/>
          <w:sz w:val="21"/>
          <w:szCs w:val="21"/>
          <w:highlight w:val="none"/>
          <w14:textFill>
            <w14:solidFill>
              <w14:schemeClr w14:val="tx1"/>
            </w14:solidFill>
          </w14:textFill>
        </w:rPr>
      </w:pPr>
    </w:p>
    <w:p w14:paraId="59473154">
      <w:pPr>
        <w:pStyle w:val="2"/>
        <w:rPr>
          <w:rFonts w:hint="eastAsia" w:ascii="宋体" w:hAnsi="宋体" w:eastAsia="宋体"/>
          <w:b/>
          <w:color w:val="000000" w:themeColor="text1"/>
          <w:sz w:val="21"/>
          <w:szCs w:val="21"/>
          <w:highlight w:val="none"/>
          <w14:textFill>
            <w14:solidFill>
              <w14:schemeClr w14:val="tx1"/>
            </w14:solidFill>
          </w14:textFill>
        </w:rPr>
      </w:pPr>
    </w:p>
    <w:p w14:paraId="55482259">
      <w:pPr>
        <w:pStyle w:val="2"/>
        <w:rPr>
          <w:rFonts w:hint="eastAsia" w:ascii="宋体" w:hAnsi="宋体" w:eastAsia="宋体"/>
          <w:b/>
          <w:color w:val="000000" w:themeColor="text1"/>
          <w:sz w:val="21"/>
          <w:szCs w:val="21"/>
          <w:highlight w:val="none"/>
          <w14:textFill>
            <w14:solidFill>
              <w14:schemeClr w14:val="tx1"/>
            </w14:solidFill>
          </w14:textFill>
        </w:rPr>
      </w:pPr>
    </w:p>
    <w:p w14:paraId="77308CA1">
      <w:pPr>
        <w:pStyle w:val="2"/>
        <w:rPr>
          <w:rFonts w:hint="eastAsia" w:ascii="宋体" w:hAnsi="宋体" w:eastAsia="宋体"/>
          <w:b/>
          <w:color w:val="000000" w:themeColor="text1"/>
          <w:sz w:val="21"/>
          <w:szCs w:val="21"/>
          <w:highlight w:val="none"/>
          <w14:textFill>
            <w14:solidFill>
              <w14:schemeClr w14:val="tx1"/>
            </w14:solidFill>
          </w14:textFill>
        </w:rPr>
      </w:pPr>
    </w:p>
    <w:p w14:paraId="2E173074">
      <w:pPr>
        <w:pStyle w:val="2"/>
        <w:rPr>
          <w:rFonts w:hint="eastAsia" w:ascii="宋体" w:hAnsi="宋体" w:eastAsia="宋体"/>
          <w:b/>
          <w:color w:val="000000" w:themeColor="text1"/>
          <w:sz w:val="21"/>
          <w:szCs w:val="21"/>
          <w:highlight w:val="none"/>
          <w14:textFill>
            <w14:solidFill>
              <w14:schemeClr w14:val="tx1"/>
            </w14:solidFill>
          </w14:textFill>
        </w:rPr>
      </w:pPr>
    </w:p>
    <w:p w14:paraId="49558237">
      <w:pPr>
        <w:pStyle w:val="2"/>
        <w:rPr>
          <w:rFonts w:hint="eastAsia" w:ascii="宋体" w:hAnsi="宋体" w:eastAsia="宋体"/>
          <w:b/>
          <w:color w:val="000000" w:themeColor="text1"/>
          <w:sz w:val="21"/>
          <w:szCs w:val="21"/>
          <w:highlight w:val="none"/>
          <w14:textFill>
            <w14:solidFill>
              <w14:schemeClr w14:val="tx1"/>
            </w14:solidFill>
          </w14:textFill>
        </w:rPr>
      </w:pPr>
    </w:p>
    <w:p w14:paraId="10E0CE0A">
      <w:pPr>
        <w:pStyle w:val="2"/>
        <w:rPr>
          <w:rFonts w:hint="eastAsia" w:ascii="宋体" w:hAnsi="宋体" w:eastAsia="宋体"/>
          <w:b/>
          <w:color w:val="000000" w:themeColor="text1"/>
          <w:sz w:val="21"/>
          <w:szCs w:val="21"/>
          <w:highlight w:val="none"/>
          <w14:textFill>
            <w14:solidFill>
              <w14:schemeClr w14:val="tx1"/>
            </w14:solidFill>
          </w14:textFill>
        </w:rPr>
      </w:pPr>
    </w:p>
    <w:p w14:paraId="16BEB370">
      <w:pPr>
        <w:pStyle w:val="2"/>
        <w:rPr>
          <w:rFonts w:hint="eastAsia" w:ascii="宋体" w:hAnsi="宋体" w:eastAsia="宋体"/>
          <w:b/>
          <w:color w:val="000000" w:themeColor="text1"/>
          <w:sz w:val="21"/>
          <w:szCs w:val="21"/>
          <w:highlight w:val="none"/>
          <w14:textFill>
            <w14:solidFill>
              <w14:schemeClr w14:val="tx1"/>
            </w14:solidFill>
          </w14:textFill>
        </w:rPr>
      </w:pPr>
    </w:p>
    <w:p w14:paraId="14A99155">
      <w:pPr>
        <w:pStyle w:val="2"/>
        <w:rPr>
          <w:rFonts w:hint="eastAsia" w:ascii="宋体" w:hAnsi="宋体" w:eastAsia="宋体"/>
          <w:b/>
          <w:color w:val="000000" w:themeColor="text1"/>
          <w:sz w:val="21"/>
          <w:szCs w:val="21"/>
          <w:highlight w:val="none"/>
          <w14:textFill>
            <w14:solidFill>
              <w14:schemeClr w14:val="tx1"/>
            </w14:solidFill>
          </w14:textFill>
        </w:rPr>
      </w:pPr>
    </w:p>
    <w:p w14:paraId="340759BF">
      <w:pPr>
        <w:pStyle w:val="3"/>
        <w:numPr>
          <w:ilvl w:val="0"/>
          <w:numId w:val="0"/>
        </w:numPr>
        <w:spacing w:before="240" w:line="240" w:lineRule="auto"/>
        <w:rPr>
          <w:rFonts w:hint="eastAsia" w:ascii="宋体" w:hAnsi="宋体" w:eastAsia="宋体"/>
          <w:b/>
          <w:color w:val="000000" w:themeColor="text1"/>
          <w:sz w:val="21"/>
          <w:szCs w:val="21"/>
          <w:highlight w:val="none"/>
          <w14:textFill>
            <w14:solidFill>
              <w14:schemeClr w14:val="tx1"/>
            </w14:solidFill>
          </w14:textFill>
        </w:rPr>
      </w:pPr>
    </w:p>
    <w:p w14:paraId="7BF14B87">
      <w:pPr>
        <w:pStyle w:val="3"/>
        <w:numPr>
          <w:ilvl w:val="0"/>
          <w:numId w:val="0"/>
        </w:numPr>
        <w:spacing w:before="240" w:line="240" w:lineRule="auto"/>
        <w:rPr>
          <w:rFonts w:hint="eastAsia" w:ascii="宋体" w:hAnsi="宋体" w:eastAsia="宋体"/>
          <w:b/>
          <w:color w:val="000000" w:themeColor="text1"/>
          <w:sz w:val="21"/>
          <w:szCs w:val="21"/>
          <w:highlight w:val="none"/>
          <w14:textFill>
            <w14:solidFill>
              <w14:schemeClr w14:val="tx1"/>
            </w14:solidFill>
          </w14:textFill>
        </w:rPr>
      </w:pPr>
    </w:p>
    <w:p w14:paraId="16FAEF09">
      <w:pPr>
        <w:pStyle w:val="3"/>
        <w:numPr>
          <w:ilvl w:val="0"/>
          <w:numId w:val="0"/>
        </w:numPr>
        <w:spacing w:before="240" w:line="240" w:lineRule="auto"/>
        <w:rPr>
          <w:rFonts w:hint="eastAsia" w:ascii="宋体" w:hAnsi="宋体" w:eastAsia="宋体"/>
          <w:b/>
          <w:color w:val="000000" w:themeColor="text1"/>
          <w:sz w:val="21"/>
          <w:szCs w:val="21"/>
          <w:highlight w:val="none"/>
          <w14:textFill>
            <w14:solidFill>
              <w14:schemeClr w14:val="tx1"/>
            </w14:solidFill>
          </w14:textFill>
        </w:rPr>
      </w:pPr>
    </w:p>
    <w:p w14:paraId="24753A3B">
      <w:pPr>
        <w:rPr>
          <w:rFonts w:hint="eastAsia" w:ascii="宋体" w:hAnsi="宋体" w:eastAsia="宋体"/>
          <w:b/>
          <w:color w:val="000000" w:themeColor="text1"/>
          <w:sz w:val="21"/>
          <w:szCs w:val="21"/>
          <w:highlight w:val="none"/>
          <w14:textFill>
            <w14:solidFill>
              <w14:schemeClr w14:val="tx1"/>
            </w14:solidFill>
          </w14:textFill>
        </w:rPr>
      </w:pPr>
    </w:p>
    <w:p w14:paraId="58290BDF">
      <w:pPr>
        <w:pStyle w:val="3"/>
        <w:numPr>
          <w:ilvl w:val="0"/>
          <w:numId w:val="0"/>
        </w:numPr>
        <w:spacing w:before="240" w:line="240" w:lineRule="auto"/>
        <w:jc w:val="both"/>
        <w:rPr>
          <w:rFonts w:hint="eastAsia" w:ascii="宋体" w:hAnsi="宋体" w:eastAsia="宋体"/>
          <w:b/>
          <w:color w:val="000000" w:themeColor="text1"/>
          <w:sz w:val="21"/>
          <w:szCs w:val="21"/>
          <w:highlight w:val="none"/>
          <w14:textFill>
            <w14:solidFill>
              <w14:schemeClr w14:val="tx1"/>
            </w14:solidFill>
          </w14:textFill>
        </w:rPr>
      </w:pPr>
    </w:p>
    <w:p w14:paraId="6837031B">
      <w:pPr>
        <w:pStyle w:val="3"/>
        <w:numPr>
          <w:ilvl w:val="0"/>
          <w:numId w:val="0"/>
        </w:numPr>
        <w:spacing w:before="240" w:line="240" w:lineRule="auto"/>
        <w:jc w:val="both"/>
        <w:rPr>
          <w:rFonts w:hint="eastAsia" w:ascii="宋体" w:hAnsi="宋体" w:eastAsia="宋体"/>
          <w:b/>
          <w:color w:val="000000" w:themeColor="text1"/>
          <w:sz w:val="21"/>
          <w:szCs w:val="21"/>
          <w:highlight w:val="none"/>
          <w14:textFill>
            <w14:solidFill>
              <w14:schemeClr w14:val="tx1"/>
            </w14:solidFill>
          </w14:textFill>
        </w:rPr>
      </w:pPr>
    </w:p>
    <w:p w14:paraId="51FA3918">
      <w:pPr>
        <w:pStyle w:val="3"/>
        <w:numPr>
          <w:ilvl w:val="0"/>
          <w:numId w:val="0"/>
        </w:numPr>
        <w:spacing w:before="240" w:line="240" w:lineRule="auto"/>
        <w:jc w:val="both"/>
        <w:rPr>
          <w:rFonts w:hint="eastAsia" w:ascii="宋体" w:hAnsi="宋体" w:eastAsia="宋体"/>
          <w:b/>
          <w:color w:val="000000" w:themeColor="text1"/>
          <w:sz w:val="21"/>
          <w:szCs w:val="21"/>
          <w:highlight w:val="none"/>
          <w14:textFill>
            <w14:solidFill>
              <w14:schemeClr w14:val="tx1"/>
            </w14:solidFill>
          </w14:textFill>
        </w:rPr>
      </w:pPr>
    </w:p>
    <w:p w14:paraId="1CF95C18">
      <w:pPr>
        <w:rPr>
          <w:rFonts w:hint="eastAsia"/>
          <w:color w:val="000000" w:themeColor="text1"/>
          <w:highlight w:val="none"/>
          <w14:textFill>
            <w14:solidFill>
              <w14:schemeClr w14:val="tx1"/>
            </w14:solidFill>
          </w14:textFill>
        </w:rPr>
      </w:pPr>
    </w:p>
    <w:p w14:paraId="1CE8C637">
      <w:pPr>
        <w:pStyle w:val="3"/>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27"/>
    </w:p>
    <w:p w14:paraId="57FF6A6D">
      <w:pPr>
        <w:pStyle w:val="4"/>
        <w:numPr>
          <w:ilvl w:val="1"/>
          <w:numId w:val="0"/>
        </w:numPr>
        <w:rPr>
          <w:rFonts w:ascii="宋体" w:hAnsi="宋体"/>
          <w:color w:val="000000" w:themeColor="text1"/>
          <w:sz w:val="21"/>
          <w:szCs w:val="21"/>
          <w:highlight w:val="none"/>
          <w14:textFill>
            <w14:solidFill>
              <w14:schemeClr w14:val="tx1"/>
            </w14:solidFill>
          </w14:textFill>
        </w:rPr>
      </w:pPr>
      <w:bookmarkStart w:id="128" w:name="_Toc456272919"/>
      <w:bookmarkStart w:id="129" w:name="_Toc29202"/>
      <w:bookmarkStart w:id="130" w:name="_Toc456648358"/>
      <w:bookmarkStart w:id="131" w:name="_Toc434832495"/>
      <w:r>
        <w:rPr>
          <w:rFonts w:hint="eastAsia" w:ascii="宋体" w:hAnsi="宋体"/>
          <w:color w:val="000000" w:themeColor="text1"/>
          <w:sz w:val="21"/>
          <w:szCs w:val="21"/>
          <w:highlight w:val="none"/>
          <w14:textFill>
            <w14:solidFill>
              <w14:schemeClr w14:val="tx1"/>
            </w14:solidFill>
          </w14:textFill>
        </w:rPr>
        <w:t>供应商须知前附表</w:t>
      </w:r>
      <w:bookmarkEnd w:id="128"/>
      <w:bookmarkEnd w:id="129"/>
      <w:bookmarkEnd w:id="130"/>
      <w:bookmarkEnd w:id="131"/>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6"/>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6"/>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6"/>
        <w:rPr>
          <w:color w:val="000000" w:themeColor="text1"/>
          <w:highlight w:val="none"/>
          <w14:textFill>
            <w14:solidFill>
              <w14:schemeClr w14:val="tx1"/>
            </w14:solidFill>
          </w14:textFill>
        </w:rPr>
      </w:pPr>
    </w:p>
    <w:p w14:paraId="68724BDF">
      <w:pPr>
        <w:pStyle w:val="6"/>
        <w:rPr>
          <w:color w:val="000000" w:themeColor="text1"/>
          <w:highlight w:val="none"/>
          <w14:textFill>
            <w14:solidFill>
              <w14:schemeClr w14:val="tx1"/>
            </w14:solidFill>
          </w14:textFill>
        </w:rPr>
      </w:pPr>
    </w:p>
    <w:p w14:paraId="1510D801">
      <w:pPr>
        <w:pStyle w:val="6"/>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32" w:name="_Hlt21938665"/>
      <w:bookmarkEnd w:id="132"/>
      <w:bookmarkStart w:id="133" w:name="_Hlt21938668"/>
      <w:bookmarkEnd w:id="133"/>
      <w:bookmarkStart w:id="134"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5" w:name="_Toc11496"/>
      <w:r>
        <w:rPr>
          <w:rFonts w:hint="eastAsia" w:hAnsi="宋体"/>
          <w:color w:val="000000" w:themeColor="text1"/>
          <w:highlight w:val="none"/>
          <w14:textFill>
            <w14:solidFill>
              <w14:schemeClr w14:val="tx1"/>
            </w14:solidFill>
          </w14:textFill>
        </w:rPr>
        <w:t>一、说  明</w:t>
      </w:r>
      <w:bookmarkEnd w:id="134"/>
      <w:bookmarkEnd w:id="135"/>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464632121"/>
      <w:bookmarkStart w:id="137" w:name="_Toc25791"/>
      <w:r>
        <w:rPr>
          <w:rFonts w:hint="eastAsia" w:hAnsi="宋体"/>
          <w:color w:val="000000" w:themeColor="text1"/>
          <w:highlight w:val="none"/>
          <w14:textFill>
            <w14:solidFill>
              <w14:schemeClr w14:val="tx1"/>
            </w14:solidFill>
          </w14:textFill>
        </w:rPr>
        <w:t>二、磋商文件</w:t>
      </w:r>
      <w:bookmarkEnd w:id="136"/>
      <w:bookmarkEnd w:id="137"/>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8" w:name="_Toc464632122"/>
      <w:bookmarkStart w:id="139" w:name="_Toc22308"/>
      <w:r>
        <w:rPr>
          <w:rFonts w:hint="eastAsia" w:hAnsi="宋体"/>
          <w:color w:val="000000" w:themeColor="text1"/>
          <w:highlight w:val="none"/>
          <w14:textFill>
            <w14:solidFill>
              <w14:schemeClr w14:val="tx1"/>
            </w14:solidFill>
          </w14:textFill>
        </w:rPr>
        <w:t>三、响应文件的编制</w:t>
      </w:r>
      <w:bookmarkEnd w:id="138"/>
      <w:bookmarkEnd w:id="139"/>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0" w:name="_Toc464632123"/>
      <w:bookmarkStart w:id="141" w:name="_Toc31085"/>
      <w:r>
        <w:rPr>
          <w:rFonts w:hint="eastAsia" w:hAnsi="宋体"/>
          <w:color w:val="000000" w:themeColor="text1"/>
          <w:highlight w:val="none"/>
          <w14:textFill>
            <w14:solidFill>
              <w14:schemeClr w14:val="tx1"/>
            </w14:solidFill>
          </w14:textFill>
        </w:rPr>
        <w:t>四、磋商报价要求和供应商资格证明文件的要求</w:t>
      </w:r>
      <w:bookmarkEnd w:id="140"/>
      <w:bookmarkEnd w:id="141"/>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2" w:name="_Toc464632124"/>
      <w:bookmarkStart w:id="143" w:name="_Toc4250"/>
      <w:r>
        <w:rPr>
          <w:rFonts w:hint="eastAsia" w:hAnsi="宋体"/>
          <w:color w:val="000000" w:themeColor="text1"/>
          <w:highlight w:val="none"/>
          <w14:textFill>
            <w14:solidFill>
              <w14:schemeClr w14:val="tx1"/>
            </w14:solidFill>
          </w14:textFill>
        </w:rPr>
        <w:t>五、保证金</w:t>
      </w:r>
      <w:bookmarkEnd w:id="142"/>
      <w:bookmarkEnd w:id="143"/>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4" w:name="_Toc20906"/>
      <w:bookmarkStart w:id="145" w:name="_Toc464632125"/>
      <w:r>
        <w:rPr>
          <w:rFonts w:hint="eastAsia" w:hAnsi="宋体"/>
          <w:color w:val="000000" w:themeColor="text1"/>
          <w:highlight w:val="none"/>
          <w14:textFill>
            <w14:solidFill>
              <w14:schemeClr w14:val="tx1"/>
            </w14:solidFill>
          </w14:textFill>
        </w:rPr>
        <w:t>六、响应文件的份数、封装和递交</w:t>
      </w:r>
      <w:bookmarkEnd w:id="144"/>
      <w:bookmarkEnd w:id="145"/>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6" w:name="_Toc464632126"/>
      <w:bookmarkStart w:id="147" w:name="_Toc14501"/>
      <w:r>
        <w:rPr>
          <w:rFonts w:hint="eastAsia" w:hAnsi="宋体"/>
          <w:color w:val="000000" w:themeColor="text1"/>
          <w:highlight w:val="none"/>
          <w14:textFill>
            <w14:solidFill>
              <w14:schemeClr w14:val="tx1"/>
            </w14:solidFill>
          </w14:textFill>
        </w:rPr>
        <w:t>七、磋商的步骤</w:t>
      </w:r>
      <w:bookmarkEnd w:id="146"/>
      <w:bookmarkEnd w:id="147"/>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8" w:name="_Toc2912"/>
      <w:bookmarkStart w:id="149" w:name="_Toc464632127"/>
      <w:r>
        <w:rPr>
          <w:rFonts w:hint="eastAsia" w:hAnsi="宋体"/>
          <w:color w:val="000000" w:themeColor="text1"/>
          <w:highlight w:val="none"/>
          <w14:textFill>
            <w14:solidFill>
              <w14:schemeClr w14:val="tx1"/>
            </w14:solidFill>
          </w14:textFill>
        </w:rPr>
        <w:t>八、确定成交供应商办法</w:t>
      </w:r>
      <w:bookmarkEnd w:id="148"/>
      <w:bookmarkEnd w:id="149"/>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50" w:name="_Toc10651"/>
      <w:bookmarkStart w:id="151" w:name="_Toc464632128"/>
      <w:r>
        <w:rPr>
          <w:rFonts w:hint="eastAsia" w:ascii="宋体" w:hAnsi="宋体"/>
          <w:color w:val="000000" w:themeColor="text1"/>
          <w:szCs w:val="21"/>
          <w:highlight w:val="none"/>
          <w14:textFill>
            <w14:solidFill>
              <w14:schemeClr w14:val="tx1"/>
            </w14:solidFill>
          </w14:textFill>
        </w:rPr>
        <w:t>九、质疑</w:t>
      </w:r>
      <w:bookmarkEnd w:id="150"/>
      <w:bookmarkEnd w:id="151"/>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52" w:name="_Toc345675374"/>
      <w:bookmarkStart w:id="153" w:name="_Toc464632129"/>
      <w:bookmarkStart w:id="154" w:name="_Toc17243"/>
      <w:bookmarkStart w:id="155" w:name="_Toc322033397"/>
      <w:r>
        <w:rPr>
          <w:rFonts w:hint="eastAsia" w:ascii="宋体" w:hAnsi="宋体"/>
          <w:color w:val="000000" w:themeColor="text1"/>
          <w:szCs w:val="21"/>
          <w:highlight w:val="none"/>
          <w14:textFill>
            <w14:solidFill>
              <w14:schemeClr w14:val="tx1"/>
            </w14:solidFill>
          </w14:textFill>
        </w:rPr>
        <w:t>十、成交服务费</w:t>
      </w:r>
      <w:bookmarkEnd w:id="152"/>
      <w:bookmarkEnd w:id="153"/>
      <w:bookmarkEnd w:id="154"/>
      <w:bookmarkEnd w:id="155"/>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56" w:name="_Toc464632131"/>
      <w:bookmarkStart w:id="157" w:name="_Toc12726"/>
      <w:bookmarkStart w:id="158" w:name="_Toc536594109"/>
      <w:r>
        <w:rPr>
          <w:rFonts w:hint="eastAsia" w:ascii="宋体" w:hAnsi="宋体"/>
          <w:color w:val="000000" w:themeColor="text1"/>
          <w:szCs w:val="21"/>
          <w:highlight w:val="none"/>
          <w14:textFill>
            <w14:solidFill>
              <w14:schemeClr w14:val="tx1"/>
            </w14:solidFill>
          </w14:textFill>
        </w:rPr>
        <w:t>十一、合同的订立和履行</w:t>
      </w:r>
      <w:bookmarkEnd w:id="156"/>
      <w:bookmarkEnd w:id="157"/>
    </w:p>
    <w:bookmarkEnd w:id="158"/>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59" w:name="_Toc10499"/>
      <w:bookmarkStart w:id="160" w:name="_Toc345675376"/>
      <w:bookmarkStart w:id="161" w:name="_Toc464632132"/>
      <w:bookmarkStart w:id="162" w:name="_Toc322033399"/>
      <w:r>
        <w:rPr>
          <w:rFonts w:hint="eastAsia" w:ascii="宋体" w:hAnsi="宋体"/>
          <w:color w:val="000000" w:themeColor="text1"/>
          <w:szCs w:val="21"/>
          <w:highlight w:val="none"/>
          <w14:textFill>
            <w14:solidFill>
              <w14:schemeClr w14:val="tx1"/>
            </w14:solidFill>
          </w14:textFill>
        </w:rPr>
        <w:t>十二、适用法律</w:t>
      </w:r>
      <w:bookmarkEnd w:id="159"/>
      <w:bookmarkEnd w:id="160"/>
      <w:bookmarkEnd w:id="161"/>
      <w:bookmarkEnd w:id="162"/>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3"/>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63" w:name="_Toc23668"/>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63"/>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1174B1EF">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42415F8">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4C302E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8D3E069">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C90B17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6B0D00A8">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96A6BF8">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883F66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50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95D89F4">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70BD3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30分</w:t>
            </w:r>
          </w:p>
        </w:tc>
      </w:tr>
    </w:tbl>
    <w:p w14:paraId="466D01E1">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2"/>
        <w:tblW w:w="9564" w:type="dxa"/>
        <w:jc w:val="center"/>
        <w:shd w:val="clear" w:color="auto" w:fill="FFFFFF"/>
        <w:tblLayout w:type="fixed"/>
        <w:tblCellMar>
          <w:top w:w="0" w:type="dxa"/>
          <w:left w:w="0" w:type="dxa"/>
          <w:bottom w:w="0" w:type="dxa"/>
          <w:right w:w="0" w:type="dxa"/>
        </w:tblCellMar>
      </w:tblPr>
      <w:tblGrid>
        <w:gridCol w:w="664"/>
        <w:gridCol w:w="1535"/>
        <w:gridCol w:w="1032"/>
        <w:gridCol w:w="6333"/>
      </w:tblGrid>
      <w:tr w14:paraId="6D55A894">
        <w:tblPrEx>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435BF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ACB47E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F47DB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75B4AC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1B3904C8">
        <w:tblPrEx>
          <w:shd w:val="clear" w:color="auto" w:fill="FFFFFF"/>
          <w:tblCellMar>
            <w:top w:w="0" w:type="dxa"/>
            <w:left w:w="0" w:type="dxa"/>
            <w:bottom w:w="0" w:type="dxa"/>
            <w:right w:w="0" w:type="dxa"/>
          </w:tblCellMar>
        </w:tblPrEx>
        <w:trPr>
          <w:cantSplit/>
          <w:trHeight w:val="978"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8E8BBB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6F5AC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参数响应程度</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B8EFD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D76D6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对加注“▲”号的</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条款进行评分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，完全满足要求得</w:t>
            </w:r>
            <w:r>
              <w:rPr>
                <w:rFonts w:hint="eastAsia" w:ascii="宋体" w:hAnsi="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lang w:val="en-US" w:eastAsia="zh-CN"/>
                <w14:textFill>
                  <w14:solidFill>
                    <w14:schemeClr w14:val="tx1"/>
                  </w14:solidFill>
                </w14:textFill>
              </w:rPr>
              <w:t>分，每负偏离一项扣</w:t>
            </w: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分。</w:t>
            </w:r>
          </w:p>
          <w:p w14:paraId="54F24F2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eastAsia="zh-CN"/>
                <w14:textFill>
                  <w14:solidFill>
                    <w14:schemeClr w14:val="tx1"/>
                  </w14:solidFill>
                </w14:textFill>
              </w:rPr>
              <w:t>需按照要求提供相关证明文件，不提供</w:t>
            </w:r>
            <w:r>
              <w:rPr>
                <w:rFonts w:hint="eastAsia" w:ascii="宋体" w:hAnsi="宋体" w:cs="宋体"/>
                <w:color w:val="000000" w:themeColor="text1"/>
                <w:sz w:val="21"/>
                <w:szCs w:val="21"/>
                <w:highlight w:val="none"/>
                <w:lang w:val="en-US" w:eastAsia="zh-CN"/>
                <w14:textFill>
                  <w14:solidFill>
                    <w14:schemeClr w14:val="tx1"/>
                  </w14:solidFill>
                </w14:textFill>
              </w:rPr>
              <w:t>或不符合要求</w:t>
            </w:r>
            <w:r>
              <w:rPr>
                <w:rFonts w:hint="eastAsia" w:ascii="宋体" w:hAnsi="宋体" w:eastAsia="宋体" w:cs="宋体"/>
                <w:color w:val="000000" w:themeColor="text1"/>
                <w:sz w:val="21"/>
                <w:szCs w:val="21"/>
                <w:highlight w:val="none"/>
                <w:lang w:eastAsia="zh-CN"/>
                <w14:textFill>
                  <w14:solidFill>
                    <w14:schemeClr w14:val="tx1"/>
                  </w14:solidFill>
                </w14:textFill>
              </w:rPr>
              <w:t>则视为负偏离</w:t>
            </w:r>
            <w:r>
              <w:rPr>
                <w:rFonts w:hint="eastAsia" w:ascii="宋体" w:hAnsi="宋体" w:cs="宋体"/>
                <w:color w:val="000000" w:themeColor="text1"/>
                <w:sz w:val="21"/>
                <w:szCs w:val="21"/>
                <w:highlight w:val="none"/>
                <w:lang w:val="en-US" w:eastAsia="zh-CN"/>
                <w14:textFill>
                  <w14:solidFill>
                    <w14:schemeClr w14:val="tx1"/>
                  </w14:solidFill>
                </w14:textFill>
              </w:rPr>
              <w:t>不得分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tc>
      </w:tr>
      <w:tr w14:paraId="1462A9B8">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5C0A1C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520C4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color w:val="000000" w:themeColor="text1"/>
                <w:highlight w:val="none"/>
                <w14:textFill>
                  <w14:solidFill>
                    <w14:schemeClr w14:val="tx1"/>
                  </w14:solidFill>
                </w14:textFill>
              </w:rPr>
              <w:t>质量保证措施</w:t>
            </w:r>
            <w:r>
              <w:rPr>
                <w:rFonts w:ascii="Calibri" w:hAnsi="Calibri" w:cs="宋体"/>
                <w:color w:val="000000" w:themeColor="text1"/>
                <w:sz w:val="21"/>
                <w:szCs w:val="21"/>
                <w:highlight w:val="none"/>
                <w14:textFill>
                  <w14:solidFill>
                    <w14:schemeClr w14:val="tx1"/>
                  </w14:solidFill>
                </w14:textFill>
              </w:rPr>
              <w:t xml:space="preserve"> </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83828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669C9D3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 xml:space="preserve">提供的质量保证措施进行评分： </w:t>
            </w:r>
          </w:p>
          <w:p w14:paraId="0E5B22F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质量保证措施内容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4A7548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质量保证措施较为完整、合理可行，整体内容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D8F839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质量保证措施</w:t>
            </w:r>
            <w:r>
              <w:rPr>
                <w:rFonts w:hint="eastAsia" w:ascii="宋体" w:hAnsi="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9DFD1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质量保证措施有缺漏或缺乏合理性，对项目质量的保障较差，</w:t>
            </w:r>
            <w:r>
              <w:rPr>
                <w:rFonts w:hint="eastAsia" w:ascii="宋体" w:hAnsi="宋体" w:cs="宋体"/>
                <w:color w:val="000000" w:themeColor="text1"/>
                <w:szCs w:val="21"/>
                <w:highlight w:val="none"/>
                <w14:textFill>
                  <w14:solidFill>
                    <w14:schemeClr w14:val="tx1"/>
                  </w14:solidFill>
                </w14:textFill>
              </w:rPr>
              <w:t>未能满足采购需求，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3388B48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6542A8FE">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9FB23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80BAF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Calibri" w:hAnsi="Calibri" w:cs="宋体"/>
                <w:color w:val="000000" w:themeColor="text1"/>
                <w:sz w:val="21"/>
                <w:szCs w:val="21"/>
                <w:highlight w:val="none"/>
                <w14:textFill>
                  <w14:solidFill>
                    <w14:schemeClr w14:val="tx1"/>
                  </w14:solidFill>
                </w14:textFill>
              </w:rPr>
            </w:pPr>
            <w:r>
              <w:rPr>
                <w:rFonts w:hint="eastAsia" w:ascii="Calibri" w:hAnsi="Calibri" w:cs="宋体"/>
                <w:color w:val="000000" w:themeColor="text1"/>
                <w:sz w:val="21"/>
                <w:szCs w:val="21"/>
                <w:highlight w:val="none"/>
                <w:lang w:eastAsia="zh-CN"/>
                <w14:textFill>
                  <w14:solidFill>
                    <w14:schemeClr w14:val="tx1"/>
                  </w14:solidFill>
                </w14:textFill>
              </w:rPr>
              <w:t>项目实施方案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BCFCA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12分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7343E5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对供应商供货方案、设备调试等内容进行评分：</w:t>
            </w:r>
          </w:p>
          <w:p w14:paraId="7DB82C6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12</w:t>
            </w:r>
            <w:r>
              <w:rPr>
                <w:rFonts w:hint="eastAsia" w:ascii="宋体" w:hAnsi="宋体" w:cs="宋体"/>
                <w:color w:val="000000" w:themeColor="text1"/>
                <w:szCs w:val="21"/>
                <w:highlight w:val="none"/>
                <w14:textFill>
                  <w14:solidFill>
                    <w14:schemeClr w14:val="tx1"/>
                  </w14:solidFill>
                </w14:textFill>
              </w:rPr>
              <w:t xml:space="preserve">分； </w:t>
            </w:r>
          </w:p>
          <w:p w14:paraId="3C3F53D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 xml:space="preserve">分； </w:t>
            </w:r>
          </w:p>
          <w:p w14:paraId="78EB794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分；</w:t>
            </w:r>
          </w:p>
          <w:p w14:paraId="6AC7FD0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欠缺，欠缺可行性，未能满足采购需求，得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 xml:space="preserve">分； </w:t>
            </w:r>
          </w:p>
          <w:p w14:paraId="096E072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0E50D0CF">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405177F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9E05F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培训方案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3E010F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11</w:t>
            </w:r>
            <w:r>
              <w:rPr>
                <w:rFonts w:hint="eastAsia" w:ascii="宋体" w:hAnsi="宋体" w:cs="宋体"/>
                <w:color w:val="000000" w:themeColor="text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3D09AD4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w:t>
            </w: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对项目提供的</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 xml:space="preserve">进行综合评审： </w:t>
            </w:r>
          </w:p>
          <w:p w14:paraId="313A0EB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11</w:t>
            </w:r>
            <w:r>
              <w:rPr>
                <w:rFonts w:hint="eastAsia" w:ascii="宋体" w:hAnsi="宋体" w:cs="宋体"/>
                <w:color w:val="000000" w:themeColor="text1"/>
                <w:szCs w:val="21"/>
                <w:highlight w:val="none"/>
                <w14:textFill>
                  <w14:solidFill>
                    <w14:schemeClr w14:val="tx1"/>
                  </w14:solidFill>
                </w14:textFill>
              </w:rPr>
              <w:t xml:space="preserve">分； </w:t>
            </w:r>
          </w:p>
          <w:p w14:paraId="3B7225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 xml:space="preserve">分； </w:t>
            </w:r>
          </w:p>
          <w:p w14:paraId="76178C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提供培训方案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分；</w:t>
            </w:r>
          </w:p>
          <w:p w14:paraId="5FD72D9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4.培训方案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10B404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1DD7C86B">
        <w:tblPrEx>
          <w:shd w:val="clear" w:color="auto" w:fill="FFFFFF"/>
          <w:tblCellMar>
            <w:top w:w="0" w:type="dxa"/>
            <w:left w:w="0" w:type="dxa"/>
            <w:bottom w:w="0" w:type="dxa"/>
            <w:right w:w="0" w:type="dxa"/>
          </w:tblCellMar>
        </w:tblPrEx>
        <w:trPr>
          <w:cantSplit/>
          <w:trHeight w:val="488" w:hRule="atLeast"/>
          <w:jc w:val="center"/>
        </w:trPr>
        <w:tc>
          <w:tcPr>
            <w:tcW w:w="2199"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1C213D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BA64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default" w:ascii="宋体" w:hAnsi="宋体" w:cs="宋体"/>
                <w:color w:val="000000" w:themeColor="text1"/>
                <w:sz w:val="21"/>
                <w:szCs w:val="21"/>
                <w:highlight w:val="none"/>
                <w:lang w:eastAsia="zh-CN"/>
                <w14:textFill>
                  <w14:solidFill>
                    <w14:schemeClr w14:val="tx1"/>
                  </w14:solidFill>
                </w14:textFill>
              </w:rPr>
              <w:t>50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8D1532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78823C08">
      <w:pPr>
        <w:rPr>
          <w:color w:val="000000" w:themeColor="text1"/>
          <w:highlight w:val="none"/>
          <w14:textFill>
            <w14:solidFill>
              <w14:schemeClr w14:val="tx1"/>
            </w14:solidFill>
          </w14:textFill>
        </w:rPr>
      </w:pPr>
    </w:p>
    <w:p w14:paraId="341D6846">
      <w:pPr>
        <w:rPr>
          <w:color w:val="000000" w:themeColor="text1"/>
          <w:highlight w:val="none"/>
          <w14:textFill>
            <w14:solidFill>
              <w14:schemeClr w14:val="tx1"/>
            </w14:solidFill>
          </w14:textFill>
        </w:rPr>
      </w:pPr>
    </w:p>
    <w:p w14:paraId="2317E0FF">
      <w:pPr>
        <w:rPr>
          <w:color w:val="000000" w:themeColor="text1"/>
          <w:highlight w:val="none"/>
          <w14:textFill>
            <w14:solidFill>
              <w14:schemeClr w14:val="tx1"/>
            </w14:solidFill>
          </w14:textFill>
        </w:rPr>
      </w:pP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1609"/>
        <w:gridCol w:w="975"/>
        <w:gridCol w:w="6306"/>
      </w:tblGrid>
      <w:tr w14:paraId="1A5E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2" w:type="dxa"/>
            <w:noWrap w:val="0"/>
            <w:tcMar>
              <w:top w:w="0" w:type="dxa"/>
              <w:left w:w="108" w:type="dxa"/>
              <w:bottom w:w="0" w:type="dxa"/>
              <w:right w:w="108" w:type="dxa"/>
            </w:tcMar>
            <w:vAlign w:val="center"/>
          </w:tcPr>
          <w:p w14:paraId="7D0696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1609" w:type="dxa"/>
            <w:noWrap w:val="0"/>
            <w:tcMar>
              <w:top w:w="0" w:type="dxa"/>
              <w:left w:w="108" w:type="dxa"/>
              <w:bottom w:w="0" w:type="dxa"/>
              <w:right w:w="108" w:type="dxa"/>
            </w:tcMar>
            <w:vAlign w:val="center"/>
          </w:tcPr>
          <w:p w14:paraId="11B387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评审内容</w:t>
            </w:r>
          </w:p>
        </w:tc>
        <w:tc>
          <w:tcPr>
            <w:tcW w:w="975" w:type="dxa"/>
            <w:noWrap w:val="0"/>
            <w:tcMar>
              <w:top w:w="0" w:type="dxa"/>
              <w:left w:w="108" w:type="dxa"/>
              <w:bottom w:w="0" w:type="dxa"/>
              <w:right w:w="108" w:type="dxa"/>
            </w:tcMar>
            <w:vAlign w:val="center"/>
          </w:tcPr>
          <w:p w14:paraId="798A11B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分值</w:t>
            </w:r>
          </w:p>
        </w:tc>
        <w:tc>
          <w:tcPr>
            <w:tcW w:w="6306" w:type="dxa"/>
            <w:noWrap w:val="0"/>
            <w:tcMar>
              <w:top w:w="0" w:type="dxa"/>
              <w:left w:w="108" w:type="dxa"/>
              <w:bottom w:w="0" w:type="dxa"/>
              <w:right w:w="108" w:type="dxa"/>
            </w:tcMar>
            <w:vAlign w:val="center"/>
          </w:tcPr>
          <w:p w14:paraId="5D9F99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r>
      <w:tr w14:paraId="02A9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57" w:hRule="atLeast"/>
          <w:jc w:val="center"/>
        </w:trPr>
        <w:tc>
          <w:tcPr>
            <w:tcW w:w="772" w:type="dxa"/>
            <w:noWrap w:val="0"/>
            <w:tcMar>
              <w:top w:w="0" w:type="dxa"/>
              <w:left w:w="108" w:type="dxa"/>
              <w:bottom w:w="0" w:type="dxa"/>
              <w:right w:w="108" w:type="dxa"/>
            </w:tcMar>
            <w:vAlign w:val="center"/>
          </w:tcPr>
          <w:p w14:paraId="69DFDD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1609" w:type="dxa"/>
            <w:noWrap w:val="0"/>
            <w:tcMar>
              <w:top w:w="0" w:type="dxa"/>
              <w:left w:w="108" w:type="dxa"/>
              <w:bottom w:w="0" w:type="dxa"/>
              <w:right w:w="108" w:type="dxa"/>
            </w:tcMar>
            <w:vAlign w:val="center"/>
          </w:tcPr>
          <w:p w14:paraId="61DBE97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同类业绩</w:t>
            </w:r>
          </w:p>
        </w:tc>
        <w:tc>
          <w:tcPr>
            <w:tcW w:w="975" w:type="dxa"/>
            <w:noWrap w:val="0"/>
            <w:tcMar>
              <w:top w:w="0" w:type="dxa"/>
              <w:left w:w="108" w:type="dxa"/>
              <w:bottom w:w="0" w:type="dxa"/>
              <w:right w:w="108" w:type="dxa"/>
            </w:tcMar>
            <w:vAlign w:val="center"/>
          </w:tcPr>
          <w:p w14:paraId="48799F3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center"/>
          </w:tcPr>
          <w:p w14:paraId="365751F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2023年1月1日以来（以签订合同时间为准）承接的同类项目业绩</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每份有效业绩得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分，最高得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分。 </w:t>
            </w:r>
          </w:p>
          <w:p w14:paraId="2585104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注：提供合同复印件加盖公章</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，不提供不得分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w:t>
            </w:r>
          </w:p>
        </w:tc>
      </w:tr>
      <w:tr w14:paraId="1137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6BD0991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w:t>
            </w:r>
          </w:p>
        </w:tc>
        <w:tc>
          <w:tcPr>
            <w:tcW w:w="1609" w:type="dxa"/>
            <w:noWrap w:val="0"/>
            <w:tcMar>
              <w:top w:w="0" w:type="dxa"/>
              <w:left w:w="108" w:type="dxa"/>
              <w:bottom w:w="0" w:type="dxa"/>
              <w:right w:w="108" w:type="dxa"/>
            </w:tcMar>
            <w:vAlign w:val="center"/>
          </w:tcPr>
          <w:p w14:paraId="2C1406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企业实力</w:t>
            </w:r>
          </w:p>
        </w:tc>
        <w:tc>
          <w:tcPr>
            <w:tcW w:w="975" w:type="dxa"/>
            <w:noWrap w:val="0"/>
            <w:tcMar>
              <w:top w:w="0" w:type="dxa"/>
              <w:left w:w="108" w:type="dxa"/>
              <w:bottom w:w="0" w:type="dxa"/>
              <w:right w:w="108" w:type="dxa"/>
            </w:tcMar>
            <w:vAlign w:val="center"/>
          </w:tcPr>
          <w:p w14:paraId="76A1838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top"/>
          </w:tcPr>
          <w:p w14:paraId="2B49B43E">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根据</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具有的证书进行评审： </w:t>
            </w:r>
          </w:p>
          <w:p w14:paraId="47A00ED0">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1.质量管理体系认证证书(内容森林防火设备及装备）； </w:t>
            </w:r>
          </w:p>
          <w:p w14:paraId="3A1BF00F">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2.环境管理体系认证证书（内容森林防火设备及装备）； </w:t>
            </w:r>
          </w:p>
          <w:p w14:paraId="5B2F8474">
            <w:pPr>
              <w:keepNext w:val="0"/>
              <w:keepLines w:val="0"/>
              <w:pageBreakBefore w:val="0"/>
              <w:widowControl w:val="0"/>
              <w:kinsoku/>
              <w:wordWrap w:val="0"/>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3.职业健康安全管理体系认证证书（内容森林防火设备及装备）。 </w:t>
            </w:r>
          </w:p>
          <w:p w14:paraId="1DD98FCB">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注：（1）提供有效期内的以上“认证证书复印件”或在“全国认证认可信息公共服务平台（网址：http://cx.cnca.cn/CertECloud/result/skipResultList）查询截图（证书状态需显示为：有效）”加盖公章，每提供一个证书得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分，最高得</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分。</w:t>
            </w:r>
          </w:p>
          <w:p w14:paraId="091D3A6F">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（2）本项目投标截止时间前成立未满三个月的</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，提供企业成立年限说明，可得满分。</w:t>
            </w:r>
          </w:p>
          <w:p w14:paraId="63978618">
            <w:pPr>
              <w:keepNext w:val="0"/>
              <w:keepLines w:val="0"/>
              <w:pageBreakBefore w:val="0"/>
              <w:widowControl w:val="0"/>
              <w:kinsoku/>
              <w:wordWrap w:val="0"/>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（3）不按要求提供，得0分。</w:t>
            </w:r>
          </w:p>
        </w:tc>
      </w:tr>
      <w:tr w14:paraId="58F6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7E8B91F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1609" w:type="dxa"/>
            <w:noWrap w:val="0"/>
            <w:tcMar>
              <w:top w:w="0" w:type="dxa"/>
              <w:left w:w="108" w:type="dxa"/>
              <w:bottom w:w="0" w:type="dxa"/>
              <w:right w:w="108" w:type="dxa"/>
            </w:tcMar>
            <w:vAlign w:val="center"/>
          </w:tcPr>
          <w:p w14:paraId="717E442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w:t>
            </w:r>
          </w:p>
        </w:tc>
        <w:tc>
          <w:tcPr>
            <w:tcW w:w="975" w:type="dxa"/>
            <w:noWrap w:val="0"/>
            <w:tcMar>
              <w:top w:w="0" w:type="dxa"/>
              <w:left w:w="108" w:type="dxa"/>
              <w:bottom w:w="0" w:type="dxa"/>
              <w:right w:w="108" w:type="dxa"/>
            </w:tcMar>
            <w:vAlign w:val="center"/>
          </w:tcPr>
          <w:p w14:paraId="2226113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top"/>
          </w:tcPr>
          <w:p w14:paraId="33BE73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 xml:space="preserve">提供的售后服务方案进行评分： </w:t>
            </w:r>
          </w:p>
          <w:p w14:paraId="2A9AE1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售后服务方案内容非常详细，有完整合理的部署规划，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有完善的售后服务制度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，对需维修的设备有完整可行的操作维修处理方法，</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06083F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售后服务方案内容较详细，有较完整合理的部署规划，有</w:t>
            </w:r>
            <w:r>
              <w:rPr>
                <w:rFonts w:hint="eastAsia" w:ascii="宋体" w:hAnsi="宋体" w:eastAsia="宋体" w:cs="宋体"/>
                <w:color w:val="000000" w:themeColor="text1"/>
                <w:sz w:val="21"/>
                <w:szCs w:val="21"/>
                <w:highlight w:val="none"/>
                <w:lang w:eastAsia="zh-CN"/>
                <w14:textFill>
                  <w14:solidFill>
                    <w14:schemeClr w14:val="tx1"/>
                  </w14:solidFill>
                </w14:textFill>
              </w:rPr>
              <w:t>较完整的售后服务制度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，对需维修的设备有较完整的操作维修处理方法，</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分；</w:t>
            </w:r>
          </w:p>
          <w:p w14:paraId="547B47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售后服务方案内容完整，有基本的部署规划，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有基本的售后服务制度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，对需维修的设备有基本的操作维修处理方法，</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0CB558B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售后服务方案内容简单、有缺漏或缺乏合理性，维修服务安排无法满足项目要求，得1分；</w:t>
            </w:r>
          </w:p>
          <w:p w14:paraId="7A905A1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61F8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2381" w:type="dxa"/>
            <w:gridSpan w:val="2"/>
            <w:noWrap w:val="0"/>
            <w:vAlign w:val="center"/>
          </w:tcPr>
          <w:p w14:paraId="36AAC7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合计</w:t>
            </w:r>
          </w:p>
        </w:tc>
        <w:tc>
          <w:tcPr>
            <w:tcW w:w="975" w:type="dxa"/>
            <w:noWrap w:val="0"/>
            <w:tcMar>
              <w:top w:w="0" w:type="dxa"/>
              <w:left w:w="108" w:type="dxa"/>
              <w:bottom w:w="0" w:type="dxa"/>
              <w:right w:w="108" w:type="dxa"/>
            </w:tcMar>
            <w:vAlign w:val="center"/>
          </w:tcPr>
          <w:p w14:paraId="18909C6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20</w:t>
            </w:r>
            <w:r>
              <w:rPr>
                <w:rFonts w:hint="eastAsia" w:ascii="宋体" w:hAnsi="宋体" w:eastAsia="宋体" w:cs="宋体"/>
                <w:color w:val="000000" w:themeColor="text1"/>
                <w:highlight w:val="none"/>
                <w14:textFill>
                  <w14:solidFill>
                    <w14:schemeClr w14:val="tx1"/>
                  </w14:solidFill>
                </w14:textFill>
              </w:rPr>
              <w:t>分</w:t>
            </w:r>
          </w:p>
        </w:tc>
        <w:tc>
          <w:tcPr>
            <w:tcW w:w="6306" w:type="dxa"/>
            <w:noWrap w:val="0"/>
            <w:tcMar>
              <w:top w:w="0" w:type="dxa"/>
              <w:left w:w="108" w:type="dxa"/>
              <w:bottom w:w="0" w:type="dxa"/>
              <w:right w:w="108" w:type="dxa"/>
            </w:tcMar>
            <w:vAlign w:val="center"/>
          </w:tcPr>
          <w:p w14:paraId="33A44A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r>
    </w:tbl>
    <w:p w14:paraId="0752197F">
      <w:pPr>
        <w:spacing w:line="360" w:lineRule="auto"/>
        <w:rPr>
          <w:rFonts w:ascii="宋体" w:hAnsi="宋体"/>
          <w:b/>
          <w:color w:val="000000" w:themeColor="text1"/>
          <w:highlight w:val="none"/>
          <w14:textFill>
            <w14:solidFill>
              <w14:schemeClr w14:val="tx1"/>
            </w14:solidFill>
          </w14:textFill>
        </w:rPr>
      </w:pPr>
    </w:p>
    <w:p w14:paraId="61D6D08D">
      <w:pPr>
        <w:spacing w:line="360" w:lineRule="auto"/>
        <w:rPr>
          <w:rFonts w:hint="eastAsia" w:ascii="宋体" w:hAnsi="宋体"/>
          <w:b/>
          <w:color w:val="000000" w:themeColor="text1"/>
          <w:highlight w:val="none"/>
          <w14:textFill>
            <w14:solidFill>
              <w14:schemeClr w14:val="tx1"/>
            </w14:solidFill>
          </w14:textFill>
        </w:rPr>
      </w:pPr>
    </w:p>
    <w:p w14:paraId="058BFD58">
      <w:pPr>
        <w:spacing w:line="360" w:lineRule="auto"/>
        <w:rPr>
          <w:rFonts w:hint="eastAsia" w:ascii="宋体" w:hAnsi="宋体"/>
          <w:b/>
          <w:color w:val="000000" w:themeColor="text1"/>
          <w:highlight w:val="none"/>
          <w14:textFill>
            <w14:solidFill>
              <w14:schemeClr w14:val="tx1"/>
            </w14:solidFill>
          </w14:textFill>
        </w:rPr>
      </w:pPr>
    </w:p>
    <w:p w14:paraId="410EC423">
      <w:pPr>
        <w:pStyle w:val="2"/>
        <w:rPr>
          <w:rFonts w:hint="eastAsia" w:ascii="宋体" w:hAnsi="宋体"/>
          <w:b/>
          <w:color w:val="000000" w:themeColor="text1"/>
          <w:highlight w:val="none"/>
          <w14:textFill>
            <w14:solidFill>
              <w14:schemeClr w14:val="tx1"/>
            </w14:solidFill>
          </w14:textFill>
        </w:rPr>
      </w:pPr>
    </w:p>
    <w:p w14:paraId="523DA3E6">
      <w:pPr>
        <w:pStyle w:val="2"/>
        <w:rPr>
          <w:rFonts w:hint="eastAsia" w:ascii="宋体" w:hAnsi="宋体"/>
          <w:b/>
          <w:color w:val="000000" w:themeColor="text1"/>
          <w:highlight w:val="none"/>
          <w14:textFill>
            <w14:solidFill>
              <w14:schemeClr w14:val="tx1"/>
            </w14:solidFill>
          </w14:textFill>
        </w:rPr>
      </w:pPr>
    </w:p>
    <w:p w14:paraId="3161C492">
      <w:pPr>
        <w:pStyle w:val="2"/>
        <w:rPr>
          <w:rFonts w:hint="eastAsia" w:ascii="宋体" w:hAnsi="宋体"/>
          <w:b/>
          <w:color w:val="000000" w:themeColor="text1"/>
          <w:highlight w:val="none"/>
          <w14:textFill>
            <w14:solidFill>
              <w14:schemeClr w14:val="tx1"/>
            </w14:solidFill>
          </w14:textFill>
        </w:rPr>
      </w:pPr>
    </w:p>
    <w:p w14:paraId="736BF58F">
      <w:pPr>
        <w:pStyle w:val="2"/>
        <w:rPr>
          <w:rFonts w:hint="eastAsia" w:ascii="宋体" w:hAnsi="宋体"/>
          <w:b/>
          <w:color w:val="000000" w:themeColor="text1"/>
          <w:highlight w:val="none"/>
          <w14:textFill>
            <w14:solidFill>
              <w14:schemeClr w14:val="tx1"/>
            </w14:solidFill>
          </w14:textFill>
        </w:rPr>
      </w:pPr>
    </w:p>
    <w:p w14:paraId="0D44A47B">
      <w:pPr>
        <w:pStyle w:val="2"/>
        <w:rPr>
          <w:rFonts w:hint="eastAsia" w:ascii="宋体" w:hAnsi="宋体"/>
          <w:b/>
          <w:color w:val="000000" w:themeColor="text1"/>
          <w:highlight w:val="none"/>
          <w14:textFill>
            <w14:solidFill>
              <w14:schemeClr w14:val="tx1"/>
            </w14:solidFill>
          </w14:textFill>
        </w:rPr>
      </w:pPr>
    </w:p>
    <w:p w14:paraId="53C3B728">
      <w:pPr>
        <w:pStyle w:val="2"/>
        <w:rPr>
          <w:rFonts w:hint="eastAsia" w:ascii="宋体" w:hAnsi="宋体"/>
          <w:b/>
          <w:color w:val="000000" w:themeColor="text1"/>
          <w:highlight w:val="none"/>
          <w14:textFill>
            <w14:solidFill>
              <w14:schemeClr w14:val="tx1"/>
            </w14:solidFill>
          </w14:textFill>
        </w:rPr>
      </w:pPr>
    </w:p>
    <w:p w14:paraId="6C7C993F">
      <w:pPr>
        <w:pStyle w:val="2"/>
        <w:rPr>
          <w:rFonts w:hint="eastAsia" w:ascii="宋体" w:hAnsi="宋体"/>
          <w:b/>
          <w:color w:val="000000" w:themeColor="text1"/>
          <w:highlight w:val="none"/>
          <w14:textFill>
            <w14:solidFill>
              <w14:schemeClr w14:val="tx1"/>
            </w14:solidFill>
          </w14:textFill>
        </w:rPr>
      </w:pPr>
    </w:p>
    <w:p w14:paraId="05E2D82A">
      <w:pPr>
        <w:spacing w:line="360" w:lineRule="auto"/>
        <w:rPr>
          <w:rFonts w:hint="eastAsia" w:ascii="宋体" w:hAnsi="宋体"/>
          <w:b/>
          <w:color w:val="000000" w:themeColor="text1"/>
          <w:highlight w:val="none"/>
          <w14:textFill>
            <w14:solidFill>
              <w14:schemeClr w14:val="tx1"/>
            </w14:solidFill>
          </w14:textFill>
        </w:rPr>
      </w:pPr>
    </w:p>
    <w:p w14:paraId="1E1F18C4">
      <w:pPr>
        <w:spacing w:line="360" w:lineRule="auto"/>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64" w:name="_Toc430771059"/>
      <w:bookmarkStart w:id="165" w:name="_Toc432682726"/>
      <w:bookmarkStart w:id="166" w:name="_Toc480010734"/>
      <w:bookmarkStart w:id="167" w:name="_Toc500861024"/>
      <w:bookmarkStart w:id="168" w:name="_Toc480021079"/>
      <w:bookmarkStart w:id="169" w:name="_Toc467236766"/>
      <w:bookmarkStart w:id="170" w:name="_Toc480020283"/>
      <w:bookmarkStart w:id="171" w:name="_Toc468606055"/>
      <w:bookmarkStart w:id="172" w:name="_Toc467987849"/>
      <w:bookmarkStart w:id="173" w:name="_Toc479991608"/>
      <w:bookmarkStart w:id="174" w:name="_Toc468157562"/>
      <w:bookmarkStart w:id="175" w:name="_Toc491658677"/>
      <w:bookmarkStart w:id="176" w:name="_Toc26066260"/>
      <w:bookmarkStart w:id="177" w:name="_Toc6397151"/>
      <w:bookmarkStart w:id="178" w:name="_Toc500861027"/>
      <w:bookmarkStart w:id="179" w:name="_Toc491658680"/>
      <w:bookmarkStart w:id="180" w:name="_Toc6727972"/>
    </w:p>
    <w:bookmarkEnd w:id="164"/>
    <w:bookmarkEnd w:id="165"/>
    <w:p w14:paraId="3FC312B8">
      <w:pPr>
        <w:pStyle w:val="4"/>
        <w:numPr>
          <w:ilvl w:val="0"/>
          <w:numId w:val="0"/>
        </w:numPr>
        <w:jc w:val="both"/>
        <w:rPr>
          <w:rFonts w:hint="eastAsia"/>
          <w:color w:val="000000" w:themeColor="text1"/>
          <w:sz w:val="24"/>
          <w:highlight w:val="none"/>
          <w14:textFill>
            <w14:solidFill>
              <w14:schemeClr w14:val="tx1"/>
            </w14:solidFill>
          </w14:textFill>
        </w:rPr>
      </w:pPr>
      <w:bookmarkStart w:id="181" w:name="_Toc500843104"/>
      <w:bookmarkStart w:id="182" w:name="_Toc430771060"/>
      <w:bookmarkStart w:id="183" w:name="_Toc430185803"/>
    </w:p>
    <w:p w14:paraId="2DA0D7F1">
      <w:pPr>
        <w:rPr>
          <w:rFonts w:hint="eastAsia"/>
          <w:color w:val="000000" w:themeColor="text1"/>
          <w:highlight w:val="none"/>
          <w14:textFill>
            <w14:solidFill>
              <w14:schemeClr w14:val="tx1"/>
            </w14:solidFill>
          </w14:textFill>
        </w:rPr>
      </w:pPr>
    </w:p>
    <w:p w14:paraId="0F4C88D9">
      <w:pPr>
        <w:pStyle w:val="4"/>
        <w:numPr>
          <w:ilvl w:val="0"/>
          <w:numId w:val="0"/>
        </w:numPr>
        <w:rPr>
          <w:color w:val="000000" w:themeColor="text1"/>
          <w:sz w:val="24"/>
          <w:highlight w:val="none"/>
          <w14:textFill>
            <w14:solidFill>
              <w14:schemeClr w14:val="tx1"/>
            </w14:solidFill>
          </w14:textFill>
        </w:rPr>
      </w:pPr>
      <w:bookmarkStart w:id="184" w:name="_Toc5319"/>
      <w:r>
        <w:rPr>
          <w:rFonts w:hint="eastAsia"/>
          <w:color w:val="000000" w:themeColor="text1"/>
          <w:sz w:val="24"/>
          <w:highlight w:val="none"/>
          <w14:textFill>
            <w14:solidFill>
              <w14:schemeClr w14:val="tx1"/>
            </w14:solidFill>
          </w14:textFill>
        </w:rPr>
        <w:t>政府采购政策</w:t>
      </w:r>
      <w:bookmarkEnd w:id="181"/>
      <w:bookmarkEnd w:id="184"/>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82"/>
      <w:bookmarkEnd w:id="183"/>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85" w:name="_Toc430771061"/>
      <w:bookmarkStart w:id="186" w:name="_Toc430185804"/>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85"/>
      <w:bookmarkEnd w:id="186"/>
    </w:p>
    <w:p w14:paraId="26F0F14E">
      <w:pPr>
        <w:spacing w:line="360" w:lineRule="auto"/>
        <w:rPr>
          <w:rFonts w:ascii="宋体" w:hAnsi="宋体"/>
          <w:color w:val="000000" w:themeColor="text1"/>
          <w:highlight w:val="none"/>
          <w14:textFill>
            <w14:solidFill>
              <w14:schemeClr w14:val="tx1"/>
            </w14:solidFill>
          </w14:textFill>
        </w:rPr>
      </w:pPr>
      <w:bookmarkStart w:id="187" w:name="_Toc430771062"/>
      <w:bookmarkStart w:id="188" w:name="_Toc430185805"/>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87"/>
      <w:bookmarkEnd w:id="188"/>
    </w:p>
    <w:p w14:paraId="12FE0F0E">
      <w:pPr>
        <w:spacing w:line="360" w:lineRule="auto"/>
        <w:rPr>
          <w:rFonts w:ascii="宋体" w:hAnsi="宋体"/>
          <w:color w:val="000000" w:themeColor="text1"/>
          <w:highlight w:val="none"/>
          <w14:textFill>
            <w14:solidFill>
              <w14:schemeClr w14:val="tx1"/>
            </w14:solidFill>
          </w14:textFill>
        </w:rPr>
      </w:pPr>
      <w:bookmarkStart w:id="189" w:name="_Toc430185806"/>
      <w:bookmarkStart w:id="190" w:name="_Toc430771063"/>
      <w:r>
        <w:rPr>
          <w:rFonts w:hint="eastAsia" w:ascii="宋体" w:hAnsi="宋体"/>
          <w:color w:val="000000" w:themeColor="text1"/>
          <w:highlight w:val="none"/>
          <w14:textFill>
            <w14:solidFill>
              <w14:schemeClr w14:val="tx1"/>
            </w14:solidFill>
          </w14:textFill>
        </w:rPr>
        <w:t>4．</w:t>
      </w:r>
      <w:bookmarkEnd w:id="189"/>
      <w:bookmarkEnd w:id="190"/>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66"/>
    <w:bookmarkEnd w:id="167"/>
    <w:bookmarkEnd w:id="168"/>
    <w:bookmarkEnd w:id="169"/>
    <w:bookmarkEnd w:id="170"/>
    <w:bookmarkEnd w:id="171"/>
    <w:bookmarkEnd w:id="172"/>
    <w:bookmarkEnd w:id="173"/>
    <w:bookmarkEnd w:id="174"/>
    <w:bookmarkEnd w:id="175"/>
    <w:p w14:paraId="775C96F5">
      <w:pPr>
        <w:pStyle w:val="3"/>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91" w:name="_Hlt21939000"/>
      <w:bookmarkEnd w:id="191"/>
      <w:bookmarkStart w:id="192" w:name="_Toc340672878"/>
      <w:bookmarkStart w:id="193" w:name="_Toc339362309"/>
      <w:bookmarkStart w:id="194" w:name="_Toc340677079"/>
      <w:bookmarkStart w:id="195" w:name="_Toc339019898"/>
      <w:bookmarkStart w:id="196" w:name="_Toc366072538"/>
      <w:bookmarkStart w:id="197" w:name="_Toc349143598"/>
      <w:bookmarkStart w:id="198" w:name="_Toc349127635"/>
      <w:bookmarkStart w:id="199" w:name="_Toc339020242"/>
      <w:bookmarkStart w:id="200" w:name="_Toc333935355"/>
      <w:bookmarkStart w:id="201" w:name="_Toc342060383"/>
      <w:bookmarkStart w:id="202" w:name="_Toc341348347"/>
      <w:bookmarkStart w:id="203" w:name="_Toc332270355"/>
      <w:bookmarkStart w:id="204" w:name="_Toc333237686"/>
      <w:bookmarkStart w:id="205" w:name="_Toc350438758"/>
      <w:bookmarkStart w:id="206" w:name="_Toc374454610"/>
      <w:bookmarkStart w:id="207" w:name="_Toc365985187"/>
      <w:bookmarkStart w:id="208" w:name="_Toc332206717"/>
      <w:bookmarkStart w:id="209" w:name="_Toc331684047"/>
      <w:bookmarkStart w:id="210" w:name="_Toc342296769"/>
      <w:bookmarkStart w:id="211" w:name="_Toc339020104"/>
      <w:bookmarkStart w:id="212" w:name="_Toc350756459"/>
      <w:bookmarkStart w:id="213" w:name="_Toc331512907"/>
      <w:bookmarkStart w:id="214" w:name="_Toc330459994"/>
      <w:bookmarkStart w:id="215" w:name="_Toc333237797"/>
      <w:bookmarkStart w:id="216" w:name="_Toc345513910"/>
      <w:bookmarkStart w:id="217" w:name="_Toc333935696"/>
      <w:bookmarkStart w:id="218" w:name="_Toc339020024"/>
      <w:bookmarkStart w:id="219" w:name="_Toc337632367"/>
      <w:bookmarkStart w:id="220" w:name="_Toc336681589"/>
      <w:bookmarkStart w:id="221" w:name="_Toc336681944"/>
      <w:bookmarkStart w:id="222" w:name="_Toc365967081"/>
      <w:bookmarkStart w:id="223" w:name="_Toc340507451"/>
      <w:bookmarkStart w:id="224" w:name="_Toc333238642"/>
      <w:bookmarkStart w:id="225" w:name="_Toc339441096"/>
      <w:bookmarkStart w:id="226" w:name="_Toc22469"/>
      <w:r>
        <w:rPr>
          <w:rFonts w:hint="eastAsia" w:ascii="宋体" w:hAnsi="宋体" w:eastAsia="宋体"/>
          <w:b/>
          <w:color w:val="000000" w:themeColor="text1"/>
          <w:highlight w:val="none"/>
          <w14:textFill>
            <w14:solidFill>
              <w14:schemeClr w14:val="tx1"/>
            </w14:solidFill>
          </w14:textFill>
        </w:rPr>
        <w:t xml:space="preserve">第五部分  </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Start w:id="227" w:name="_Hlt97188170"/>
      <w:bookmarkEnd w:id="227"/>
      <w:r>
        <w:rPr>
          <w:rFonts w:hint="eastAsia" w:ascii="宋体" w:hAnsi="宋体"/>
          <w:b/>
          <w:color w:val="000000" w:themeColor="text1"/>
          <w:sz w:val="21"/>
          <w:szCs w:val="21"/>
          <w:highlight w:val="none"/>
          <w14:textFill>
            <w14:solidFill>
              <w14:schemeClr w14:val="tx1"/>
            </w14:solidFill>
          </w14:textFill>
        </w:rPr>
        <w:t>合同书格式（参考范本）</w:t>
      </w:r>
      <w:bookmarkEnd w:id="226"/>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28" w:name="_Toc331684048"/>
      <w:bookmarkStart w:id="229" w:name="_Toc333935697"/>
      <w:bookmarkStart w:id="230" w:name="_Toc500861025"/>
      <w:bookmarkStart w:id="231" w:name="_Toc342296770"/>
      <w:bookmarkStart w:id="232" w:name="_Toc336681590"/>
      <w:bookmarkStart w:id="233" w:name="_Toc339362310"/>
      <w:bookmarkStart w:id="234" w:name="_Toc333237798"/>
      <w:bookmarkStart w:id="235" w:name="_Toc345513911"/>
      <w:bookmarkStart w:id="236" w:name="_Toc333238643"/>
      <w:bookmarkStart w:id="237" w:name="_Toc342060384"/>
      <w:bookmarkStart w:id="238" w:name="_Toc340672879"/>
      <w:bookmarkStart w:id="239" w:name="_Toc332270356"/>
      <w:bookmarkStart w:id="240" w:name="_Toc350756460"/>
      <w:bookmarkStart w:id="241" w:name="_Toc333237687"/>
      <w:bookmarkStart w:id="242" w:name="_Toc339441097"/>
      <w:bookmarkStart w:id="243" w:name="_Toc365985188"/>
      <w:bookmarkStart w:id="244" w:name="_Toc349127636"/>
      <w:bookmarkStart w:id="245" w:name="_Toc349143599"/>
      <w:bookmarkStart w:id="246" w:name="_Toc330459995"/>
      <w:bookmarkStart w:id="247" w:name="_Toc339020105"/>
      <w:bookmarkStart w:id="248" w:name="_Toc366072539"/>
      <w:bookmarkStart w:id="249" w:name="_Toc337632368"/>
      <w:bookmarkStart w:id="250" w:name="_Toc365967082"/>
      <w:bookmarkStart w:id="251" w:name="_Toc350438759"/>
      <w:bookmarkStart w:id="252" w:name="_Toc339020243"/>
      <w:bookmarkStart w:id="253" w:name="_Toc340507452"/>
      <w:bookmarkStart w:id="254" w:name="_Toc333935356"/>
      <w:bookmarkStart w:id="255" w:name="_Toc491658678"/>
      <w:bookmarkStart w:id="256" w:name="_Toc332206718"/>
      <w:bookmarkStart w:id="257" w:name="_Toc339020025"/>
      <w:bookmarkStart w:id="258" w:name="_Toc339019899"/>
      <w:bookmarkStart w:id="259" w:name="_Toc341348348"/>
      <w:bookmarkStart w:id="260" w:name="_Toc340677080"/>
      <w:bookmarkStart w:id="261" w:name="_Toc336681945"/>
      <w:bookmarkStart w:id="262" w:name="_Toc331512908"/>
    </w:p>
    <w:p w14:paraId="38F82420">
      <w:pPr>
        <w:pStyle w:val="3"/>
        <w:numPr>
          <w:ilvl w:val="0"/>
          <w:numId w:val="0"/>
        </w:numPr>
        <w:spacing w:before="240"/>
        <w:rPr>
          <w:rFonts w:ascii="宋体" w:hAnsi="宋体" w:eastAsia="宋体"/>
          <w:b/>
          <w:color w:val="000000" w:themeColor="text1"/>
          <w:highlight w:val="none"/>
          <w14:textFill>
            <w14:solidFill>
              <w14:schemeClr w14:val="tx1"/>
            </w14:solidFill>
          </w14:textFill>
        </w:rPr>
      </w:pPr>
      <w:bookmarkStart w:id="263" w:name="_Toc24342"/>
      <w:r>
        <w:rPr>
          <w:rFonts w:hint="eastAsia" w:ascii="宋体" w:hAnsi="宋体" w:eastAsia="宋体"/>
          <w:b/>
          <w:color w:val="000000" w:themeColor="text1"/>
          <w:highlight w:val="none"/>
          <w14:textFill>
            <w14:solidFill>
              <w14:schemeClr w14:val="tx1"/>
            </w14:solidFill>
          </w14:textFill>
        </w:rPr>
        <w:t>第六部分</w:t>
      </w:r>
      <w:bookmarkStart w:id="264" w:name="_Hlt97188172"/>
      <w:bookmarkEnd w:id="264"/>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Start w:id="265" w:name="_Hlt21938933"/>
      <w:bookmarkEnd w:id="265"/>
    </w:p>
    <w:p w14:paraId="55FD3B10">
      <w:pPr>
        <w:rPr>
          <w:rFonts w:ascii="宋体" w:hAnsi="宋体"/>
          <w:color w:val="000000" w:themeColor="text1"/>
          <w:highlight w:val="none"/>
          <w14:textFill>
            <w14:solidFill>
              <w14:schemeClr w14:val="tx1"/>
            </w14:solidFill>
          </w14:textFill>
        </w:rPr>
      </w:pPr>
    </w:p>
    <w:p w14:paraId="09FC3B00">
      <w:pPr>
        <w:pStyle w:val="4"/>
        <w:numPr>
          <w:ilvl w:val="1"/>
          <w:numId w:val="0"/>
        </w:numPr>
        <w:rPr>
          <w:rFonts w:ascii="宋体" w:hAnsi="宋体"/>
          <w:color w:val="000000" w:themeColor="text1"/>
          <w:sz w:val="24"/>
          <w:highlight w:val="none"/>
          <w14:textFill>
            <w14:solidFill>
              <w14:schemeClr w14:val="tx1"/>
            </w14:solidFill>
          </w14:textFill>
        </w:rPr>
      </w:pPr>
      <w:bookmarkStart w:id="266" w:name="_Toc333237688"/>
      <w:bookmarkStart w:id="267" w:name="_Toc332270357"/>
      <w:bookmarkStart w:id="268" w:name="_Toc341348349"/>
      <w:bookmarkStart w:id="269" w:name="_Toc333238644"/>
      <w:bookmarkStart w:id="270" w:name="_Toc340507453"/>
      <w:bookmarkStart w:id="271" w:name="_Toc331512909"/>
      <w:bookmarkStart w:id="272" w:name="_Toc332206719"/>
      <w:bookmarkStart w:id="273" w:name="_Toc330459996"/>
      <w:bookmarkStart w:id="274" w:name="_Toc350438760"/>
      <w:bookmarkStart w:id="275" w:name="_Toc339441098"/>
      <w:bookmarkStart w:id="276" w:name="_Toc339019900"/>
      <w:bookmarkStart w:id="277" w:name="_Toc350756461"/>
      <w:bookmarkStart w:id="278" w:name="_Toc349143600"/>
      <w:bookmarkStart w:id="279" w:name="_Toc336681591"/>
      <w:bookmarkStart w:id="280" w:name="_Toc340672880"/>
      <w:bookmarkStart w:id="281" w:name="_Toc342060385"/>
      <w:bookmarkStart w:id="282" w:name="_Toc345513912"/>
      <w:bookmarkStart w:id="283" w:name="_Toc336681946"/>
      <w:bookmarkStart w:id="284" w:name="_Toc333935357"/>
      <w:bookmarkStart w:id="285" w:name="_Toc339020026"/>
      <w:bookmarkStart w:id="286" w:name="_Toc333237799"/>
      <w:bookmarkStart w:id="287" w:name="_Toc23478"/>
      <w:bookmarkStart w:id="288" w:name="_Toc337632369"/>
      <w:bookmarkStart w:id="289" w:name="_Toc331684049"/>
      <w:bookmarkStart w:id="290" w:name="_Toc342296771"/>
      <w:bookmarkStart w:id="291" w:name="_Toc333935698"/>
      <w:bookmarkStart w:id="292" w:name="_Toc365967083"/>
      <w:bookmarkStart w:id="293" w:name="_Toc340677081"/>
      <w:bookmarkStart w:id="294" w:name="_Toc365985189"/>
      <w:bookmarkStart w:id="295" w:name="_Toc349127637"/>
      <w:bookmarkStart w:id="296" w:name="_Toc339020106"/>
      <w:bookmarkStart w:id="297" w:name="_Toc366072540"/>
      <w:bookmarkStart w:id="298" w:name="_Toc339362311"/>
      <w:bookmarkStart w:id="299" w:name="_Toc339020244"/>
      <w:r>
        <w:rPr>
          <w:rFonts w:hint="eastAsia" w:ascii="宋体" w:hAnsi="宋体"/>
          <w:color w:val="000000" w:themeColor="text1"/>
          <w:sz w:val="24"/>
          <w:highlight w:val="none"/>
          <w14:textFill>
            <w14:solidFill>
              <w14:schemeClr w14:val="tx1"/>
            </w14:solidFill>
          </w14:textFill>
        </w:rPr>
        <w:t>封面格式</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5045DC5F">
      <w:pPr>
        <w:pStyle w:val="6"/>
        <w:rPr>
          <w:rFonts w:hAnsi="宋体"/>
          <w:bCs/>
          <w:color w:val="000000" w:themeColor="text1"/>
          <w:sz w:val="21"/>
          <w:highlight w:val="none"/>
          <w14:textFill>
            <w14:solidFill>
              <w14:schemeClr w14:val="tx1"/>
            </w14:solidFill>
          </w14:textFill>
        </w:rPr>
      </w:pPr>
    </w:p>
    <w:p w14:paraId="7C98BECB">
      <w:pPr>
        <w:pStyle w:val="6"/>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6"/>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6"/>
        <w:rPr>
          <w:rFonts w:hAnsi="宋体"/>
          <w:bCs/>
          <w:color w:val="000000" w:themeColor="text1"/>
          <w:sz w:val="21"/>
          <w:highlight w:val="none"/>
          <w14:textFill>
            <w14:solidFill>
              <w14:schemeClr w14:val="tx1"/>
            </w14:solidFill>
          </w14:textFill>
        </w:rPr>
      </w:pPr>
    </w:p>
    <w:p w14:paraId="78C7801C">
      <w:pPr>
        <w:pStyle w:val="6"/>
        <w:rPr>
          <w:rFonts w:hAnsi="宋体"/>
          <w:bCs/>
          <w:color w:val="000000" w:themeColor="text1"/>
          <w:sz w:val="21"/>
          <w:highlight w:val="none"/>
          <w14:textFill>
            <w14:solidFill>
              <w14:schemeClr w14:val="tx1"/>
            </w14:solidFill>
          </w14:textFill>
        </w:rPr>
      </w:pPr>
    </w:p>
    <w:p w14:paraId="000679DE">
      <w:pPr>
        <w:pStyle w:val="6"/>
        <w:rPr>
          <w:rFonts w:hAnsi="宋体"/>
          <w:bCs/>
          <w:color w:val="000000" w:themeColor="text1"/>
          <w:sz w:val="21"/>
          <w:highlight w:val="none"/>
          <w14:textFill>
            <w14:solidFill>
              <w14:schemeClr w14:val="tx1"/>
            </w14:solidFill>
          </w14:textFill>
        </w:rPr>
      </w:pPr>
    </w:p>
    <w:p w14:paraId="4755B7F7">
      <w:pPr>
        <w:pStyle w:val="6"/>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6"/>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YXCG-20261019</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6"/>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6"/>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4"/>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300" w:name="_Toc25551"/>
      <w:r>
        <w:rPr>
          <w:rFonts w:hint="eastAsia" w:ascii="宋体" w:hAnsi="宋体"/>
          <w:b w:val="0"/>
          <w:color w:val="000000" w:themeColor="text1"/>
          <w:sz w:val="24"/>
          <w:highlight w:val="none"/>
          <w14:textFill>
            <w14:solidFill>
              <w14:schemeClr w14:val="tx1"/>
            </w14:solidFill>
          </w14:textFill>
        </w:rPr>
        <w:t>自查表</w:t>
      </w:r>
      <w:bookmarkEnd w:id="300"/>
    </w:p>
    <w:p w14:paraId="594B35C5">
      <w:pPr>
        <w:pStyle w:val="4"/>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301" w:name="_Toc31777"/>
      <w:bookmarkStart w:id="302" w:name="_Toc18086"/>
      <w:bookmarkStart w:id="303" w:name="_Toc28805"/>
      <w:r>
        <w:rPr>
          <w:rFonts w:hint="eastAsia" w:ascii="宋体"/>
          <w:bCs w:val="0"/>
          <w:color w:val="000000" w:themeColor="text1"/>
          <w:szCs w:val="21"/>
          <w:highlight w:val="none"/>
          <w14:textFill>
            <w14:solidFill>
              <w14:schemeClr w14:val="tx1"/>
            </w14:solidFill>
          </w14:textFill>
        </w:rPr>
        <w:t>1.1  资格性/符合性自查表</w:t>
      </w:r>
      <w:bookmarkEnd w:id="301"/>
      <w:bookmarkEnd w:id="302"/>
      <w:bookmarkEnd w:id="303"/>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430"/>
        <w:gridCol w:w="3201"/>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50"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201"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430" w:type="dxa"/>
            <w:vMerge w:val="restart"/>
            <w:vAlign w:val="center"/>
          </w:tcPr>
          <w:p w14:paraId="06D42787">
            <w:pPr>
              <w:tabs>
                <w:tab w:val="left" w:pos="-200"/>
                <w:tab w:val="left" w:pos="1050"/>
              </w:tabs>
              <w:ind w:left="0" w:leftChars="0" w:firstLine="0" w:firstLineChars="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w:t>
            </w:r>
          </w:p>
          <w:p w14:paraId="61BED871">
            <w:pPr>
              <w:tabs>
                <w:tab w:val="left" w:pos="-200"/>
                <w:tab w:val="left" w:pos="105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w:t>
            </w:r>
          </w:p>
        </w:tc>
        <w:tc>
          <w:tcPr>
            <w:tcW w:w="3201"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430"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3201"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430"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3201" w:type="dxa"/>
            <w:vAlign w:val="center"/>
          </w:tcPr>
          <w:p w14:paraId="4C3C2662">
            <w:pPr>
              <w:tabs>
                <w:tab w:val="left" w:pos="0"/>
              </w:tabs>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430"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3201" w:type="dxa"/>
            <w:vAlign w:val="center"/>
          </w:tcPr>
          <w:p w14:paraId="48CD288B">
            <w:pPr>
              <w:tabs>
                <w:tab w:val="left" w:pos="0"/>
              </w:tabs>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430" w:type="dxa"/>
            <w:shd w:val="clear" w:color="auto" w:fill="auto"/>
            <w:vAlign w:val="center"/>
          </w:tcPr>
          <w:p w14:paraId="380E288B">
            <w:pPr>
              <w:tabs>
                <w:tab w:val="left" w:pos="0"/>
              </w:tabs>
              <w:ind w:left="0" w:leftChars="0" w:firstLine="0" w:firstLineChars="0"/>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3201" w:type="dxa"/>
            <w:shd w:val="clear" w:color="auto" w:fill="auto"/>
            <w:vAlign w:val="center"/>
          </w:tcPr>
          <w:p w14:paraId="27AF6A0A">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0E5CEEB1">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4C3A2C6E">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C46C417">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7B11359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700EB3C4">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201"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70E1070D">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201"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7A746ACC">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3201"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430" w:type="dxa"/>
            <w:vAlign w:val="center"/>
          </w:tcPr>
          <w:p w14:paraId="1B1493F5">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201"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6"/>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76"/>
    <w:bookmarkEnd w:id="177"/>
    <w:bookmarkEnd w:id="178"/>
    <w:bookmarkEnd w:id="179"/>
    <w:bookmarkEnd w:id="180"/>
    <w:p w14:paraId="4E69A75A">
      <w:pPr>
        <w:pStyle w:val="4"/>
        <w:numPr>
          <w:ilvl w:val="1"/>
          <w:numId w:val="0"/>
        </w:numPr>
        <w:spacing w:line="360" w:lineRule="auto"/>
        <w:rPr>
          <w:rFonts w:ascii="宋体" w:hAnsi="宋体"/>
          <w:color w:val="000000" w:themeColor="text1"/>
          <w:highlight w:val="none"/>
          <w14:textFill>
            <w14:solidFill>
              <w14:schemeClr w14:val="tx1"/>
            </w14:solidFill>
          </w14:textFill>
        </w:rPr>
      </w:pPr>
      <w:bookmarkStart w:id="304" w:name="_Toc200414515"/>
      <w:bookmarkStart w:id="305" w:name="_Toc16021"/>
      <w:bookmarkStart w:id="306" w:name="_Toc469160785"/>
      <w:r>
        <w:rPr>
          <w:rFonts w:hint="eastAsia" w:ascii="宋体" w:hAnsi="宋体"/>
          <w:color w:val="000000" w:themeColor="text1"/>
          <w:sz w:val="28"/>
          <w:szCs w:val="28"/>
          <w:highlight w:val="none"/>
          <w14:textFill>
            <w14:solidFill>
              <w14:schemeClr w14:val="tx1"/>
            </w14:solidFill>
          </w14:textFill>
        </w:rPr>
        <w:t>（一）无重大违法记录声明函</w:t>
      </w:r>
      <w:bookmarkEnd w:id="304"/>
      <w:bookmarkEnd w:id="305"/>
      <w:bookmarkEnd w:id="306"/>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6"/>
        <w:spacing w:line="360" w:lineRule="auto"/>
        <w:ind w:left="420" w:firstLine="0"/>
        <w:rPr>
          <w:rFonts w:hAnsi="宋体"/>
          <w:color w:val="000000" w:themeColor="text1"/>
          <w:highlight w:val="none"/>
          <w14:textFill>
            <w14:solidFill>
              <w14:schemeClr w14:val="tx1"/>
            </w14:solidFill>
          </w14:textFill>
        </w:rPr>
      </w:pPr>
    </w:p>
    <w:p w14:paraId="1AA523A6">
      <w:pPr>
        <w:pStyle w:val="6"/>
        <w:spacing w:line="360" w:lineRule="auto"/>
        <w:ind w:left="420" w:firstLine="0"/>
        <w:rPr>
          <w:rFonts w:hAnsi="宋体"/>
          <w:color w:val="000000" w:themeColor="text1"/>
          <w:highlight w:val="none"/>
          <w14:textFill>
            <w14:solidFill>
              <w14:schemeClr w14:val="tx1"/>
            </w14:solidFill>
          </w14:textFill>
        </w:rPr>
      </w:pPr>
    </w:p>
    <w:p w14:paraId="1C8BEC2F">
      <w:pPr>
        <w:pStyle w:val="6"/>
        <w:spacing w:line="360" w:lineRule="auto"/>
        <w:ind w:left="420" w:firstLine="0"/>
        <w:rPr>
          <w:rFonts w:hAnsi="宋体"/>
          <w:color w:val="000000" w:themeColor="text1"/>
          <w:highlight w:val="none"/>
          <w14:textFill>
            <w14:solidFill>
              <w14:schemeClr w14:val="tx1"/>
            </w14:solidFill>
          </w14:textFill>
        </w:rPr>
      </w:pPr>
    </w:p>
    <w:p w14:paraId="6BACC9A7">
      <w:pPr>
        <w:pStyle w:val="6"/>
        <w:spacing w:line="360" w:lineRule="auto"/>
        <w:ind w:left="420" w:firstLine="0"/>
        <w:rPr>
          <w:rFonts w:hAnsi="宋体"/>
          <w:color w:val="000000" w:themeColor="text1"/>
          <w:highlight w:val="none"/>
          <w14:textFill>
            <w14:solidFill>
              <w14:schemeClr w14:val="tx1"/>
            </w14:solidFill>
          </w14:textFill>
        </w:rPr>
      </w:pPr>
    </w:p>
    <w:p w14:paraId="6BA924B5">
      <w:pPr>
        <w:pStyle w:val="6"/>
        <w:spacing w:line="360" w:lineRule="auto"/>
        <w:ind w:left="420" w:firstLine="0"/>
        <w:rPr>
          <w:rFonts w:hAnsi="宋体"/>
          <w:color w:val="000000" w:themeColor="text1"/>
          <w:highlight w:val="none"/>
          <w14:textFill>
            <w14:solidFill>
              <w14:schemeClr w14:val="tx1"/>
            </w14:solidFill>
          </w14:textFill>
        </w:rPr>
      </w:pPr>
    </w:p>
    <w:p w14:paraId="12FFE931">
      <w:pPr>
        <w:pStyle w:val="6"/>
        <w:spacing w:line="360" w:lineRule="auto"/>
        <w:ind w:left="420" w:firstLine="0"/>
        <w:rPr>
          <w:rFonts w:hAnsi="宋体"/>
          <w:color w:val="000000" w:themeColor="text1"/>
          <w:highlight w:val="none"/>
          <w14:textFill>
            <w14:solidFill>
              <w14:schemeClr w14:val="tx1"/>
            </w14:solidFill>
          </w14:textFill>
        </w:rPr>
      </w:pPr>
    </w:p>
    <w:p w14:paraId="030B0C02">
      <w:pPr>
        <w:pStyle w:val="6"/>
        <w:spacing w:line="360" w:lineRule="auto"/>
        <w:ind w:left="420" w:firstLine="0"/>
        <w:rPr>
          <w:rFonts w:hAnsi="宋体"/>
          <w:color w:val="000000" w:themeColor="text1"/>
          <w:highlight w:val="none"/>
          <w14:textFill>
            <w14:solidFill>
              <w14:schemeClr w14:val="tx1"/>
            </w14:solidFill>
          </w14:textFill>
        </w:rPr>
      </w:pPr>
    </w:p>
    <w:p w14:paraId="38B2B70A">
      <w:pPr>
        <w:pStyle w:val="6"/>
        <w:spacing w:line="360" w:lineRule="auto"/>
        <w:ind w:left="420" w:firstLine="0"/>
        <w:rPr>
          <w:rFonts w:hAnsi="宋体"/>
          <w:color w:val="000000" w:themeColor="text1"/>
          <w:highlight w:val="none"/>
          <w14:textFill>
            <w14:solidFill>
              <w14:schemeClr w14:val="tx1"/>
            </w14:solidFill>
          </w14:textFill>
        </w:rPr>
      </w:pPr>
    </w:p>
    <w:p w14:paraId="1361F654">
      <w:pPr>
        <w:pStyle w:val="4"/>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307" w:name="_Toc469160786"/>
      <w:bookmarkStart w:id="308" w:name="_Toc3645"/>
      <w:bookmarkStart w:id="309" w:name="_Toc20041451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307"/>
      <w:bookmarkEnd w:id="308"/>
      <w:bookmarkEnd w:id="309"/>
    </w:p>
    <w:p w14:paraId="75D659EA">
      <w:pPr>
        <w:pStyle w:val="6"/>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6"/>
        <w:spacing w:line="360" w:lineRule="auto"/>
        <w:rPr>
          <w:rFonts w:hAnsi="宋体"/>
          <w:color w:val="000000" w:themeColor="text1"/>
          <w:highlight w:val="none"/>
          <w14:textFill>
            <w14:solidFill>
              <w14:schemeClr w14:val="tx1"/>
            </w14:solidFill>
          </w14:textFill>
        </w:rPr>
      </w:pPr>
    </w:p>
    <w:p w14:paraId="0B506101">
      <w:pPr>
        <w:pStyle w:val="6"/>
        <w:spacing w:line="360" w:lineRule="auto"/>
        <w:rPr>
          <w:rFonts w:hAnsi="宋体"/>
          <w:color w:val="000000" w:themeColor="text1"/>
          <w:highlight w:val="none"/>
          <w14:textFill>
            <w14:solidFill>
              <w14:schemeClr w14:val="tx1"/>
            </w14:solidFill>
          </w14:textFill>
        </w:rPr>
      </w:pPr>
    </w:p>
    <w:p w14:paraId="6ABC41AC">
      <w:pPr>
        <w:pStyle w:val="6"/>
        <w:spacing w:line="360" w:lineRule="auto"/>
        <w:rPr>
          <w:rFonts w:hAnsi="宋体"/>
          <w:color w:val="000000" w:themeColor="text1"/>
          <w:highlight w:val="none"/>
          <w14:textFill>
            <w14:solidFill>
              <w14:schemeClr w14:val="tx1"/>
            </w14:solidFill>
          </w14:textFill>
        </w:rPr>
      </w:pPr>
    </w:p>
    <w:p w14:paraId="6EEFF2C5">
      <w:pPr>
        <w:pStyle w:val="6"/>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6"/>
        <w:spacing w:line="360" w:lineRule="auto"/>
        <w:ind w:firstLine="0"/>
        <w:rPr>
          <w:rFonts w:hAnsi="宋体"/>
          <w:color w:val="000000" w:themeColor="text1"/>
          <w:highlight w:val="none"/>
          <w14:textFill>
            <w14:solidFill>
              <w14:schemeClr w14:val="tx1"/>
            </w14:solidFill>
          </w14:textFill>
        </w:rPr>
      </w:pPr>
    </w:p>
    <w:p w14:paraId="49051FD4">
      <w:pPr>
        <w:pStyle w:val="6"/>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6"/>
        <w:spacing w:line="360" w:lineRule="auto"/>
        <w:ind w:firstLine="0"/>
        <w:rPr>
          <w:rFonts w:hAnsi="宋体"/>
          <w:color w:val="000000" w:themeColor="text1"/>
          <w:highlight w:val="none"/>
          <w14:textFill>
            <w14:solidFill>
              <w14:schemeClr w14:val="tx1"/>
            </w14:solidFill>
          </w14:textFill>
        </w:rPr>
      </w:pPr>
    </w:p>
    <w:p w14:paraId="13C6A2A9">
      <w:pPr>
        <w:pStyle w:val="6"/>
        <w:spacing w:line="360" w:lineRule="auto"/>
        <w:rPr>
          <w:rFonts w:hAnsi="宋体"/>
          <w:color w:val="000000" w:themeColor="text1"/>
          <w:highlight w:val="none"/>
          <w14:textFill>
            <w14:solidFill>
              <w14:schemeClr w14:val="tx1"/>
            </w14:solidFill>
          </w14:textFill>
        </w:rPr>
      </w:pPr>
    </w:p>
    <w:p w14:paraId="26FBCDBF">
      <w:pPr>
        <w:pStyle w:val="6"/>
        <w:spacing w:line="360" w:lineRule="auto"/>
        <w:rPr>
          <w:rFonts w:hAnsi="宋体"/>
          <w:color w:val="000000" w:themeColor="text1"/>
          <w:highlight w:val="none"/>
          <w14:textFill>
            <w14:solidFill>
              <w14:schemeClr w14:val="tx1"/>
            </w14:solidFill>
          </w14:textFill>
        </w:rPr>
      </w:pPr>
    </w:p>
    <w:p w14:paraId="5DAF0047">
      <w:pPr>
        <w:pStyle w:val="6"/>
        <w:spacing w:line="360" w:lineRule="auto"/>
        <w:rPr>
          <w:rFonts w:hAnsi="宋体"/>
          <w:color w:val="000000" w:themeColor="text1"/>
          <w:highlight w:val="none"/>
          <w14:textFill>
            <w14:solidFill>
              <w14:schemeClr w14:val="tx1"/>
            </w14:solidFill>
          </w14:textFill>
        </w:rPr>
      </w:pPr>
    </w:p>
    <w:p w14:paraId="672D437B">
      <w:pPr>
        <w:pStyle w:val="6"/>
        <w:spacing w:line="360" w:lineRule="auto"/>
        <w:rPr>
          <w:rFonts w:hAnsi="宋体"/>
          <w:color w:val="000000" w:themeColor="text1"/>
          <w:highlight w:val="none"/>
          <w14:textFill>
            <w14:solidFill>
              <w14:schemeClr w14:val="tx1"/>
            </w14:solidFill>
          </w14:textFill>
        </w:rPr>
      </w:pPr>
    </w:p>
    <w:p w14:paraId="5708C27C">
      <w:pPr>
        <w:pStyle w:val="6"/>
        <w:spacing w:line="360" w:lineRule="auto"/>
        <w:rPr>
          <w:rFonts w:hAnsi="宋体"/>
          <w:color w:val="000000" w:themeColor="text1"/>
          <w:highlight w:val="none"/>
          <w14:textFill>
            <w14:solidFill>
              <w14:schemeClr w14:val="tx1"/>
            </w14:solidFill>
          </w14:textFill>
        </w:rPr>
      </w:pPr>
    </w:p>
    <w:p w14:paraId="325D9738">
      <w:pPr>
        <w:pStyle w:val="6"/>
        <w:spacing w:line="360" w:lineRule="auto"/>
        <w:rPr>
          <w:rFonts w:hAnsi="宋体"/>
          <w:color w:val="000000" w:themeColor="text1"/>
          <w:highlight w:val="none"/>
          <w14:textFill>
            <w14:solidFill>
              <w14:schemeClr w14:val="tx1"/>
            </w14:solidFill>
          </w14:textFill>
        </w:rPr>
      </w:pPr>
    </w:p>
    <w:p w14:paraId="01E2BD9C">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0" w:name="_Toc200414517"/>
      <w:bookmarkStart w:id="311" w:name="_Toc469160787"/>
      <w:bookmarkStart w:id="312" w:name="_Toc28271"/>
      <w:r>
        <w:rPr>
          <w:rFonts w:hint="eastAsia" w:ascii="宋体" w:hAnsi="宋体"/>
          <w:color w:val="000000" w:themeColor="text1"/>
          <w:sz w:val="28"/>
          <w:szCs w:val="28"/>
          <w:highlight w:val="none"/>
          <w14:textFill>
            <w14:solidFill>
              <w14:schemeClr w14:val="tx1"/>
            </w14:solidFill>
          </w14:textFill>
        </w:rPr>
        <w:t>（三）法定代表人（负责人）授权书</w:t>
      </w:r>
      <w:bookmarkEnd w:id="310"/>
      <w:bookmarkEnd w:id="311"/>
      <w:bookmarkEnd w:id="312"/>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3" w:name="_Toc10828"/>
      <w:bookmarkStart w:id="314" w:name="_Toc6326"/>
      <w:bookmarkStart w:id="315" w:name="_Toc469160793"/>
      <w:bookmarkStart w:id="316"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13"/>
      <w:bookmarkEnd w:id="314"/>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15"/>
    <w:bookmarkEnd w:id="316"/>
    <w:p w14:paraId="3FFDBA84">
      <w:pPr>
        <w:pStyle w:val="4"/>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17" w:name="_Toc469160794"/>
      <w:bookmarkStart w:id="318" w:name="_Toc200414524"/>
      <w:bookmarkStart w:id="319" w:name="_Toc17293"/>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17"/>
      <w:bookmarkEnd w:id="318"/>
      <w:bookmarkEnd w:id="319"/>
    </w:p>
    <w:p w14:paraId="10AB46F2">
      <w:pPr>
        <w:pStyle w:val="4"/>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20" w:name="_Toc200414525"/>
      <w:bookmarkStart w:id="321" w:name="_Toc469160795"/>
      <w:bookmarkStart w:id="322" w:name="_Toc10930"/>
      <w:r>
        <w:rPr>
          <w:rFonts w:hint="eastAsia" w:ascii="宋体" w:hAnsi="宋体"/>
          <w:color w:val="000000" w:themeColor="text1"/>
          <w:sz w:val="28"/>
          <w:szCs w:val="28"/>
          <w:highlight w:val="none"/>
          <w14:textFill>
            <w14:solidFill>
              <w14:schemeClr w14:val="tx1"/>
            </w14:solidFill>
          </w14:textFill>
        </w:rPr>
        <w:t>附件一：磋商邀请函</w:t>
      </w:r>
      <w:bookmarkEnd w:id="320"/>
      <w:bookmarkEnd w:id="321"/>
      <w:bookmarkEnd w:id="322"/>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3" w:name="_Toc200414526"/>
      <w:bookmarkStart w:id="324" w:name="_Toc469160796"/>
      <w:bookmarkStart w:id="325" w:name="_Toc20536"/>
      <w:r>
        <w:rPr>
          <w:rFonts w:hint="eastAsia" w:ascii="宋体" w:hAnsi="宋体"/>
          <w:color w:val="000000" w:themeColor="text1"/>
          <w:sz w:val="28"/>
          <w:szCs w:val="28"/>
          <w:highlight w:val="none"/>
          <w14:textFill>
            <w14:solidFill>
              <w14:schemeClr w14:val="tx1"/>
            </w14:solidFill>
          </w14:textFill>
        </w:rPr>
        <w:t>附件二：第一次报价一览表</w:t>
      </w:r>
      <w:bookmarkEnd w:id="323"/>
      <w:bookmarkEnd w:id="324"/>
      <w:bookmarkEnd w:id="325"/>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YXCG-20261019</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2026年阳西县应急管理局森林防火物资采购项目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lang w:eastAsia="zh-CN"/>
                <w14:textFill>
                  <w14:solidFill>
                    <w14:schemeClr w14:val="tx1"/>
                  </w14:solidFill>
                </w14:textFill>
              </w:rPr>
              <w:t>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6" w:name="_Toc13241"/>
      <w:bookmarkStart w:id="327" w:name="_Toc200414527"/>
      <w:bookmarkStart w:id="328" w:name="_Toc11866826"/>
      <w:bookmarkStart w:id="329" w:name="_Toc469160797"/>
      <w:bookmarkStart w:id="330" w:name="_Toc469160798"/>
      <w:bookmarkStart w:id="331"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26"/>
      <w:bookmarkEnd w:id="327"/>
      <w:bookmarkEnd w:id="328"/>
      <w:bookmarkEnd w:id="329"/>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YXCG-20261019</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2026年阳西县应急管理局森林防火物资采购项目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color w:val="000000" w:themeColor="text1"/>
          <w:spacing w:val="10"/>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6969BF7">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2" w:name="_Toc7727"/>
      <w:r>
        <w:rPr>
          <w:rFonts w:hint="eastAsia" w:ascii="宋体" w:hAnsi="宋体"/>
          <w:color w:val="000000" w:themeColor="text1"/>
          <w:sz w:val="28"/>
          <w:szCs w:val="28"/>
          <w:highlight w:val="none"/>
          <w14:textFill>
            <w14:solidFill>
              <w14:schemeClr w14:val="tx1"/>
            </w14:solidFill>
          </w14:textFill>
        </w:rPr>
        <w:t>附件四：商务条款偏离一览表</w:t>
      </w:r>
      <w:bookmarkEnd w:id="330"/>
      <w:bookmarkEnd w:id="331"/>
      <w:bookmarkEnd w:id="332"/>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YXCG-20261019</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2026年阳西县应急管理局森林防火物资采购项目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3" w:name="_Toc469160799"/>
      <w:bookmarkStart w:id="334" w:name="_Toc200414529"/>
      <w:bookmarkStart w:id="335" w:name="_Toc11347"/>
      <w:r>
        <w:rPr>
          <w:rFonts w:hint="eastAsia" w:ascii="宋体" w:hAnsi="宋体"/>
          <w:color w:val="000000" w:themeColor="text1"/>
          <w:sz w:val="28"/>
          <w:szCs w:val="28"/>
          <w:highlight w:val="none"/>
          <w14:textFill>
            <w14:solidFill>
              <w14:schemeClr w14:val="tx1"/>
            </w14:solidFill>
          </w14:textFill>
        </w:rPr>
        <w:t>附件五：技术条款偏离一览表</w:t>
      </w:r>
      <w:bookmarkEnd w:id="333"/>
      <w:bookmarkEnd w:id="334"/>
      <w:bookmarkEnd w:id="335"/>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YXCG-20261019</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2026年阳西县应急管理局森林防火物资采购项目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6"/>
        <w:spacing w:line="360" w:lineRule="auto"/>
        <w:ind w:firstLine="0"/>
        <w:rPr>
          <w:rFonts w:hAnsi="宋体"/>
          <w:bCs/>
          <w:color w:val="000000" w:themeColor="text1"/>
          <w:szCs w:val="21"/>
          <w:highlight w:val="none"/>
          <w14:textFill>
            <w14:solidFill>
              <w14:schemeClr w14:val="tx1"/>
            </w14:solidFill>
          </w14:textFill>
        </w:rPr>
      </w:pPr>
    </w:p>
    <w:p w14:paraId="255171BC">
      <w:pPr>
        <w:pStyle w:val="4"/>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36" w:name="_Toc13312"/>
      <w:r>
        <w:rPr>
          <w:rFonts w:hint="eastAsia" w:ascii="宋体" w:hAnsi="宋体"/>
          <w:color w:val="000000" w:themeColor="text1"/>
          <w:sz w:val="28"/>
          <w:szCs w:val="28"/>
          <w:highlight w:val="none"/>
          <w14:textFill>
            <w14:solidFill>
              <w14:schemeClr w14:val="tx1"/>
            </w14:solidFill>
          </w14:textFill>
        </w:rPr>
        <w:t>附件六：同类业绩一览表</w:t>
      </w:r>
      <w:bookmarkEnd w:id="336"/>
    </w:p>
    <w:p w14:paraId="602CC240">
      <w:pPr>
        <w:pStyle w:val="6"/>
        <w:rPr>
          <w:color w:val="000000" w:themeColor="text1"/>
          <w:highlight w:val="none"/>
          <w14:textFill>
            <w14:solidFill>
              <w14:schemeClr w14:val="tx1"/>
            </w14:solidFill>
          </w14:textFill>
        </w:rPr>
      </w:pPr>
    </w:p>
    <w:p w14:paraId="5D7716F5">
      <w:pPr>
        <w:pStyle w:val="6"/>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YXCG-20261019</w:t>
      </w:r>
      <w:r>
        <w:rPr>
          <w:rFonts w:hint="eastAsia"/>
          <w:b/>
          <w:bCs/>
          <w:color w:val="000000" w:themeColor="text1"/>
          <w:sz w:val="21"/>
          <w:szCs w:val="21"/>
          <w:highlight w:val="none"/>
          <w14:textFill>
            <w14:solidFill>
              <w14:schemeClr w14:val="tx1"/>
            </w14:solidFill>
          </w14:textFill>
        </w:rPr>
        <w:t xml:space="preserve">  </w:t>
      </w:r>
    </w:p>
    <w:p w14:paraId="197AC7C7">
      <w:pPr>
        <w:pStyle w:val="6"/>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2026年阳西县应急管理局森林防火物资采购项目</w:t>
      </w:r>
    </w:p>
    <w:p w14:paraId="6CEF492B">
      <w:pPr>
        <w:pStyle w:val="6"/>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6"/>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6"/>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6"/>
        <w:ind w:firstLine="0"/>
        <w:rPr>
          <w:rFonts w:hAnsi="宋体"/>
          <w:bCs/>
          <w:color w:val="000000" w:themeColor="text1"/>
          <w:sz w:val="21"/>
          <w:highlight w:val="none"/>
          <w14:textFill>
            <w14:solidFill>
              <w14:schemeClr w14:val="tx1"/>
            </w14:solidFill>
          </w14:textFill>
        </w:rPr>
      </w:pPr>
    </w:p>
    <w:p w14:paraId="399DA58E">
      <w:pPr>
        <w:pStyle w:val="6"/>
        <w:ind w:firstLine="0"/>
        <w:rPr>
          <w:rFonts w:hAnsi="宋体"/>
          <w:bCs/>
          <w:color w:val="000000" w:themeColor="text1"/>
          <w:sz w:val="21"/>
          <w:highlight w:val="none"/>
          <w14:textFill>
            <w14:solidFill>
              <w14:schemeClr w14:val="tx1"/>
            </w14:solidFill>
          </w14:textFill>
        </w:rPr>
      </w:pPr>
    </w:p>
    <w:p w14:paraId="40A02A0C">
      <w:pPr>
        <w:pStyle w:val="6"/>
        <w:ind w:firstLine="0"/>
        <w:rPr>
          <w:rFonts w:hAnsi="宋体"/>
          <w:bCs/>
          <w:color w:val="000000" w:themeColor="text1"/>
          <w:sz w:val="21"/>
          <w:highlight w:val="none"/>
          <w14:textFill>
            <w14:solidFill>
              <w14:schemeClr w14:val="tx1"/>
            </w14:solidFill>
          </w14:textFill>
        </w:rPr>
      </w:pPr>
    </w:p>
    <w:p w14:paraId="24F44484">
      <w:pPr>
        <w:pStyle w:val="6"/>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6"/>
        <w:ind w:firstLine="0"/>
        <w:rPr>
          <w:rFonts w:hAnsi="宋体"/>
          <w:bCs/>
          <w:color w:val="000000" w:themeColor="text1"/>
          <w:sz w:val="21"/>
          <w:szCs w:val="21"/>
          <w:highlight w:val="none"/>
          <w14:textFill>
            <w14:solidFill>
              <w14:schemeClr w14:val="tx1"/>
            </w14:solidFill>
          </w14:textFill>
        </w:rPr>
      </w:pPr>
    </w:p>
    <w:p w14:paraId="047AE84B">
      <w:pPr>
        <w:pStyle w:val="6"/>
        <w:ind w:firstLine="0"/>
        <w:rPr>
          <w:rFonts w:hAnsi="宋体"/>
          <w:bCs/>
          <w:color w:val="000000" w:themeColor="text1"/>
          <w:sz w:val="21"/>
          <w:szCs w:val="21"/>
          <w:highlight w:val="none"/>
          <w14:textFill>
            <w14:solidFill>
              <w14:schemeClr w14:val="tx1"/>
            </w14:solidFill>
          </w14:textFill>
        </w:rPr>
      </w:pPr>
    </w:p>
    <w:p w14:paraId="6544857C">
      <w:pPr>
        <w:pStyle w:val="6"/>
        <w:ind w:firstLine="0"/>
        <w:rPr>
          <w:rFonts w:hAnsi="宋体"/>
          <w:bCs/>
          <w:color w:val="000000" w:themeColor="text1"/>
          <w:sz w:val="21"/>
          <w:szCs w:val="21"/>
          <w:highlight w:val="none"/>
          <w14:textFill>
            <w14:solidFill>
              <w14:schemeClr w14:val="tx1"/>
            </w14:solidFill>
          </w14:textFill>
        </w:rPr>
      </w:pPr>
    </w:p>
    <w:p w14:paraId="078C93EA">
      <w:pPr>
        <w:pStyle w:val="6"/>
        <w:ind w:firstLine="0"/>
        <w:rPr>
          <w:rFonts w:hAnsi="宋体"/>
          <w:bCs/>
          <w:color w:val="000000" w:themeColor="text1"/>
          <w:sz w:val="21"/>
          <w:szCs w:val="21"/>
          <w:highlight w:val="none"/>
          <w14:textFill>
            <w14:solidFill>
              <w14:schemeClr w14:val="tx1"/>
            </w14:solidFill>
          </w14:textFill>
        </w:rPr>
      </w:pPr>
    </w:p>
    <w:p w14:paraId="7BD8D16A">
      <w:pPr>
        <w:pStyle w:val="6"/>
        <w:ind w:firstLine="0"/>
        <w:rPr>
          <w:rFonts w:hAnsi="宋体"/>
          <w:bCs/>
          <w:color w:val="000000" w:themeColor="text1"/>
          <w:sz w:val="21"/>
          <w:szCs w:val="21"/>
          <w:highlight w:val="none"/>
          <w14:textFill>
            <w14:solidFill>
              <w14:schemeClr w14:val="tx1"/>
            </w14:solidFill>
          </w14:textFill>
        </w:rPr>
      </w:pPr>
    </w:p>
    <w:p w14:paraId="034FFE43">
      <w:pPr>
        <w:pStyle w:val="6"/>
        <w:ind w:firstLine="0"/>
        <w:rPr>
          <w:rFonts w:hAnsi="宋体"/>
          <w:bCs/>
          <w:color w:val="000000" w:themeColor="text1"/>
          <w:sz w:val="21"/>
          <w:szCs w:val="21"/>
          <w:highlight w:val="none"/>
          <w14:textFill>
            <w14:solidFill>
              <w14:schemeClr w14:val="tx1"/>
            </w14:solidFill>
          </w14:textFill>
        </w:rPr>
      </w:pPr>
    </w:p>
    <w:p w14:paraId="4C218C9E">
      <w:pPr>
        <w:pStyle w:val="6"/>
        <w:ind w:firstLine="0"/>
        <w:rPr>
          <w:rFonts w:hAnsi="宋体"/>
          <w:bCs/>
          <w:color w:val="000000" w:themeColor="text1"/>
          <w:sz w:val="21"/>
          <w:szCs w:val="21"/>
          <w:highlight w:val="none"/>
          <w14:textFill>
            <w14:solidFill>
              <w14:schemeClr w14:val="tx1"/>
            </w14:solidFill>
          </w14:textFill>
        </w:rPr>
      </w:pPr>
    </w:p>
    <w:p w14:paraId="6188D812">
      <w:pPr>
        <w:pStyle w:val="6"/>
        <w:ind w:firstLine="0"/>
        <w:rPr>
          <w:rFonts w:hAnsi="宋体"/>
          <w:bCs/>
          <w:color w:val="000000" w:themeColor="text1"/>
          <w:sz w:val="21"/>
          <w:szCs w:val="21"/>
          <w:highlight w:val="none"/>
          <w14:textFill>
            <w14:solidFill>
              <w14:schemeClr w14:val="tx1"/>
            </w14:solidFill>
          </w14:textFill>
        </w:rPr>
      </w:pPr>
    </w:p>
    <w:p w14:paraId="6D026E66">
      <w:pPr>
        <w:pStyle w:val="6"/>
        <w:ind w:firstLine="0"/>
        <w:rPr>
          <w:rFonts w:hAnsi="宋体"/>
          <w:bCs/>
          <w:color w:val="000000" w:themeColor="text1"/>
          <w:sz w:val="21"/>
          <w:szCs w:val="21"/>
          <w:highlight w:val="none"/>
          <w14:textFill>
            <w14:solidFill>
              <w14:schemeClr w14:val="tx1"/>
            </w14:solidFill>
          </w14:textFill>
        </w:rPr>
      </w:pPr>
    </w:p>
    <w:p w14:paraId="3363ADE9">
      <w:pPr>
        <w:pStyle w:val="6"/>
        <w:ind w:firstLine="0"/>
        <w:rPr>
          <w:rFonts w:hAnsi="宋体"/>
          <w:bCs/>
          <w:color w:val="000000" w:themeColor="text1"/>
          <w:sz w:val="21"/>
          <w:szCs w:val="21"/>
          <w:highlight w:val="none"/>
          <w14:textFill>
            <w14:solidFill>
              <w14:schemeClr w14:val="tx1"/>
            </w14:solidFill>
          </w14:textFill>
        </w:rPr>
      </w:pPr>
    </w:p>
    <w:p w14:paraId="347A6D47">
      <w:pPr>
        <w:pStyle w:val="4"/>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37" w:name="_Toc432682754"/>
      <w:bookmarkStart w:id="338" w:name="_Toc30361"/>
      <w:bookmarkStart w:id="339" w:name="_Toc432695229"/>
      <w:bookmarkStart w:id="340" w:name="_Toc7149"/>
      <w:bookmarkStart w:id="341" w:name="_Toc11866431"/>
      <w:bookmarkStart w:id="342" w:name="_Toc430771089"/>
      <w:bookmarkStart w:id="343" w:name="_Toc11866689"/>
      <w:bookmarkStart w:id="344" w:name="_Toc366072562"/>
      <w:bookmarkStart w:id="345" w:name="_Toc342398160"/>
      <w:bookmarkStart w:id="346" w:name="_Toc339441117"/>
      <w:bookmarkStart w:id="347" w:name="_Toc343247130"/>
      <w:bookmarkStart w:id="348" w:name="_Toc365985211"/>
      <w:bookmarkStart w:id="349" w:name="_Toc339020125"/>
      <w:bookmarkStart w:id="350" w:name="_Toc339362330"/>
      <w:bookmarkStart w:id="351" w:name="_Toc340677100"/>
      <w:bookmarkStart w:id="352" w:name="_Toc340507472"/>
      <w:bookmarkStart w:id="353" w:name="_Toc333935717"/>
      <w:bookmarkStart w:id="354" w:name="_Toc339019919"/>
      <w:bookmarkStart w:id="355" w:name="_Toc332270377"/>
      <w:bookmarkStart w:id="356" w:name="_Toc342060405"/>
      <w:bookmarkStart w:id="357" w:name="_Toc102451601"/>
      <w:bookmarkStart w:id="358" w:name="_Toc345312627"/>
      <w:bookmarkStart w:id="359" w:name="_Toc333935376"/>
      <w:bookmarkStart w:id="360" w:name="_Toc332206739"/>
      <w:bookmarkStart w:id="361" w:name="_Toc339020263"/>
      <w:bookmarkStart w:id="362" w:name="_Toc333237708"/>
      <w:bookmarkStart w:id="363" w:name="_Toc337632388"/>
      <w:bookmarkStart w:id="364" w:name="_Toc330460016"/>
      <w:bookmarkStart w:id="365" w:name="_Toc350756480"/>
      <w:bookmarkStart w:id="366" w:name="_Toc341348370"/>
      <w:bookmarkStart w:id="367" w:name="_Toc342312473"/>
      <w:bookmarkStart w:id="368" w:name="_Toc340672899"/>
      <w:bookmarkStart w:id="369" w:name="_Toc343612950"/>
      <w:bookmarkStart w:id="370" w:name="_Toc331512931"/>
      <w:bookmarkStart w:id="371" w:name="_Toc336681610"/>
      <w:bookmarkStart w:id="372" w:name="_Toc331684072"/>
      <w:bookmarkStart w:id="373" w:name="_Toc333237819"/>
      <w:bookmarkStart w:id="374" w:name="_Toc343248448"/>
      <w:bookmarkStart w:id="375" w:name="_Toc339020045"/>
      <w:bookmarkStart w:id="376" w:name="_Toc350438779"/>
      <w:bookmarkStart w:id="377" w:name="_Toc336681965"/>
      <w:bookmarkStart w:id="378" w:name="_Toc342296791"/>
      <w:bookmarkStart w:id="379" w:name="_Toc365967105"/>
      <w:bookmarkStart w:id="380" w:name="_Toc333238664"/>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37"/>
      <w:bookmarkEnd w:id="338"/>
      <w:bookmarkEnd w:id="339"/>
      <w:bookmarkEnd w:id="340"/>
      <w:bookmarkEnd w:id="341"/>
      <w:bookmarkEnd w:id="342"/>
      <w:bookmarkEnd w:id="343"/>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6"/>
        <w:rPr>
          <w:color w:val="000000" w:themeColor="text1"/>
          <w:highlight w:val="none"/>
          <w14:textFill>
            <w14:solidFill>
              <w14:schemeClr w14:val="tx1"/>
            </w14:solidFill>
          </w14:textFill>
        </w:rPr>
      </w:pPr>
    </w:p>
    <w:p w14:paraId="4339F613">
      <w:pPr>
        <w:pStyle w:val="6"/>
        <w:rPr>
          <w:color w:val="000000" w:themeColor="text1"/>
          <w:highlight w:val="none"/>
          <w14:textFill>
            <w14:solidFill>
              <w14:schemeClr w14:val="tx1"/>
            </w14:solidFill>
          </w14:textFill>
        </w:rPr>
      </w:pPr>
    </w:p>
    <w:p w14:paraId="623D494F">
      <w:pPr>
        <w:pStyle w:val="6"/>
        <w:rPr>
          <w:color w:val="000000" w:themeColor="text1"/>
          <w:highlight w:val="none"/>
          <w14:textFill>
            <w14:solidFill>
              <w14:schemeClr w14:val="tx1"/>
            </w14:solidFill>
          </w14:textFill>
        </w:rPr>
      </w:pPr>
    </w:p>
    <w:p w14:paraId="660D4435">
      <w:pPr>
        <w:pStyle w:val="6"/>
        <w:rPr>
          <w:color w:val="000000" w:themeColor="text1"/>
          <w:highlight w:val="none"/>
          <w14:textFill>
            <w14:solidFill>
              <w14:schemeClr w14:val="tx1"/>
            </w14:solidFill>
          </w14:textFill>
        </w:rPr>
      </w:pPr>
    </w:p>
    <w:p w14:paraId="7BD91E88">
      <w:pPr>
        <w:pStyle w:val="6"/>
        <w:rPr>
          <w:color w:val="000000" w:themeColor="text1"/>
          <w:highlight w:val="none"/>
          <w14:textFill>
            <w14:solidFill>
              <w14:schemeClr w14:val="tx1"/>
            </w14:solidFill>
          </w14:textFill>
        </w:rPr>
      </w:pPr>
    </w:p>
    <w:p w14:paraId="7F037A92">
      <w:pPr>
        <w:pStyle w:val="6"/>
        <w:ind w:firstLine="0"/>
        <w:rPr>
          <w:color w:val="000000" w:themeColor="text1"/>
          <w:highlight w:val="none"/>
          <w14:textFill>
            <w14:solidFill>
              <w14:schemeClr w14:val="tx1"/>
            </w14:solidFill>
          </w14:textFill>
        </w:rPr>
      </w:pPr>
    </w:p>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14:paraId="2BA4F382">
      <w:pPr>
        <w:pStyle w:val="4"/>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81" w:name="_Toc11866432"/>
      <w:bookmarkStart w:id="382" w:name="_Toc11866690"/>
      <w:bookmarkStart w:id="383" w:name="_Toc4642"/>
      <w:bookmarkStart w:id="384" w:name="_Toc32373"/>
      <w:bookmarkStart w:id="385" w:name="_Toc20242"/>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81"/>
      <w:bookmarkEnd w:id="382"/>
      <w:bookmarkEnd w:id="383"/>
      <w:bookmarkEnd w:id="384"/>
      <w:bookmarkEnd w:id="385"/>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6"/>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6" w:name="_Toc1271"/>
      <w:bookmarkStart w:id="387" w:name="_Toc200414534"/>
      <w:bookmarkStart w:id="388" w:name="_Toc469160804"/>
      <w:r>
        <w:rPr>
          <w:rFonts w:hint="eastAsia" w:ascii="宋体" w:hAnsi="宋体"/>
          <w:color w:val="000000" w:themeColor="text1"/>
          <w:sz w:val="28"/>
          <w:szCs w:val="28"/>
          <w:highlight w:val="none"/>
          <w14:textFill>
            <w14:solidFill>
              <w14:schemeClr w14:val="tx1"/>
            </w14:solidFill>
          </w14:textFill>
        </w:rPr>
        <w:t>附件九：成交服务费承诺</w:t>
      </w:r>
      <w:bookmarkEnd w:id="386"/>
      <w:bookmarkEnd w:id="387"/>
      <w:bookmarkEnd w:id="388"/>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9" w:name="_Toc469160805"/>
      <w:bookmarkStart w:id="390" w:name="_Toc200414535"/>
      <w:bookmarkStart w:id="391" w:name="_Toc19928"/>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89"/>
      <w:bookmarkEnd w:id="390"/>
      <w:bookmarkEnd w:id="391"/>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YXCG-20261019</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2026年阳西县应急管理局森林防火物资采购项目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6"/>
        <w:spacing w:line="360" w:lineRule="auto"/>
        <w:rPr>
          <w:rFonts w:hAnsi="宋体"/>
          <w:color w:val="000000" w:themeColor="text1"/>
          <w:sz w:val="21"/>
          <w:szCs w:val="21"/>
          <w:highlight w:val="none"/>
          <w14:textFill>
            <w14:solidFill>
              <w14:schemeClr w14:val="tx1"/>
            </w14:solidFill>
          </w14:textFill>
        </w:rPr>
      </w:pPr>
    </w:p>
    <w:p w14:paraId="70212FCB">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6"/>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6"/>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92"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6"/>
        <w:ind w:firstLine="0"/>
        <w:rPr>
          <w:rFonts w:hAnsi="宋体"/>
          <w:color w:val="000000" w:themeColor="text1"/>
          <w:highlight w:val="none"/>
          <w14:textFill>
            <w14:solidFill>
              <w14:schemeClr w14:val="tx1"/>
            </w14:solidFill>
          </w14:textFill>
        </w:rPr>
      </w:pPr>
    </w:p>
    <w:p w14:paraId="134A7F18">
      <w:pPr>
        <w:pStyle w:val="6"/>
        <w:ind w:firstLine="0"/>
        <w:rPr>
          <w:rFonts w:hAnsi="宋体"/>
          <w:color w:val="000000" w:themeColor="text1"/>
          <w:highlight w:val="none"/>
          <w14:textFill>
            <w14:solidFill>
              <w14:schemeClr w14:val="tx1"/>
            </w14:solidFill>
          </w14:textFill>
        </w:rPr>
      </w:pPr>
    </w:p>
    <w:p w14:paraId="36604F21">
      <w:pPr>
        <w:pStyle w:val="6"/>
        <w:ind w:firstLine="0"/>
        <w:rPr>
          <w:rFonts w:hAnsi="宋体"/>
          <w:color w:val="000000" w:themeColor="text1"/>
          <w:highlight w:val="none"/>
          <w14:textFill>
            <w14:solidFill>
              <w14:schemeClr w14:val="tx1"/>
            </w14:solidFill>
          </w14:textFill>
        </w:rPr>
      </w:pPr>
    </w:p>
    <w:p w14:paraId="7D36E885">
      <w:pPr>
        <w:pStyle w:val="6"/>
        <w:ind w:firstLine="0"/>
        <w:rPr>
          <w:rFonts w:hAnsi="宋体"/>
          <w:color w:val="000000" w:themeColor="text1"/>
          <w:highlight w:val="none"/>
          <w14:textFill>
            <w14:solidFill>
              <w14:schemeClr w14:val="tx1"/>
            </w14:solidFill>
          </w14:textFill>
        </w:rPr>
      </w:pPr>
    </w:p>
    <w:p w14:paraId="716857A4">
      <w:pPr>
        <w:pStyle w:val="6"/>
        <w:ind w:firstLine="0"/>
        <w:rPr>
          <w:rFonts w:hAnsi="宋体"/>
          <w:color w:val="000000" w:themeColor="text1"/>
          <w:highlight w:val="none"/>
          <w14:textFill>
            <w14:solidFill>
              <w14:schemeClr w14:val="tx1"/>
            </w14:solidFill>
          </w14:textFill>
        </w:rPr>
      </w:pPr>
    </w:p>
    <w:p w14:paraId="5C7E5D7C">
      <w:pPr>
        <w:pStyle w:val="6"/>
        <w:ind w:firstLine="0"/>
        <w:rPr>
          <w:rFonts w:hAnsi="宋体"/>
          <w:color w:val="000000" w:themeColor="text1"/>
          <w:highlight w:val="none"/>
          <w14:textFill>
            <w14:solidFill>
              <w14:schemeClr w14:val="tx1"/>
            </w14:solidFill>
          </w14:textFill>
        </w:rPr>
      </w:pPr>
    </w:p>
    <w:p w14:paraId="24452D6E">
      <w:pPr>
        <w:pStyle w:val="6"/>
        <w:ind w:firstLine="0"/>
        <w:rPr>
          <w:rFonts w:hAnsi="宋体"/>
          <w:color w:val="000000" w:themeColor="text1"/>
          <w:highlight w:val="none"/>
          <w14:textFill>
            <w14:solidFill>
              <w14:schemeClr w14:val="tx1"/>
            </w14:solidFill>
          </w14:textFill>
        </w:rPr>
      </w:pPr>
    </w:p>
    <w:p w14:paraId="7192BAB5">
      <w:pPr>
        <w:pStyle w:val="6"/>
        <w:ind w:firstLine="0"/>
        <w:rPr>
          <w:rFonts w:hAnsi="宋体"/>
          <w:color w:val="000000" w:themeColor="text1"/>
          <w:highlight w:val="none"/>
          <w14:textFill>
            <w14:solidFill>
              <w14:schemeClr w14:val="tx1"/>
            </w14:solidFill>
          </w14:textFill>
        </w:rPr>
      </w:pPr>
    </w:p>
    <w:p w14:paraId="6630DE67">
      <w:pPr>
        <w:pStyle w:val="6"/>
        <w:ind w:firstLine="0"/>
        <w:rPr>
          <w:rFonts w:hAnsi="宋体"/>
          <w:color w:val="000000" w:themeColor="text1"/>
          <w:highlight w:val="none"/>
          <w14:textFill>
            <w14:solidFill>
              <w14:schemeClr w14:val="tx1"/>
            </w14:solidFill>
          </w14:textFill>
        </w:rPr>
      </w:pPr>
    </w:p>
    <w:p w14:paraId="23A82868">
      <w:pPr>
        <w:pStyle w:val="4"/>
        <w:numPr>
          <w:ilvl w:val="1"/>
          <w:numId w:val="0"/>
        </w:numPr>
        <w:spacing w:line="360" w:lineRule="auto"/>
        <w:rPr>
          <w:rFonts w:ascii="宋体" w:hAnsi="宋体"/>
          <w:color w:val="000000" w:themeColor="text1"/>
          <w:sz w:val="52"/>
          <w:highlight w:val="none"/>
          <w14:textFill>
            <w14:solidFill>
              <w14:schemeClr w14:val="tx1"/>
            </w14:solidFill>
          </w14:textFill>
        </w:rPr>
      </w:pPr>
      <w:bookmarkStart w:id="393" w:name="_Toc469160806"/>
      <w:bookmarkStart w:id="394" w:name="_Toc31243"/>
      <w:r>
        <w:rPr>
          <w:rFonts w:hint="eastAsia" w:ascii="宋体" w:hAnsi="宋体"/>
          <w:color w:val="000000" w:themeColor="text1"/>
          <w:sz w:val="52"/>
          <w:highlight w:val="none"/>
          <w14:textFill>
            <w14:solidFill>
              <w14:schemeClr w14:val="tx1"/>
            </w14:solidFill>
          </w14:textFill>
        </w:rPr>
        <w:t>其 他 格 式</w:t>
      </w:r>
      <w:bookmarkEnd w:id="392"/>
      <w:bookmarkEnd w:id="393"/>
      <w:bookmarkEnd w:id="394"/>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0468A710">
      <w:pP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5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1F00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E60A9C"/>
    <w:rsid w:val="00F72CA9"/>
    <w:rsid w:val="02053A9A"/>
    <w:rsid w:val="020B6E95"/>
    <w:rsid w:val="023575E5"/>
    <w:rsid w:val="03095929"/>
    <w:rsid w:val="04767BB5"/>
    <w:rsid w:val="04A54C2A"/>
    <w:rsid w:val="04C72734"/>
    <w:rsid w:val="054902A3"/>
    <w:rsid w:val="06125662"/>
    <w:rsid w:val="063337CF"/>
    <w:rsid w:val="066223B2"/>
    <w:rsid w:val="068943A3"/>
    <w:rsid w:val="069468A4"/>
    <w:rsid w:val="077870CF"/>
    <w:rsid w:val="07C02B8E"/>
    <w:rsid w:val="086A7949"/>
    <w:rsid w:val="095E0DDF"/>
    <w:rsid w:val="096B0965"/>
    <w:rsid w:val="09C552BB"/>
    <w:rsid w:val="09E97E6D"/>
    <w:rsid w:val="0A58524C"/>
    <w:rsid w:val="0AE75B3C"/>
    <w:rsid w:val="0BB244DE"/>
    <w:rsid w:val="0C6E02C3"/>
    <w:rsid w:val="0E721BC1"/>
    <w:rsid w:val="0EE54141"/>
    <w:rsid w:val="0F137EBA"/>
    <w:rsid w:val="0F2509E1"/>
    <w:rsid w:val="0F696B20"/>
    <w:rsid w:val="0FCB1589"/>
    <w:rsid w:val="10167589"/>
    <w:rsid w:val="10192FF7"/>
    <w:rsid w:val="102B3FF9"/>
    <w:rsid w:val="10881228"/>
    <w:rsid w:val="108C05DF"/>
    <w:rsid w:val="10D0384E"/>
    <w:rsid w:val="12802304"/>
    <w:rsid w:val="13166FBF"/>
    <w:rsid w:val="13553E48"/>
    <w:rsid w:val="1356560D"/>
    <w:rsid w:val="13D82E31"/>
    <w:rsid w:val="14342437"/>
    <w:rsid w:val="15252698"/>
    <w:rsid w:val="157475C7"/>
    <w:rsid w:val="15B30AF5"/>
    <w:rsid w:val="1695469E"/>
    <w:rsid w:val="16AF39B2"/>
    <w:rsid w:val="180E5847"/>
    <w:rsid w:val="18A1707D"/>
    <w:rsid w:val="18B0756E"/>
    <w:rsid w:val="193C2121"/>
    <w:rsid w:val="1A0F0E51"/>
    <w:rsid w:val="1A613178"/>
    <w:rsid w:val="1A930EF5"/>
    <w:rsid w:val="1B087B35"/>
    <w:rsid w:val="1D012A8E"/>
    <w:rsid w:val="1DBF202C"/>
    <w:rsid w:val="1E221F5D"/>
    <w:rsid w:val="1E6663E7"/>
    <w:rsid w:val="1F071EB1"/>
    <w:rsid w:val="1F100D66"/>
    <w:rsid w:val="1FA3658C"/>
    <w:rsid w:val="20980330"/>
    <w:rsid w:val="217D46AD"/>
    <w:rsid w:val="23610733"/>
    <w:rsid w:val="23A86B89"/>
    <w:rsid w:val="24252217"/>
    <w:rsid w:val="24AB115E"/>
    <w:rsid w:val="24F66C50"/>
    <w:rsid w:val="26AF70B6"/>
    <w:rsid w:val="26B26BA7"/>
    <w:rsid w:val="27E44D70"/>
    <w:rsid w:val="28823125"/>
    <w:rsid w:val="28995944"/>
    <w:rsid w:val="29A8300E"/>
    <w:rsid w:val="29AE3098"/>
    <w:rsid w:val="2A9C3593"/>
    <w:rsid w:val="2B45623B"/>
    <w:rsid w:val="2BB46F1D"/>
    <w:rsid w:val="2BB60730"/>
    <w:rsid w:val="2C293467"/>
    <w:rsid w:val="2CD517FF"/>
    <w:rsid w:val="2D7B4E27"/>
    <w:rsid w:val="2F23729E"/>
    <w:rsid w:val="2F2C6B99"/>
    <w:rsid w:val="2FDA21D2"/>
    <w:rsid w:val="30744ECD"/>
    <w:rsid w:val="312F6347"/>
    <w:rsid w:val="320504D2"/>
    <w:rsid w:val="322C3CB1"/>
    <w:rsid w:val="34D779B9"/>
    <w:rsid w:val="358D36C3"/>
    <w:rsid w:val="359465A1"/>
    <w:rsid w:val="35CF148F"/>
    <w:rsid w:val="366C6D34"/>
    <w:rsid w:val="36B174C5"/>
    <w:rsid w:val="36B44275"/>
    <w:rsid w:val="380642BC"/>
    <w:rsid w:val="38293998"/>
    <w:rsid w:val="386C12AB"/>
    <w:rsid w:val="38724F5E"/>
    <w:rsid w:val="391761E1"/>
    <w:rsid w:val="39565AB7"/>
    <w:rsid w:val="396E2E01"/>
    <w:rsid w:val="39AE31FE"/>
    <w:rsid w:val="39C42A21"/>
    <w:rsid w:val="39EF3F42"/>
    <w:rsid w:val="3A9E14C4"/>
    <w:rsid w:val="3C033575"/>
    <w:rsid w:val="3C1231E8"/>
    <w:rsid w:val="3C7921E9"/>
    <w:rsid w:val="3CFF7D00"/>
    <w:rsid w:val="3D115F7D"/>
    <w:rsid w:val="3E32264F"/>
    <w:rsid w:val="3EE819BF"/>
    <w:rsid w:val="404F5864"/>
    <w:rsid w:val="411D2B3D"/>
    <w:rsid w:val="419B7FB5"/>
    <w:rsid w:val="43EF0FE2"/>
    <w:rsid w:val="43FE4D82"/>
    <w:rsid w:val="4439400C"/>
    <w:rsid w:val="453D009D"/>
    <w:rsid w:val="4587602A"/>
    <w:rsid w:val="45A162E7"/>
    <w:rsid w:val="470703F1"/>
    <w:rsid w:val="47ED5839"/>
    <w:rsid w:val="48B03F8E"/>
    <w:rsid w:val="4963480B"/>
    <w:rsid w:val="4AB12B4E"/>
    <w:rsid w:val="4B1C090F"/>
    <w:rsid w:val="4C2A7812"/>
    <w:rsid w:val="4D0725AE"/>
    <w:rsid w:val="4DAC795F"/>
    <w:rsid w:val="4E2E121F"/>
    <w:rsid w:val="4F2953A8"/>
    <w:rsid w:val="4F473A81"/>
    <w:rsid w:val="4F701229"/>
    <w:rsid w:val="4F8B6063"/>
    <w:rsid w:val="4FAC2F50"/>
    <w:rsid w:val="5067593F"/>
    <w:rsid w:val="50B96C00"/>
    <w:rsid w:val="50F87728"/>
    <w:rsid w:val="51FC3386"/>
    <w:rsid w:val="5207242D"/>
    <w:rsid w:val="52BC6534"/>
    <w:rsid w:val="54684F5D"/>
    <w:rsid w:val="54822874"/>
    <w:rsid w:val="555E7D76"/>
    <w:rsid w:val="56C40339"/>
    <w:rsid w:val="579220F1"/>
    <w:rsid w:val="58240E03"/>
    <w:rsid w:val="591B097C"/>
    <w:rsid w:val="59701E26"/>
    <w:rsid w:val="5A7D082D"/>
    <w:rsid w:val="5AC84A5B"/>
    <w:rsid w:val="5AFB7E85"/>
    <w:rsid w:val="5AFE3B8D"/>
    <w:rsid w:val="5B0D4F5D"/>
    <w:rsid w:val="5C50666A"/>
    <w:rsid w:val="5CF608FA"/>
    <w:rsid w:val="5D6A375C"/>
    <w:rsid w:val="5D77652A"/>
    <w:rsid w:val="5E7D301B"/>
    <w:rsid w:val="5EC96260"/>
    <w:rsid w:val="60164D1C"/>
    <w:rsid w:val="60343BAD"/>
    <w:rsid w:val="6162299C"/>
    <w:rsid w:val="632A551A"/>
    <w:rsid w:val="636656D8"/>
    <w:rsid w:val="63E72B79"/>
    <w:rsid w:val="646D002F"/>
    <w:rsid w:val="66AC1FFE"/>
    <w:rsid w:val="672725AD"/>
    <w:rsid w:val="67F75E32"/>
    <w:rsid w:val="690F11C8"/>
    <w:rsid w:val="69855479"/>
    <w:rsid w:val="69951B60"/>
    <w:rsid w:val="69E228CC"/>
    <w:rsid w:val="6A676DD1"/>
    <w:rsid w:val="6A9F256B"/>
    <w:rsid w:val="6AD2649C"/>
    <w:rsid w:val="6ADF0BB9"/>
    <w:rsid w:val="6B162344"/>
    <w:rsid w:val="6BEC5086"/>
    <w:rsid w:val="6C3E1EE4"/>
    <w:rsid w:val="6C74396D"/>
    <w:rsid w:val="6CCA1A1F"/>
    <w:rsid w:val="6CCE7137"/>
    <w:rsid w:val="6CF50B68"/>
    <w:rsid w:val="6D0B7021"/>
    <w:rsid w:val="6E5D5FC9"/>
    <w:rsid w:val="6EED7D49"/>
    <w:rsid w:val="6EEF37F3"/>
    <w:rsid w:val="6F0A7AD5"/>
    <w:rsid w:val="6F307C36"/>
    <w:rsid w:val="6FC94B10"/>
    <w:rsid w:val="6FE075B7"/>
    <w:rsid w:val="70053526"/>
    <w:rsid w:val="70860455"/>
    <w:rsid w:val="70A4396D"/>
    <w:rsid w:val="70CC1D41"/>
    <w:rsid w:val="70F84783"/>
    <w:rsid w:val="725D4A5B"/>
    <w:rsid w:val="72BB36CB"/>
    <w:rsid w:val="7358775B"/>
    <w:rsid w:val="73C13552"/>
    <w:rsid w:val="73EF79C3"/>
    <w:rsid w:val="74475895"/>
    <w:rsid w:val="74A76FFB"/>
    <w:rsid w:val="74F370D9"/>
    <w:rsid w:val="757C5983"/>
    <w:rsid w:val="75C261F3"/>
    <w:rsid w:val="76746C01"/>
    <w:rsid w:val="769570A7"/>
    <w:rsid w:val="781C4B8B"/>
    <w:rsid w:val="799D0E6E"/>
    <w:rsid w:val="79D35D8D"/>
    <w:rsid w:val="7A8763A1"/>
    <w:rsid w:val="7ACB715C"/>
    <w:rsid w:val="7B2B4440"/>
    <w:rsid w:val="7B364826"/>
    <w:rsid w:val="7B66335D"/>
    <w:rsid w:val="7B711E4D"/>
    <w:rsid w:val="7BB816DF"/>
    <w:rsid w:val="7BD858DD"/>
    <w:rsid w:val="7BE95D3C"/>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5">
    <w:name w:val="heading 3"/>
    <w:basedOn w:val="1"/>
    <w:next w:val="6"/>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4"/>
    <w:basedOn w:val="1"/>
    <w:next w:val="6"/>
    <w:link w:val="66"/>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6"/>
    <w:link w:val="151"/>
    <w:qFormat/>
    <w:uiPriority w:val="0"/>
    <w:pPr>
      <w:keepNext/>
      <w:keepLines/>
      <w:spacing w:before="280" w:after="290" w:line="376" w:lineRule="auto"/>
      <w:outlineLvl w:val="4"/>
    </w:pPr>
    <w:rPr>
      <w:b/>
      <w:sz w:val="28"/>
      <w:szCs w:val="20"/>
    </w:rPr>
  </w:style>
  <w:style w:type="paragraph" w:styleId="9">
    <w:name w:val="heading 6"/>
    <w:basedOn w:val="1"/>
    <w:next w:val="6"/>
    <w:link w:val="116"/>
    <w:qFormat/>
    <w:uiPriority w:val="0"/>
    <w:pPr>
      <w:keepNext/>
      <w:keepLines/>
      <w:spacing w:before="240" w:after="64" w:line="320" w:lineRule="auto"/>
      <w:outlineLvl w:val="5"/>
    </w:pPr>
    <w:rPr>
      <w:rFonts w:ascii="Arial" w:hAnsi="Arial" w:eastAsia="黑体"/>
      <w:b/>
      <w:bCs/>
      <w:sz w:val="24"/>
    </w:rPr>
  </w:style>
  <w:style w:type="paragraph" w:styleId="10">
    <w:name w:val="heading 7"/>
    <w:basedOn w:val="1"/>
    <w:next w:val="6"/>
    <w:link w:val="144"/>
    <w:qFormat/>
    <w:uiPriority w:val="0"/>
    <w:pPr>
      <w:keepNext/>
      <w:keepLines/>
      <w:spacing w:before="240" w:after="64" w:line="320" w:lineRule="auto"/>
      <w:outlineLvl w:val="6"/>
    </w:pPr>
    <w:rPr>
      <w:b/>
      <w:bCs/>
      <w:sz w:val="24"/>
    </w:rPr>
  </w:style>
  <w:style w:type="paragraph" w:styleId="11">
    <w:name w:val="heading 8"/>
    <w:basedOn w:val="1"/>
    <w:next w:val="6"/>
    <w:link w:val="124"/>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6"/>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7"/>
    <w:qFormat/>
    <w:uiPriority w:val="0"/>
    <w:pPr>
      <w:spacing w:after="120"/>
    </w:pPr>
  </w:style>
  <w:style w:type="paragraph" w:styleId="6">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3">
    <w:name w:val="toc 7"/>
    <w:basedOn w:val="1"/>
    <w:next w:val="1"/>
    <w:qFormat/>
    <w:uiPriority w:val="0"/>
    <w:pPr>
      <w:ind w:left="1200" w:leftChars="1200"/>
    </w:pPr>
    <w:rPr>
      <w:rFonts w:ascii="Calibri" w:hAnsi="Calibri"/>
      <w:szCs w:val="22"/>
    </w:rPr>
  </w:style>
  <w:style w:type="paragraph" w:styleId="14">
    <w:name w:val="caption"/>
    <w:basedOn w:val="1"/>
    <w:next w:val="1"/>
    <w:link w:val="123"/>
    <w:qFormat/>
    <w:uiPriority w:val="0"/>
    <w:pPr>
      <w:spacing w:line="360" w:lineRule="auto"/>
    </w:pPr>
    <w:rPr>
      <w:rFonts w:ascii="Arial" w:hAnsi="Arial" w:eastAsia="黑体"/>
      <w:sz w:val="20"/>
      <w:szCs w:val="20"/>
    </w:rPr>
  </w:style>
  <w:style w:type="paragraph" w:styleId="15">
    <w:name w:val="index 5"/>
    <w:basedOn w:val="1"/>
    <w:next w:val="1"/>
    <w:qFormat/>
    <w:uiPriority w:val="0"/>
    <w:pPr>
      <w:ind w:left="1680"/>
    </w:pPr>
  </w:style>
  <w:style w:type="paragraph" w:styleId="16">
    <w:name w:val="List Bullet"/>
    <w:basedOn w:val="1"/>
    <w:qFormat/>
    <w:uiPriority w:val="0"/>
    <w:pPr>
      <w:tabs>
        <w:tab w:val="left" w:pos="360"/>
        <w:tab w:val="left" w:pos="1320"/>
      </w:tabs>
      <w:spacing w:line="360" w:lineRule="auto"/>
      <w:ind w:left="1320" w:hanging="420"/>
    </w:pPr>
    <w:rPr>
      <w:sz w:val="24"/>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pPr>
    <w:rPr>
      <w:rFonts w:ascii="Arial" w:hAnsi="Arial"/>
      <w:sz w:val="24"/>
      <w:szCs w:val="20"/>
    </w:rPr>
  </w:style>
  <w:style w:type="paragraph" w:styleId="19">
    <w:name w:val="annotation text"/>
    <w:basedOn w:val="1"/>
    <w:link w:val="73"/>
    <w:qFormat/>
    <w:uiPriority w:val="0"/>
    <w:pPr>
      <w:spacing w:line="360" w:lineRule="auto"/>
      <w:jc w:val="left"/>
    </w:pPr>
    <w:rPr>
      <w:szCs w:val="20"/>
    </w:rPr>
  </w:style>
  <w:style w:type="paragraph" w:styleId="20">
    <w:name w:val="Body Text 3"/>
    <w:basedOn w:val="1"/>
    <w:link w:val="81"/>
    <w:qFormat/>
    <w:uiPriority w:val="0"/>
    <w:pPr>
      <w:spacing w:after="120"/>
    </w:pPr>
    <w:rPr>
      <w:sz w:val="16"/>
      <w:szCs w:val="16"/>
    </w:r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5"/>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9"/>
    <w:next w:val="19"/>
    <w:link w:val="130"/>
    <w:qFormat/>
    <w:uiPriority w:val="0"/>
    <w:pPr>
      <w:spacing w:line="240" w:lineRule="auto"/>
    </w:pPr>
    <w:rPr>
      <w:b/>
      <w:bCs/>
      <w:szCs w:val="24"/>
    </w:rPr>
  </w:style>
  <w:style w:type="paragraph" w:styleId="50">
    <w:name w:val="Body Text First Indent"/>
    <w:basedOn w:val="2"/>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7"/>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7"/>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9"/>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20"/>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4"/>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5"/>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
    <w:qFormat/>
    <w:uiPriority w:val="0"/>
    <w:rPr>
      <w:rFonts w:eastAsia="宋体"/>
      <w:kern w:val="2"/>
      <w:sz w:val="21"/>
      <w:szCs w:val="24"/>
      <w:lang w:val="en-US" w:eastAsia="zh-CN" w:bidi="ar-SA"/>
    </w:rPr>
  </w:style>
  <w:style w:type="character" w:customStyle="1" w:styleId="98">
    <w:name w:val="标题 9 Char"/>
    <w:link w:val="12"/>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9"/>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4"/>
    <w:qFormat/>
    <w:uiPriority w:val="0"/>
    <w:rPr>
      <w:rFonts w:ascii="Arial" w:hAnsi="Arial" w:eastAsia="黑体" w:cs="Arial"/>
      <w:kern w:val="2"/>
    </w:rPr>
  </w:style>
  <w:style w:type="character" w:customStyle="1" w:styleId="124">
    <w:name w:val="标题 8 Char"/>
    <w:link w:val="11"/>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6"/>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10"/>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6"/>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8"/>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3"/>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7"/>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7"/>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4"/>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8"/>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4"/>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3"/>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5"/>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3"/>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4"/>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9"/>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6"/>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5"/>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54</Pages>
  <Words>7006</Words>
  <Characters>7497</Characters>
  <Lines>267</Lines>
  <Paragraphs>75</Paragraphs>
  <TotalTime>2</TotalTime>
  <ScaleCrop>false</ScaleCrop>
  <LinksUpToDate>false</LinksUpToDate>
  <CharactersWithSpaces>7848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2026-08-26T00:47:00Z</cp:lastPrinted>
  <dcterms:modified xsi:type="dcterms:W3CDTF">2026-10-21T08:38:09Z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EA4350270A0142A4BEE66FE2D287338E_13</vt:lpwstr>
  </property>
  <property fmtid="{D5CDD505-2E9C-101B-9397-08002B2CF9AE}" pid="4" name="KSOTemplateDocerSaveRecord">
    <vt:lpwstr>eyJoZGlkIjoiNjRhODA0MGJlYjkwYzhjNWY3NDVmZDZhNTM4ODVlZmIiLCJ1c2VySWQiOiIxMjQyMTU1ODkifQ==</vt:lpwstr>
  </property>
</Properties>
</file>