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widowControl/>
        <w:adjustRightInd w:val="0"/>
        <w:snapToGrid w:val="0"/>
        <w:spacing w:line="360" w:lineRule="auto"/>
        <w:rPr>
          <w:rFonts w:ascii="黑体" w:eastAsia="黑体"/>
          <w:bCs/>
          <w:color w:val="000000" w:themeColor="text1"/>
          <w:sz w:val="32"/>
          <w:highlight w:val="none"/>
        </w:rPr>
      </w:pPr>
      <w:bookmarkStart w:id="0" w:name="_Toc491658631"/>
    </w:p>
    <w:p>
      <w:pPr>
        <w:pStyle w:val="24"/>
        <w:widowControl/>
        <w:adjustRightInd w:val="0"/>
        <w:snapToGrid w:val="0"/>
        <w:spacing w:line="360" w:lineRule="auto"/>
        <w:jc w:val="left"/>
        <w:rPr>
          <w:rFonts w:ascii="黑体" w:eastAsia="黑体"/>
          <w:bCs/>
          <w:color w:val="000000" w:themeColor="text1"/>
          <w:sz w:val="32"/>
          <w:highlight w:val="none"/>
        </w:rPr>
      </w:pPr>
      <w:r>
        <w:rPr>
          <w:rFonts w:hint="eastAsia" w:ascii="黑体" w:eastAsia="黑体"/>
          <w:bCs/>
          <w:color w:val="000000" w:themeColor="text1"/>
          <w:sz w:val="32"/>
          <w:highlight w:val="none"/>
          <w:lang w:eastAsia="zh-CN"/>
        </w:rPr>
        <w:drawing>
          <wp:inline distT="0" distB="0" distL="114300" distR="114300">
            <wp:extent cx="2265680" cy="400685"/>
            <wp:effectExtent l="0" t="0" r="7620" b="5715"/>
            <wp:docPr id="1" name="图片 1" descr="9ab4214d2ec0bcba5c242ec32d42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b4214d2ec0bcba5c242ec32d4224a"/>
                    <pic:cNvPicPr>
                      <a:picLocks noChangeAspect="1"/>
                    </pic:cNvPicPr>
                  </pic:nvPicPr>
                  <pic:blipFill>
                    <a:blip r:embed="rId16"/>
                    <a:stretch>
                      <a:fillRect/>
                    </a:stretch>
                  </pic:blipFill>
                  <pic:spPr>
                    <a:xfrm>
                      <a:off x="0" y="0"/>
                      <a:ext cx="2265680" cy="400685"/>
                    </a:xfrm>
                    <a:prstGeom prst="rect">
                      <a:avLst/>
                    </a:prstGeom>
                  </pic:spPr>
                </pic:pic>
              </a:graphicData>
            </a:graphic>
          </wp:inline>
        </w:drawing>
      </w:r>
    </w:p>
    <w:p>
      <w:pPr>
        <w:pStyle w:val="24"/>
        <w:widowControl/>
        <w:adjustRightInd w:val="0"/>
        <w:snapToGrid w:val="0"/>
        <w:spacing w:line="360" w:lineRule="auto"/>
        <w:jc w:val="center"/>
        <w:rPr>
          <w:rFonts w:ascii="黑体" w:eastAsia="黑体"/>
          <w:bCs/>
          <w:color w:val="000000" w:themeColor="text1"/>
          <w:sz w:val="52"/>
          <w:szCs w:val="52"/>
          <w:highlight w:val="none"/>
        </w:rPr>
      </w:pPr>
    </w:p>
    <w:p>
      <w:pPr>
        <w:pStyle w:val="24"/>
        <w:widowControl/>
        <w:adjustRightInd w:val="0"/>
        <w:snapToGrid w:val="0"/>
        <w:spacing w:line="360" w:lineRule="auto"/>
        <w:jc w:val="center"/>
        <w:rPr>
          <w:rFonts w:ascii="黑体" w:eastAsia="黑体"/>
          <w:bCs/>
          <w:color w:val="000000" w:themeColor="text1"/>
          <w:sz w:val="52"/>
          <w:szCs w:val="52"/>
          <w:highlight w:val="none"/>
        </w:rPr>
      </w:pPr>
      <w:r>
        <w:rPr>
          <w:rFonts w:hint="eastAsia" w:ascii="黑体" w:eastAsia="黑体"/>
          <w:bCs/>
          <w:color w:val="000000" w:themeColor="text1"/>
          <w:sz w:val="52"/>
          <w:szCs w:val="52"/>
          <w:highlight w:val="none"/>
        </w:rPr>
        <w:t>公开招标</w:t>
      </w:r>
    </w:p>
    <w:p>
      <w:pPr>
        <w:pStyle w:val="24"/>
        <w:widowControl/>
        <w:adjustRightInd w:val="0"/>
        <w:snapToGrid w:val="0"/>
        <w:spacing w:line="360" w:lineRule="auto"/>
        <w:jc w:val="center"/>
        <w:rPr>
          <w:rFonts w:ascii="黑体" w:eastAsia="黑体"/>
          <w:bCs/>
          <w:color w:val="000000" w:themeColor="text1"/>
          <w:sz w:val="72"/>
          <w:szCs w:val="72"/>
          <w:highlight w:val="none"/>
        </w:rPr>
      </w:pPr>
    </w:p>
    <w:p>
      <w:pPr>
        <w:pStyle w:val="24"/>
        <w:widowControl/>
        <w:adjustRightInd w:val="0"/>
        <w:snapToGrid w:val="0"/>
        <w:spacing w:line="360" w:lineRule="auto"/>
        <w:jc w:val="center"/>
        <w:rPr>
          <w:rFonts w:ascii="黑体" w:eastAsia="黑体"/>
          <w:bCs/>
          <w:color w:val="000000" w:themeColor="text1"/>
          <w:sz w:val="36"/>
          <w:highlight w:val="none"/>
        </w:rPr>
      </w:pPr>
      <w:r>
        <w:rPr>
          <w:rFonts w:hint="eastAsia" w:ascii="黑体" w:eastAsia="黑体"/>
          <w:bCs/>
          <w:color w:val="000000" w:themeColor="text1"/>
          <w:sz w:val="72"/>
          <w:highlight w:val="none"/>
        </w:rPr>
        <w:t>招  标  文  件</w:t>
      </w:r>
    </w:p>
    <w:p>
      <w:pPr>
        <w:pStyle w:val="24"/>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rPr>
      </w:pPr>
    </w:p>
    <w:p>
      <w:pPr>
        <w:pStyle w:val="24"/>
        <w:widowControl/>
        <w:adjustRightInd w:val="0"/>
        <w:snapToGrid w:val="0"/>
        <w:spacing w:line="360" w:lineRule="auto"/>
        <w:jc w:val="center"/>
        <w:rPr>
          <w:rFonts w:ascii="黑体" w:eastAsia="黑体"/>
          <w:bCs/>
          <w:color w:val="000000" w:themeColor="text1"/>
          <w:sz w:val="52"/>
          <w:szCs w:val="52"/>
          <w:highlight w:val="none"/>
        </w:rPr>
      </w:pPr>
    </w:p>
    <w:p>
      <w:pPr>
        <w:pStyle w:val="24"/>
        <w:widowControl/>
        <w:adjustRightInd w:val="0"/>
        <w:snapToGrid w:val="0"/>
        <w:spacing w:line="360" w:lineRule="auto"/>
        <w:rPr>
          <w:rFonts w:ascii="黑体" w:eastAsia="黑体"/>
          <w:bCs/>
          <w:color w:val="000000" w:themeColor="text1"/>
          <w:sz w:val="52"/>
          <w:szCs w:val="52"/>
          <w:highlight w:val="none"/>
        </w:rPr>
      </w:pPr>
    </w:p>
    <w:p>
      <w:pPr>
        <w:pStyle w:val="24"/>
        <w:widowControl/>
        <w:adjustRightInd w:val="0"/>
        <w:snapToGrid w:val="0"/>
        <w:spacing w:line="360" w:lineRule="auto"/>
        <w:rPr>
          <w:rFonts w:ascii="黑体" w:eastAsia="黑体"/>
          <w:bCs/>
          <w:color w:val="000000" w:themeColor="text1"/>
          <w:sz w:val="52"/>
          <w:szCs w:val="52"/>
          <w:highlight w:val="none"/>
        </w:rPr>
      </w:pPr>
    </w:p>
    <w:p>
      <w:pPr>
        <w:pStyle w:val="24"/>
        <w:widowControl/>
        <w:adjustRightInd w:val="0"/>
        <w:snapToGrid w:val="0"/>
        <w:spacing w:line="360" w:lineRule="auto"/>
        <w:rPr>
          <w:rFonts w:ascii="黑体" w:eastAsia="黑体"/>
          <w:bCs/>
          <w:color w:val="000000" w:themeColor="text1"/>
          <w:sz w:val="52"/>
          <w:szCs w:val="52"/>
          <w:highlight w:val="none"/>
        </w:rPr>
      </w:pPr>
    </w:p>
    <w:tbl>
      <w:tblPr>
        <w:tblStyle w:val="46"/>
        <w:tblW w:w="8897" w:type="dxa"/>
        <w:tblInd w:w="0" w:type="dxa"/>
        <w:tblLayout w:type="fixed"/>
        <w:tblCellMar>
          <w:top w:w="0" w:type="dxa"/>
          <w:left w:w="108" w:type="dxa"/>
          <w:bottom w:w="0" w:type="dxa"/>
          <w:right w:w="108" w:type="dxa"/>
        </w:tblCellMar>
      </w:tblPr>
      <w:tblGrid>
        <w:gridCol w:w="1951"/>
        <w:gridCol w:w="284"/>
        <w:gridCol w:w="6662"/>
      </w:tblGrid>
      <w:tr>
        <w:tblPrEx>
          <w:tblCellMar>
            <w:top w:w="0" w:type="dxa"/>
            <w:left w:w="108" w:type="dxa"/>
            <w:bottom w:w="0" w:type="dxa"/>
            <w:right w:w="108" w:type="dxa"/>
          </w:tblCellMar>
        </w:tblPrEx>
        <w:trPr>
          <w:trHeight w:val="77" w:hRule="atLeast"/>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4"/>
              <w:widowControl/>
              <w:adjustRightInd w:val="0"/>
              <w:snapToGrid w:val="0"/>
              <w:spacing w:line="360" w:lineRule="auto"/>
              <w:jc w:val="left"/>
              <w:rPr>
                <w:rFonts w:hint="eastAsia" w:hAnsi="宋体" w:eastAsia="宋体"/>
                <w:b/>
                <w:color w:val="000000" w:themeColor="text1"/>
                <w:sz w:val="28"/>
                <w:szCs w:val="28"/>
                <w:highlight w:val="none"/>
                <w:lang w:eastAsia="zh-CN"/>
              </w:rPr>
            </w:pPr>
            <w:r>
              <w:rPr>
                <w:rFonts w:hint="eastAsia" w:hAnsi="宋体"/>
                <w:b/>
                <w:color w:val="000000" w:themeColor="text1"/>
                <w:sz w:val="28"/>
                <w:szCs w:val="28"/>
                <w:highlight w:val="none"/>
                <w:lang w:eastAsia="zh-CN"/>
              </w:rPr>
              <w:t>YXZB-20211103</w:t>
            </w:r>
          </w:p>
        </w:tc>
      </w:tr>
      <w:tr>
        <w:tblPrEx>
          <w:tblCellMar>
            <w:top w:w="0" w:type="dxa"/>
            <w:left w:w="108" w:type="dxa"/>
            <w:bottom w:w="0" w:type="dxa"/>
            <w:right w:w="108" w:type="dxa"/>
          </w:tblCellMar>
        </w:tblPrEx>
        <w:trPr>
          <w:trHeight w:val="77" w:hRule="atLeast"/>
        </w:trPr>
        <w:tc>
          <w:tcPr>
            <w:tcW w:w="1951" w:type="dxa"/>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项目名称</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阳江市市场监督管理局江城分局2021年江城区食品抽检委托检验机构采购项目</w:t>
            </w:r>
          </w:p>
        </w:tc>
      </w:tr>
      <w:tr>
        <w:tblPrEx>
          <w:tblCellMar>
            <w:top w:w="0" w:type="dxa"/>
            <w:left w:w="108" w:type="dxa"/>
            <w:bottom w:w="0" w:type="dxa"/>
            <w:right w:w="108" w:type="dxa"/>
          </w:tblCellMar>
        </w:tblPrEx>
        <w:trPr>
          <w:trHeight w:val="77" w:hRule="atLeast"/>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阳江市市场监督管理局江城分局</w:t>
            </w:r>
          </w:p>
        </w:tc>
      </w:tr>
      <w:tr>
        <w:tblPrEx>
          <w:tblCellMar>
            <w:top w:w="0" w:type="dxa"/>
            <w:left w:w="108" w:type="dxa"/>
            <w:bottom w:w="0" w:type="dxa"/>
            <w:right w:w="108" w:type="dxa"/>
          </w:tblCellMar>
        </w:tblPrEx>
        <w:trPr>
          <w:trHeight w:val="77" w:hRule="atLeast"/>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4"/>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6662"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广东业信招标有限公司</w:t>
            </w:r>
          </w:p>
        </w:tc>
      </w:tr>
    </w:tbl>
    <w:p>
      <w:pPr>
        <w:pStyle w:val="24"/>
        <w:widowControl/>
        <w:adjustRightInd w:val="0"/>
        <w:snapToGrid w:val="0"/>
        <w:spacing w:line="360" w:lineRule="auto"/>
        <w:jc w:val="center"/>
        <w:rPr>
          <w:rFonts w:ascii="黑体" w:eastAsia="黑体"/>
          <w:bCs/>
          <w:color w:val="000000" w:themeColor="text1"/>
          <w:sz w:val="24"/>
          <w:highlight w:val="none"/>
        </w:rPr>
      </w:pPr>
      <w:r>
        <w:rPr>
          <w:rFonts w:hint="eastAsia" w:ascii="黑体" w:eastAsia="黑体"/>
          <w:bCs/>
          <w:color w:val="000000" w:themeColor="text1"/>
          <w:sz w:val="24"/>
          <w:highlight w:val="none"/>
        </w:rPr>
        <w:t>二○</w:t>
      </w:r>
      <w:r>
        <w:rPr>
          <w:rFonts w:hint="eastAsia" w:ascii="黑体" w:eastAsia="黑体"/>
          <w:bCs/>
          <w:color w:val="000000" w:themeColor="text1"/>
          <w:sz w:val="24"/>
          <w:highlight w:val="none"/>
          <w:lang w:val="en-US" w:eastAsia="zh-CN"/>
        </w:rPr>
        <w:t>二</w:t>
      </w:r>
      <w:r>
        <w:rPr>
          <w:rFonts w:hint="eastAsia" w:ascii="黑体" w:eastAsia="黑体"/>
          <w:bCs/>
          <w:color w:val="000000" w:themeColor="text1"/>
          <w:sz w:val="24"/>
          <w:highlight w:val="none"/>
        </w:rPr>
        <w:t>一年</w:t>
      </w:r>
      <w:r>
        <w:rPr>
          <w:rFonts w:hint="eastAsia" w:ascii="黑体" w:eastAsia="黑体"/>
          <w:bCs/>
          <w:color w:val="000000" w:themeColor="text1"/>
          <w:sz w:val="24"/>
          <w:highlight w:val="none"/>
          <w:lang w:val="en-US" w:eastAsia="zh-CN"/>
        </w:rPr>
        <w:t>十</w:t>
      </w:r>
      <w:r>
        <w:rPr>
          <w:rFonts w:hint="eastAsia" w:ascii="黑体" w:eastAsia="黑体"/>
          <w:bCs/>
          <w:color w:val="000000" w:themeColor="text1"/>
          <w:sz w:val="24"/>
          <w:highlight w:val="none"/>
        </w:rPr>
        <w:t>一月</w:t>
      </w:r>
    </w:p>
    <w:p>
      <w:pPr>
        <w:spacing w:beforeLines="50" w:afterLines="50" w:line="360" w:lineRule="atLeast"/>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请供应商特别留意招标文件上注明的投标截止和开标时间，逾期送达或邮寄送达的投标文件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ascii="宋体" w:hAnsi="宋体"/>
          <w:color w:val="000000" w:themeColor="text1"/>
          <w:szCs w:val="21"/>
          <w:highlight w:val="none"/>
        </w:rPr>
        <w:t>会议室。</w:t>
      </w:r>
    </w:p>
    <w:p>
      <w:pPr>
        <w:numPr>
          <w:ilvl w:val="0"/>
          <w:numId w:val="21"/>
        </w:numPr>
        <w:spacing w:line="440" w:lineRule="exact"/>
        <w:ind w:left="454" w:hanging="454"/>
        <w:rPr>
          <w:rFonts w:ascii="宋体" w:hAnsi="宋体"/>
          <w:color w:val="000000" w:themeColor="text1"/>
          <w:szCs w:val="21"/>
          <w:highlight w:val="none"/>
        </w:rPr>
      </w:pPr>
      <w:r>
        <w:rPr>
          <w:rFonts w:ascii="宋体" w:hAnsi="宋体"/>
          <w:b/>
          <w:color w:val="000000" w:themeColor="text1"/>
          <w:szCs w:val="21"/>
          <w:highlight w:val="none"/>
          <w:u w:val="single"/>
        </w:rPr>
        <w:t>招标文件中标有“★”的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rPr>
        <w:t>供应商</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请正确填写《开标一览表》，</w:t>
      </w:r>
      <w:r>
        <w:rPr>
          <w:rFonts w:hint="eastAsia" w:ascii="宋体" w:hAnsi="宋体"/>
          <w:color w:val="000000" w:themeColor="text1"/>
          <w:szCs w:val="21"/>
          <w:highlight w:val="none"/>
        </w:rPr>
        <w:t>如</w:t>
      </w:r>
      <w:r>
        <w:rPr>
          <w:rFonts w:ascii="宋体" w:hAnsi="宋体"/>
          <w:color w:val="000000" w:themeColor="text1"/>
          <w:szCs w:val="21"/>
          <w:highlight w:val="none"/>
        </w:rPr>
        <w:t>含有</w:t>
      </w:r>
      <w:r>
        <w:rPr>
          <w:rFonts w:hint="eastAsia" w:ascii="宋体" w:hAnsi="宋体"/>
          <w:color w:val="000000" w:themeColor="text1"/>
          <w:szCs w:val="21"/>
          <w:highlight w:val="none"/>
        </w:rPr>
        <w:t>包组</w:t>
      </w:r>
      <w:r>
        <w:rPr>
          <w:rFonts w:ascii="宋体" w:hAnsi="宋体"/>
          <w:color w:val="000000" w:themeColor="text1"/>
          <w:szCs w:val="21"/>
          <w:highlight w:val="none"/>
        </w:rPr>
        <w:t>的投标项目</w:t>
      </w:r>
      <w:r>
        <w:rPr>
          <w:rFonts w:hint="eastAsia" w:ascii="宋体" w:hAnsi="宋体"/>
          <w:color w:val="000000" w:themeColor="text1"/>
          <w:szCs w:val="21"/>
          <w:highlight w:val="none"/>
        </w:rPr>
        <w:t>建议</w:t>
      </w:r>
      <w:r>
        <w:rPr>
          <w:rFonts w:ascii="宋体" w:hAnsi="宋体"/>
          <w:color w:val="000000" w:themeColor="text1"/>
          <w:szCs w:val="21"/>
          <w:highlight w:val="none"/>
        </w:rPr>
        <w:t>分开报价，</w:t>
      </w:r>
      <w:r>
        <w:rPr>
          <w:rFonts w:hint="eastAsia" w:ascii="宋体" w:hAnsi="宋体"/>
          <w:color w:val="000000" w:themeColor="text1"/>
          <w:szCs w:val="21"/>
          <w:highlight w:val="none"/>
        </w:rPr>
        <w:t>报价要求详见招标文件《开标一览表》</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请仔细检查《投标函》、《开标一览表》、</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
          <w:bCs/>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建议将投标文件按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评标委员会</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4"/>
        <w:widowControl/>
        <w:adjustRightInd w:val="0"/>
        <w:snapToGrid w:val="0"/>
        <w:spacing w:line="440" w:lineRule="exact"/>
        <w:ind w:firstLine="413" w:firstLineChars="196"/>
        <w:rPr>
          <w:rFonts w:ascii="黑体" w:eastAsia="黑体"/>
          <w:bCs/>
          <w:color w:val="000000" w:themeColor="text1"/>
          <w:sz w:val="30"/>
          <w:szCs w:val="30"/>
          <w:highlight w:val="none"/>
        </w:rPr>
      </w:pPr>
      <w:r>
        <w:rPr>
          <w:rFonts w:hint="eastAsia" w:hAnsi="宋体" w:cs="仿宋_GB2312"/>
          <w:b/>
          <w:bCs/>
          <w:color w:val="000000" w:themeColor="text1"/>
          <w:highlight w:val="none"/>
          <w:lang w:val="zh-CN"/>
        </w:rPr>
        <w:t>（本提示内容非招标文件的组成部分，仅为善意提醒。如有不一致，以招标文件为准）</w:t>
      </w:r>
    </w:p>
    <w:p>
      <w:pPr>
        <w:pStyle w:val="24"/>
        <w:widowControl/>
        <w:adjustRightInd w:val="0"/>
        <w:snapToGrid w:val="0"/>
        <w:spacing w:line="360" w:lineRule="auto"/>
        <w:jc w:val="center"/>
        <w:rPr>
          <w:rFonts w:ascii="黑体" w:eastAsia="黑体"/>
          <w:bCs/>
          <w:color w:val="000000" w:themeColor="text1"/>
          <w:sz w:val="30"/>
          <w:szCs w:val="30"/>
          <w:highlight w:val="none"/>
        </w:rPr>
        <w:sectPr>
          <w:headerReference r:id="rId3" w:type="default"/>
          <w:footerReference r:id="rId4" w:type="default"/>
          <w:footerReference r:id="rId5" w:type="even"/>
          <w:type w:val="continuous"/>
          <w:pgSz w:w="11907" w:h="16840"/>
          <w:pgMar w:top="1417" w:right="1474" w:bottom="1417" w:left="1474" w:header="851" w:footer="850" w:gutter="0"/>
          <w:cols w:space="0" w:num="1"/>
          <w:titlePg/>
          <w:docGrid w:linePitch="380" w:charSpace="0"/>
        </w:sectPr>
      </w:pPr>
    </w:p>
    <w:p>
      <w:pPr>
        <w:tabs>
          <w:tab w:val="left" w:pos="2400"/>
          <w:tab w:val="center" w:pos="4479"/>
        </w:tabs>
        <w:jc w:val="left"/>
        <w:rPr>
          <w:rFonts w:ascii="宋体" w:hAnsi="宋体"/>
          <w:bCs/>
          <w:color w:val="000000" w:themeColor="text1"/>
          <w:szCs w:val="21"/>
          <w:highlight w:val="none"/>
        </w:rPr>
      </w:pPr>
      <w:r>
        <w:rPr>
          <w:rFonts w:ascii="宋体" w:hAnsi="宋体"/>
          <w:bCs/>
          <w:color w:val="000000" w:themeColor="text1"/>
          <w:szCs w:val="21"/>
          <w:highlight w:val="none"/>
        </w:rPr>
        <w:tab/>
      </w:r>
      <w:r>
        <w:rPr>
          <w:rFonts w:ascii="宋体" w:hAnsi="宋体"/>
          <w:bCs/>
          <w:color w:val="000000" w:themeColor="text1"/>
          <w:szCs w:val="21"/>
          <w:highlight w:val="none"/>
        </w:rPr>
        <w:tab/>
      </w: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目   录</w:t>
      </w:r>
    </w:p>
    <w:p>
      <w:pPr>
        <w:pStyle w:val="4"/>
        <w:numPr>
          <w:ilvl w:val="0"/>
          <w:numId w:val="0"/>
        </w:numPr>
        <w:spacing w:beforeLines="0" w:line="240" w:lineRule="auto"/>
        <w:rPr>
          <w:color w:val="000000" w:themeColor="text1"/>
          <w:highlight w:val="none"/>
        </w:rPr>
      </w:pPr>
    </w:p>
    <w:p>
      <w:pPr>
        <w:pStyle w:val="31"/>
        <w:tabs>
          <w:tab w:val="right" w:leader="dot" w:pos="8959"/>
          <w:tab w:val="clear" w:pos="8949"/>
        </w:tabs>
        <w:rPr>
          <w:color w:val="000000" w:themeColor="text1"/>
          <w:highlight w:val="none"/>
        </w:rPr>
      </w:pPr>
      <w:r>
        <w:rPr>
          <w:b w:val="0"/>
          <w:bCs w:val="0"/>
          <w:caps w:val="0"/>
          <w:color w:val="000000" w:themeColor="text1"/>
          <w:highlight w:val="none"/>
        </w:rPr>
        <w:fldChar w:fldCharType="begin"/>
      </w:r>
      <w:r>
        <w:rPr>
          <w:b w:val="0"/>
          <w:bCs w:val="0"/>
          <w:caps w:val="0"/>
          <w:color w:val="000000" w:themeColor="text1"/>
          <w:highlight w:val="none"/>
        </w:rPr>
        <w:instrText xml:space="preserve"> TOC \o "1-3" \h \z \u </w:instrText>
      </w:r>
      <w:r>
        <w:rPr>
          <w:b w:val="0"/>
          <w:bCs w:val="0"/>
          <w:caps w:val="0"/>
          <w:color w:val="000000" w:themeColor="text1"/>
          <w:highlight w:val="none"/>
        </w:rPr>
        <w:fldChar w:fldCharType="separate"/>
      </w:r>
      <w:r>
        <w:rPr>
          <w:bCs w:val="0"/>
          <w:caps w:val="0"/>
          <w:color w:val="000000" w:themeColor="text1"/>
          <w:highlight w:val="none"/>
        </w:rPr>
        <w:fldChar w:fldCharType="begin"/>
      </w:r>
      <w:r>
        <w:rPr>
          <w:bCs w:val="0"/>
          <w:caps w:val="0"/>
          <w:color w:val="000000" w:themeColor="text1"/>
          <w:highlight w:val="none"/>
        </w:rPr>
        <w:instrText xml:space="preserve"> HYPERLINK \l _Toc10599 </w:instrText>
      </w:r>
      <w:r>
        <w:rPr>
          <w:bCs w:val="0"/>
          <w:caps w:val="0"/>
          <w:color w:val="000000" w:themeColor="text1"/>
          <w:highlight w:val="none"/>
        </w:rPr>
        <w:fldChar w:fldCharType="separate"/>
      </w:r>
      <w:r>
        <w:rPr>
          <w:rFonts w:hint="eastAsia"/>
          <w:color w:val="000000" w:themeColor="text1"/>
          <w:highlight w:val="none"/>
        </w:rPr>
        <w:t>第一部分 投标邀请函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_Toc10599 \h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bCs w:val="0"/>
          <w:caps w:val="0"/>
          <w:color w:val="000000" w:themeColor="text1"/>
          <w:highlight w:val="none"/>
        </w:rPr>
        <w:fldChar w:fldCharType="end"/>
      </w:r>
    </w:p>
    <w:p>
      <w:pPr>
        <w:pStyle w:val="31"/>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_Toc23870 </w:instrText>
      </w:r>
      <w:r>
        <w:rPr>
          <w:bCs/>
          <w:caps/>
          <w:color w:val="000000" w:themeColor="text1"/>
          <w:szCs w:val="21"/>
          <w:highlight w:val="none"/>
        </w:rPr>
        <w:fldChar w:fldCharType="separate"/>
      </w:r>
      <w:r>
        <w:rPr>
          <w:rFonts w:hint="eastAsia"/>
          <w:color w:val="000000" w:themeColor="text1"/>
          <w:highlight w:val="none"/>
        </w:rPr>
        <w:t>第二部分 采购项目内容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_Toc23870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_Toc7688 </w:instrText>
      </w:r>
      <w:r>
        <w:rPr>
          <w:bCs/>
          <w:caps/>
          <w:color w:val="000000" w:themeColor="text1"/>
          <w:szCs w:val="21"/>
          <w:highlight w:val="none"/>
        </w:rPr>
        <w:fldChar w:fldCharType="separate"/>
      </w:r>
      <w:r>
        <w:rPr>
          <w:color w:val="000000" w:themeColor="text1"/>
          <w:kern w:val="0"/>
          <w:highlight w:val="none"/>
        </w:rPr>
        <w:t xml:space="preserve">A  </w:t>
      </w:r>
      <w:r>
        <w:rPr>
          <w:rFonts w:hint="eastAsia"/>
          <w:color w:val="000000" w:themeColor="text1"/>
          <w:kern w:val="0"/>
          <w:highlight w:val="none"/>
        </w:rPr>
        <w:t>商务要求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_Toc7688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_Toc25774 </w:instrText>
      </w:r>
      <w:r>
        <w:rPr>
          <w:bCs/>
          <w:caps/>
          <w:color w:val="000000" w:themeColor="text1"/>
          <w:szCs w:val="21"/>
          <w:highlight w:val="none"/>
        </w:rPr>
        <w:fldChar w:fldCharType="separate"/>
      </w:r>
      <w:r>
        <w:rPr>
          <w:rFonts w:hint="eastAsia"/>
          <w:color w:val="000000" w:themeColor="text1"/>
          <w:kern w:val="0"/>
          <w:highlight w:val="none"/>
        </w:rPr>
        <w:t>B  技术要求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_Toc25774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bCs/>
          <w:caps/>
          <w:color w:val="000000" w:themeColor="text1"/>
          <w:szCs w:val="21"/>
          <w:highlight w:val="none"/>
        </w:rPr>
        <w:fldChar w:fldCharType="end"/>
      </w:r>
    </w:p>
    <w:p>
      <w:pPr>
        <w:pStyle w:val="31"/>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_Toc23520 </w:instrText>
      </w:r>
      <w:r>
        <w:rPr>
          <w:bCs/>
          <w:caps/>
          <w:color w:val="000000" w:themeColor="text1"/>
          <w:szCs w:val="21"/>
          <w:highlight w:val="none"/>
        </w:rPr>
        <w:fldChar w:fldCharType="separate"/>
      </w:r>
      <w:r>
        <w:rPr>
          <w:rFonts w:hint="eastAsia"/>
          <w:color w:val="000000" w:themeColor="text1"/>
          <w:highlight w:val="none"/>
        </w:rPr>
        <w:t>第三部分 投标人须知</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_Toc23520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_Toc8778 </w:instrText>
      </w:r>
      <w:r>
        <w:rPr>
          <w:bCs/>
          <w:caps/>
          <w:color w:val="000000" w:themeColor="text1"/>
          <w:szCs w:val="21"/>
          <w:highlight w:val="none"/>
        </w:rPr>
        <w:fldChar w:fldCharType="separate"/>
      </w:r>
      <w:r>
        <w:rPr>
          <w:rFonts w:hint="eastAsia"/>
          <w:color w:val="000000" w:themeColor="text1"/>
          <w:szCs w:val="21"/>
          <w:highlight w:val="none"/>
        </w:rPr>
        <w:t>投标人须知前附表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_Toc8778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_Toc25271 </w:instrText>
      </w:r>
      <w:r>
        <w:rPr>
          <w:bCs/>
          <w:caps/>
          <w:color w:val="000000" w:themeColor="text1"/>
          <w:szCs w:val="21"/>
          <w:highlight w:val="none"/>
        </w:rPr>
        <w:fldChar w:fldCharType="separate"/>
      </w:r>
      <w:r>
        <w:rPr>
          <w:rFonts w:hint="eastAsia"/>
          <w:color w:val="000000" w:themeColor="text1"/>
          <w:highlight w:val="none"/>
        </w:rPr>
        <w:t>Ａ说明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_Toc25271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_Toc24420 </w:instrText>
      </w:r>
      <w:r>
        <w:rPr>
          <w:bCs/>
          <w:caps/>
          <w:color w:val="000000" w:themeColor="text1"/>
          <w:szCs w:val="21"/>
          <w:highlight w:val="none"/>
        </w:rPr>
        <w:fldChar w:fldCharType="separate"/>
      </w:r>
      <w:r>
        <w:rPr>
          <w:rFonts w:hint="default"/>
          <w:color w:val="000000" w:themeColor="text1"/>
          <w:highlight w:val="none"/>
        </w:rPr>
        <w:t xml:space="preserve">1 </w:t>
      </w:r>
      <w:r>
        <w:rPr>
          <w:rFonts w:hint="eastAsia"/>
          <w:color w:val="000000" w:themeColor="text1"/>
          <w:highlight w:val="none"/>
        </w:rPr>
        <w:t>适用范围和资金来源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_Toc24420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_Toc1203 </w:instrText>
      </w:r>
      <w:r>
        <w:rPr>
          <w:bCs/>
          <w:caps/>
          <w:color w:val="000000" w:themeColor="text1"/>
          <w:szCs w:val="21"/>
          <w:highlight w:val="none"/>
        </w:rPr>
        <w:fldChar w:fldCharType="separate"/>
      </w:r>
      <w:r>
        <w:rPr>
          <w:rFonts w:hint="default"/>
          <w:color w:val="000000" w:themeColor="text1"/>
          <w:highlight w:val="none"/>
        </w:rPr>
        <w:t xml:space="preserve">2 </w:t>
      </w:r>
      <w:r>
        <w:rPr>
          <w:rFonts w:hint="eastAsia"/>
          <w:color w:val="000000" w:themeColor="text1"/>
          <w:highlight w:val="none"/>
        </w:rPr>
        <w:t>定义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_Toc1203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_Toc821 </w:instrText>
      </w:r>
      <w:r>
        <w:rPr>
          <w:bCs/>
          <w:caps/>
          <w:color w:val="000000" w:themeColor="text1"/>
          <w:szCs w:val="21"/>
          <w:highlight w:val="none"/>
        </w:rPr>
        <w:fldChar w:fldCharType="separate"/>
      </w:r>
      <w:r>
        <w:rPr>
          <w:rFonts w:hint="default"/>
          <w:color w:val="000000" w:themeColor="text1"/>
          <w:highlight w:val="none"/>
        </w:rPr>
        <w:t xml:space="preserve">3 </w:t>
      </w:r>
      <w:r>
        <w:rPr>
          <w:rFonts w:hint="eastAsia"/>
          <w:color w:val="000000" w:themeColor="text1"/>
          <w:highlight w:val="none"/>
        </w:rPr>
        <w:t>合格的投标人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_Toc821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_Toc15118 </w:instrText>
      </w:r>
      <w:r>
        <w:rPr>
          <w:bCs/>
          <w:caps/>
          <w:color w:val="000000" w:themeColor="text1"/>
          <w:szCs w:val="21"/>
          <w:highlight w:val="none"/>
        </w:rPr>
        <w:fldChar w:fldCharType="separate"/>
      </w:r>
      <w:r>
        <w:rPr>
          <w:rFonts w:hint="default"/>
          <w:color w:val="000000" w:themeColor="text1"/>
          <w:highlight w:val="none"/>
        </w:rPr>
        <w:t xml:space="preserve">4 </w:t>
      </w:r>
      <w:r>
        <w:rPr>
          <w:rFonts w:hint="eastAsia"/>
          <w:color w:val="000000" w:themeColor="text1"/>
          <w:highlight w:val="none"/>
        </w:rPr>
        <w:t>投标费用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_Toc15118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_Toc15699 </w:instrText>
      </w:r>
      <w:r>
        <w:rPr>
          <w:bCs/>
          <w:caps/>
          <w:color w:val="000000" w:themeColor="text1"/>
          <w:szCs w:val="21"/>
          <w:highlight w:val="none"/>
        </w:rPr>
        <w:fldChar w:fldCharType="separate"/>
      </w:r>
      <w:r>
        <w:rPr>
          <w:rFonts w:hint="eastAsia"/>
          <w:color w:val="000000" w:themeColor="text1"/>
          <w:highlight w:val="none"/>
        </w:rPr>
        <w:t>Ｂ招标文件说明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_Toc15699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_Toc11590 </w:instrText>
      </w:r>
      <w:r>
        <w:rPr>
          <w:bCs/>
          <w:caps/>
          <w:color w:val="000000" w:themeColor="text1"/>
          <w:szCs w:val="21"/>
          <w:highlight w:val="none"/>
        </w:rPr>
        <w:fldChar w:fldCharType="separate"/>
      </w:r>
      <w:r>
        <w:rPr>
          <w:rFonts w:hint="default"/>
          <w:color w:val="000000" w:themeColor="text1"/>
          <w:highlight w:val="none"/>
        </w:rPr>
        <w:t xml:space="preserve">5 </w:t>
      </w:r>
      <w:r>
        <w:rPr>
          <w:rFonts w:hint="eastAsia"/>
          <w:color w:val="000000" w:themeColor="text1"/>
          <w:highlight w:val="none"/>
        </w:rPr>
        <w:t>招标文件的构成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_Toc11590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_Toc23704 </w:instrText>
      </w:r>
      <w:r>
        <w:rPr>
          <w:bCs/>
          <w:caps/>
          <w:color w:val="000000" w:themeColor="text1"/>
          <w:szCs w:val="21"/>
          <w:highlight w:val="none"/>
        </w:rPr>
        <w:fldChar w:fldCharType="separate"/>
      </w:r>
      <w:r>
        <w:rPr>
          <w:rFonts w:hint="default"/>
          <w:color w:val="000000" w:themeColor="text1"/>
          <w:highlight w:val="none"/>
        </w:rPr>
        <w:t xml:space="preserve">6 </w:t>
      </w:r>
      <w:r>
        <w:rPr>
          <w:rFonts w:hint="eastAsia"/>
          <w:color w:val="000000" w:themeColor="text1"/>
          <w:highlight w:val="none"/>
        </w:rPr>
        <w:t>招标文件的澄清、修改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_Toc23704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_Toc26325 </w:instrText>
      </w:r>
      <w:r>
        <w:rPr>
          <w:bCs/>
          <w:caps/>
          <w:color w:val="000000" w:themeColor="text1"/>
          <w:szCs w:val="21"/>
          <w:highlight w:val="none"/>
        </w:rPr>
        <w:fldChar w:fldCharType="separate"/>
      </w:r>
      <w:r>
        <w:rPr>
          <w:rFonts w:hint="eastAsia"/>
          <w:color w:val="000000" w:themeColor="text1"/>
          <w:highlight w:val="none"/>
        </w:rPr>
        <w:t>Ｃ投标文件的编制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_Toc26325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_Toc22461 </w:instrText>
      </w:r>
      <w:r>
        <w:rPr>
          <w:bCs/>
          <w:caps/>
          <w:color w:val="000000" w:themeColor="text1"/>
          <w:szCs w:val="21"/>
          <w:highlight w:val="none"/>
        </w:rPr>
        <w:fldChar w:fldCharType="separate"/>
      </w:r>
      <w:r>
        <w:rPr>
          <w:rFonts w:hint="default"/>
          <w:color w:val="000000" w:themeColor="text1"/>
          <w:highlight w:val="none"/>
        </w:rPr>
        <w:t xml:space="preserve">7 </w:t>
      </w:r>
      <w:r>
        <w:rPr>
          <w:rFonts w:hint="eastAsia"/>
          <w:color w:val="000000" w:themeColor="text1"/>
          <w:highlight w:val="none"/>
        </w:rPr>
        <w:t>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_Toc22461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_Toc25045 </w:instrText>
      </w:r>
      <w:r>
        <w:rPr>
          <w:bCs/>
          <w:caps/>
          <w:color w:val="000000" w:themeColor="text1"/>
          <w:szCs w:val="21"/>
          <w:highlight w:val="none"/>
        </w:rPr>
        <w:fldChar w:fldCharType="separate"/>
      </w:r>
      <w:r>
        <w:rPr>
          <w:rFonts w:hint="default"/>
          <w:color w:val="000000" w:themeColor="text1"/>
          <w:highlight w:val="none"/>
        </w:rPr>
        <w:t xml:space="preserve">8 </w:t>
      </w:r>
      <w:r>
        <w:rPr>
          <w:rFonts w:hint="eastAsia"/>
          <w:color w:val="000000" w:themeColor="text1"/>
          <w:highlight w:val="none"/>
        </w:rPr>
        <w:t>投标语言及计量单位</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_Toc25045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_Toc24176 </w:instrText>
      </w:r>
      <w:r>
        <w:rPr>
          <w:bCs/>
          <w:caps/>
          <w:color w:val="000000" w:themeColor="text1"/>
          <w:szCs w:val="21"/>
          <w:highlight w:val="none"/>
        </w:rPr>
        <w:fldChar w:fldCharType="separate"/>
      </w:r>
      <w:r>
        <w:rPr>
          <w:rFonts w:hint="default"/>
          <w:color w:val="000000" w:themeColor="text1"/>
          <w:highlight w:val="none"/>
        </w:rPr>
        <w:t xml:space="preserve">9 </w:t>
      </w:r>
      <w:r>
        <w:rPr>
          <w:rFonts w:hint="eastAsia"/>
          <w:color w:val="000000" w:themeColor="text1"/>
          <w:highlight w:val="none"/>
        </w:rPr>
        <w:t>投标文件的构成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_Toc24176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_Toc16873 </w:instrText>
      </w:r>
      <w:r>
        <w:rPr>
          <w:bCs/>
          <w:caps/>
          <w:color w:val="000000" w:themeColor="text1"/>
          <w:szCs w:val="21"/>
          <w:highlight w:val="none"/>
        </w:rPr>
        <w:fldChar w:fldCharType="separate"/>
      </w:r>
      <w:r>
        <w:rPr>
          <w:rFonts w:hint="default"/>
          <w:color w:val="000000" w:themeColor="text1"/>
          <w:highlight w:val="none"/>
        </w:rPr>
        <w:t xml:space="preserve">10 </w:t>
      </w:r>
      <w:r>
        <w:rPr>
          <w:rFonts w:hint="eastAsia"/>
          <w:color w:val="000000" w:themeColor="text1"/>
          <w:highlight w:val="none"/>
        </w:rPr>
        <w:t>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_Toc16873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_Toc19918 </w:instrText>
      </w:r>
      <w:r>
        <w:rPr>
          <w:bCs/>
          <w:caps/>
          <w:color w:val="000000" w:themeColor="text1"/>
          <w:szCs w:val="21"/>
          <w:highlight w:val="none"/>
        </w:rPr>
        <w:fldChar w:fldCharType="separate"/>
      </w:r>
      <w:r>
        <w:rPr>
          <w:rFonts w:hint="default"/>
          <w:color w:val="000000" w:themeColor="text1"/>
          <w:highlight w:val="none"/>
        </w:rPr>
        <w:t xml:space="preserve">11 </w:t>
      </w:r>
      <w:r>
        <w:rPr>
          <w:rFonts w:hint="eastAsia"/>
          <w:color w:val="000000" w:themeColor="text1"/>
          <w:highlight w:val="none"/>
        </w:rPr>
        <w:t>资格证明文件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_Toc19918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_Toc159 </w:instrText>
      </w:r>
      <w:r>
        <w:rPr>
          <w:bCs/>
          <w:caps/>
          <w:color w:val="000000" w:themeColor="text1"/>
          <w:szCs w:val="21"/>
          <w:highlight w:val="none"/>
        </w:rPr>
        <w:fldChar w:fldCharType="separate"/>
      </w:r>
      <w:r>
        <w:rPr>
          <w:rFonts w:hint="default"/>
          <w:color w:val="000000" w:themeColor="text1"/>
          <w:highlight w:val="none"/>
        </w:rPr>
        <w:t xml:space="preserve">12 </w:t>
      </w:r>
      <w:r>
        <w:rPr>
          <w:rFonts w:hint="eastAsia"/>
          <w:color w:val="000000" w:themeColor="text1"/>
          <w:highlight w:val="none"/>
        </w:rPr>
        <w:t>货物和服务的证明文件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_Toc159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_Toc14425 </w:instrText>
      </w:r>
      <w:r>
        <w:rPr>
          <w:bCs/>
          <w:caps/>
          <w:color w:val="000000" w:themeColor="text1"/>
          <w:szCs w:val="21"/>
          <w:highlight w:val="none"/>
        </w:rPr>
        <w:fldChar w:fldCharType="separate"/>
      </w:r>
      <w:r>
        <w:rPr>
          <w:rFonts w:hint="default"/>
          <w:color w:val="000000" w:themeColor="text1"/>
          <w:highlight w:val="none"/>
        </w:rPr>
        <w:t xml:space="preserve">13 </w:t>
      </w:r>
      <w:r>
        <w:rPr>
          <w:rFonts w:hint="eastAsia"/>
          <w:color w:val="000000" w:themeColor="text1"/>
          <w:highlight w:val="none"/>
        </w:rPr>
        <w:t>投标报价与投标货币</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_Toc14425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_Toc26006 </w:instrText>
      </w:r>
      <w:r>
        <w:rPr>
          <w:bCs/>
          <w:caps/>
          <w:color w:val="000000" w:themeColor="text1"/>
          <w:szCs w:val="21"/>
          <w:highlight w:val="none"/>
        </w:rPr>
        <w:fldChar w:fldCharType="separate"/>
      </w:r>
      <w:r>
        <w:rPr>
          <w:rFonts w:hint="default"/>
          <w:color w:val="000000" w:themeColor="text1"/>
          <w:highlight w:val="none"/>
        </w:rPr>
        <w:t xml:space="preserve">14 </w:t>
      </w:r>
      <w:r>
        <w:rPr>
          <w:rFonts w:hint="eastAsia"/>
          <w:color w:val="000000" w:themeColor="text1"/>
          <w:highlight w:val="none"/>
        </w:rPr>
        <w:t>投标保证金</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_Toc26006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_Toc20945 </w:instrText>
      </w:r>
      <w:r>
        <w:rPr>
          <w:bCs/>
          <w:caps/>
          <w:color w:val="000000" w:themeColor="text1"/>
          <w:szCs w:val="21"/>
          <w:highlight w:val="none"/>
        </w:rPr>
        <w:fldChar w:fldCharType="separate"/>
      </w:r>
      <w:r>
        <w:rPr>
          <w:rFonts w:hint="default"/>
          <w:color w:val="000000" w:themeColor="text1"/>
          <w:highlight w:val="none"/>
        </w:rPr>
        <w:t xml:space="preserve">15 </w:t>
      </w:r>
      <w:r>
        <w:rPr>
          <w:rFonts w:hint="eastAsia"/>
          <w:color w:val="000000" w:themeColor="text1"/>
          <w:highlight w:val="none"/>
        </w:rPr>
        <w:t>投标有效期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_Toc20945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_Toc7613 </w:instrText>
      </w:r>
      <w:r>
        <w:rPr>
          <w:bCs/>
          <w:caps/>
          <w:color w:val="000000" w:themeColor="text1"/>
          <w:szCs w:val="21"/>
          <w:highlight w:val="none"/>
        </w:rPr>
        <w:fldChar w:fldCharType="separate"/>
      </w:r>
      <w:r>
        <w:rPr>
          <w:rFonts w:hint="default"/>
          <w:color w:val="000000" w:themeColor="text1"/>
          <w:highlight w:val="none"/>
        </w:rPr>
        <w:t xml:space="preserve">16 </w:t>
      </w:r>
      <w:r>
        <w:rPr>
          <w:rFonts w:hint="eastAsia"/>
          <w:color w:val="000000" w:themeColor="text1"/>
          <w:highlight w:val="none"/>
        </w:rPr>
        <w:t>投标文件的签署及规定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_Toc7613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_Toc718 </w:instrText>
      </w:r>
      <w:r>
        <w:rPr>
          <w:bCs/>
          <w:caps/>
          <w:color w:val="000000" w:themeColor="text1"/>
          <w:szCs w:val="21"/>
          <w:highlight w:val="none"/>
        </w:rPr>
        <w:fldChar w:fldCharType="separate"/>
      </w:r>
      <w:r>
        <w:rPr>
          <w:rFonts w:hint="eastAsia"/>
          <w:color w:val="000000" w:themeColor="text1"/>
          <w:highlight w:val="none"/>
        </w:rPr>
        <w:t>Ｄ投标文件的递交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_Toc718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_Toc18704 </w:instrText>
      </w:r>
      <w:r>
        <w:rPr>
          <w:bCs/>
          <w:caps/>
          <w:color w:val="000000" w:themeColor="text1"/>
          <w:szCs w:val="21"/>
          <w:highlight w:val="none"/>
        </w:rPr>
        <w:fldChar w:fldCharType="separate"/>
      </w:r>
      <w:r>
        <w:rPr>
          <w:rFonts w:hint="default" w:ascii="宋体" w:hAnsi="宋体"/>
          <w:color w:val="000000" w:themeColor="text1"/>
          <w:highlight w:val="none"/>
        </w:rPr>
        <w:t xml:space="preserve">17 </w:t>
      </w:r>
      <w:r>
        <w:rPr>
          <w:rFonts w:hint="eastAsia"/>
          <w:color w:val="000000" w:themeColor="text1"/>
          <w:highlight w:val="none"/>
        </w:rPr>
        <w:t>投标文件的密封和标记</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_Toc18704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_Toc26135 </w:instrText>
      </w:r>
      <w:r>
        <w:rPr>
          <w:bCs/>
          <w:caps/>
          <w:color w:val="000000" w:themeColor="text1"/>
          <w:szCs w:val="21"/>
          <w:highlight w:val="none"/>
        </w:rPr>
        <w:fldChar w:fldCharType="separate"/>
      </w:r>
      <w:r>
        <w:rPr>
          <w:rFonts w:hint="default"/>
          <w:color w:val="000000" w:themeColor="text1"/>
          <w:highlight w:val="none"/>
        </w:rPr>
        <w:t xml:space="preserve">18 </w:t>
      </w:r>
      <w:r>
        <w:rPr>
          <w:rFonts w:hint="eastAsia"/>
          <w:color w:val="000000" w:themeColor="text1"/>
          <w:highlight w:val="none"/>
        </w:rPr>
        <w:t>递交投标文件的时间、地点及截止时间</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_Toc26135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_Toc3850 </w:instrText>
      </w:r>
      <w:r>
        <w:rPr>
          <w:bCs/>
          <w:caps/>
          <w:color w:val="000000" w:themeColor="text1"/>
          <w:szCs w:val="21"/>
          <w:highlight w:val="none"/>
        </w:rPr>
        <w:fldChar w:fldCharType="separate"/>
      </w:r>
      <w:r>
        <w:rPr>
          <w:rFonts w:hint="default"/>
          <w:color w:val="000000" w:themeColor="text1"/>
          <w:highlight w:val="none"/>
        </w:rPr>
        <w:t xml:space="preserve">19 </w:t>
      </w:r>
      <w:r>
        <w:rPr>
          <w:rFonts w:hint="eastAsia"/>
          <w:color w:val="000000" w:themeColor="text1"/>
          <w:highlight w:val="none"/>
        </w:rPr>
        <w:t>迟交的投标文件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_Toc3850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_Toc26055 </w:instrText>
      </w:r>
      <w:r>
        <w:rPr>
          <w:bCs/>
          <w:caps/>
          <w:color w:val="000000" w:themeColor="text1"/>
          <w:szCs w:val="21"/>
          <w:highlight w:val="none"/>
        </w:rPr>
        <w:fldChar w:fldCharType="separate"/>
      </w:r>
      <w:r>
        <w:rPr>
          <w:rFonts w:hint="default"/>
          <w:color w:val="000000" w:themeColor="text1"/>
          <w:highlight w:val="none"/>
        </w:rPr>
        <w:t xml:space="preserve">20 </w:t>
      </w:r>
      <w:r>
        <w:rPr>
          <w:rFonts w:hint="eastAsia"/>
          <w:color w:val="000000" w:themeColor="text1"/>
          <w:highlight w:val="none"/>
        </w:rPr>
        <w:t>投标文件的修改和撤回</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_Toc26055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_Toc14271 </w:instrText>
      </w:r>
      <w:r>
        <w:rPr>
          <w:bCs/>
          <w:caps/>
          <w:color w:val="000000" w:themeColor="text1"/>
          <w:szCs w:val="21"/>
          <w:highlight w:val="none"/>
        </w:rPr>
        <w:fldChar w:fldCharType="separate"/>
      </w:r>
      <w:r>
        <w:rPr>
          <w:rFonts w:hint="eastAsia"/>
          <w:color w:val="000000" w:themeColor="text1"/>
          <w:highlight w:val="none"/>
        </w:rPr>
        <w:t>Ｅ开标和评标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_Toc14271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_Toc7805 </w:instrText>
      </w:r>
      <w:r>
        <w:rPr>
          <w:bCs/>
          <w:caps/>
          <w:color w:val="000000" w:themeColor="text1"/>
          <w:szCs w:val="21"/>
          <w:highlight w:val="none"/>
        </w:rPr>
        <w:fldChar w:fldCharType="separate"/>
      </w:r>
      <w:r>
        <w:rPr>
          <w:rFonts w:hint="default"/>
          <w:color w:val="000000" w:themeColor="text1"/>
          <w:highlight w:val="none"/>
        </w:rPr>
        <w:t xml:space="preserve">21 </w:t>
      </w:r>
      <w:r>
        <w:rPr>
          <w:rFonts w:hint="eastAsia"/>
          <w:color w:val="000000" w:themeColor="text1"/>
          <w:highlight w:val="none"/>
        </w:rPr>
        <w:t>开标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_Toc7805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_Toc30401 </w:instrText>
      </w:r>
      <w:r>
        <w:rPr>
          <w:bCs/>
          <w:caps/>
          <w:color w:val="000000" w:themeColor="text1"/>
          <w:szCs w:val="21"/>
          <w:highlight w:val="none"/>
        </w:rPr>
        <w:fldChar w:fldCharType="separate"/>
      </w:r>
      <w:r>
        <w:rPr>
          <w:rFonts w:hint="default" w:ascii="宋体" w:hAnsi="宋体"/>
          <w:color w:val="000000" w:themeColor="text1"/>
          <w:highlight w:val="none"/>
        </w:rPr>
        <w:t xml:space="preserve">22 </w:t>
      </w:r>
      <w:r>
        <w:rPr>
          <w:rFonts w:hint="eastAsia"/>
          <w:color w:val="000000" w:themeColor="text1"/>
          <w:highlight w:val="none"/>
        </w:rPr>
        <w:t>评标委员会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_Toc30401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_Toc8491 </w:instrText>
      </w:r>
      <w:r>
        <w:rPr>
          <w:bCs/>
          <w:caps/>
          <w:color w:val="000000" w:themeColor="text1"/>
          <w:szCs w:val="21"/>
          <w:highlight w:val="none"/>
        </w:rPr>
        <w:fldChar w:fldCharType="separate"/>
      </w:r>
      <w:r>
        <w:rPr>
          <w:rFonts w:hint="default"/>
          <w:color w:val="000000" w:themeColor="text1"/>
          <w:highlight w:val="none"/>
        </w:rPr>
        <w:t xml:space="preserve">23 </w:t>
      </w:r>
      <w:r>
        <w:rPr>
          <w:rFonts w:hint="eastAsia"/>
          <w:color w:val="000000" w:themeColor="text1"/>
          <w:highlight w:val="none"/>
        </w:rPr>
        <w:t>对投标文件的初审和响应性的确定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_Toc8491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_Toc15934 </w:instrText>
      </w:r>
      <w:r>
        <w:rPr>
          <w:bCs/>
          <w:caps/>
          <w:color w:val="000000" w:themeColor="text1"/>
          <w:szCs w:val="21"/>
          <w:highlight w:val="none"/>
        </w:rPr>
        <w:fldChar w:fldCharType="separate"/>
      </w:r>
      <w:r>
        <w:rPr>
          <w:rFonts w:hint="default"/>
          <w:color w:val="000000" w:themeColor="text1"/>
          <w:highlight w:val="none"/>
        </w:rPr>
        <w:t xml:space="preserve">24 </w:t>
      </w:r>
      <w:r>
        <w:rPr>
          <w:rFonts w:hint="eastAsia"/>
          <w:color w:val="000000" w:themeColor="text1"/>
          <w:highlight w:val="none"/>
        </w:rPr>
        <w:t>投标报价的审核</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_Toc15934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_Toc12353 </w:instrText>
      </w:r>
      <w:r>
        <w:rPr>
          <w:bCs/>
          <w:caps/>
          <w:color w:val="000000" w:themeColor="text1"/>
          <w:szCs w:val="21"/>
          <w:highlight w:val="none"/>
        </w:rPr>
        <w:fldChar w:fldCharType="separate"/>
      </w:r>
      <w:r>
        <w:rPr>
          <w:rFonts w:hint="default"/>
          <w:color w:val="000000" w:themeColor="text1"/>
          <w:highlight w:val="none"/>
        </w:rPr>
        <w:t xml:space="preserve">25 </w:t>
      </w:r>
      <w:r>
        <w:rPr>
          <w:rFonts w:hint="eastAsia"/>
          <w:color w:val="000000" w:themeColor="text1"/>
          <w:highlight w:val="none"/>
        </w:rPr>
        <w:t>询标及投标文件的澄清</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_Toc12353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_Toc25591 </w:instrText>
      </w:r>
      <w:r>
        <w:rPr>
          <w:bCs/>
          <w:caps/>
          <w:color w:val="000000" w:themeColor="text1"/>
          <w:szCs w:val="21"/>
          <w:highlight w:val="none"/>
        </w:rPr>
        <w:fldChar w:fldCharType="separate"/>
      </w:r>
      <w:r>
        <w:rPr>
          <w:rFonts w:hint="default"/>
          <w:color w:val="000000" w:themeColor="text1"/>
          <w:highlight w:val="none"/>
        </w:rPr>
        <w:t xml:space="preserve">26 </w:t>
      </w:r>
      <w:r>
        <w:rPr>
          <w:rFonts w:hint="eastAsia"/>
          <w:color w:val="000000" w:themeColor="text1"/>
          <w:highlight w:val="none"/>
        </w:rPr>
        <w:t>评标原则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_Toc25591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_Toc15171 </w:instrText>
      </w:r>
      <w:r>
        <w:rPr>
          <w:bCs/>
          <w:caps/>
          <w:color w:val="000000" w:themeColor="text1"/>
          <w:szCs w:val="21"/>
          <w:highlight w:val="none"/>
        </w:rPr>
        <w:fldChar w:fldCharType="separate"/>
      </w:r>
      <w:r>
        <w:rPr>
          <w:rFonts w:hint="default"/>
          <w:color w:val="000000" w:themeColor="text1"/>
          <w:highlight w:val="none"/>
        </w:rPr>
        <w:t xml:space="preserve">27 </w:t>
      </w:r>
      <w:r>
        <w:rPr>
          <w:rFonts w:hint="eastAsia"/>
          <w:color w:val="000000" w:themeColor="text1"/>
          <w:highlight w:val="none"/>
        </w:rPr>
        <w:t>评标标准和办法</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_Toc15171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_Toc28417 </w:instrText>
      </w:r>
      <w:r>
        <w:rPr>
          <w:bCs/>
          <w:caps/>
          <w:color w:val="000000" w:themeColor="text1"/>
          <w:szCs w:val="21"/>
          <w:highlight w:val="none"/>
        </w:rPr>
        <w:fldChar w:fldCharType="separate"/>
      </w:r>
      <w:r>
        <w:rPr>
          <w:rFonts w:hint="default"/>
          <w:color w:val="000000" w:themeColor="text1"/>
          <w:highlight w:val="none"/>
        </w:rPr>
        <w:t xml:space="preserve">28 </w:t>
      </w:r>
      <w:r>
        <w:rPr>
          <w:rFonts w:hint="eastAsia"/>
          <w:color w:val="000000" w:themeColor="text1"/>
          <w:highlight w:val="none"/>
        </w:rPr>
        <w:t>评标注意事项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_Toc28417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_Toc13332 </w:instrText>
      </w:r>
      <w:r>
        <w:rPr>
          <w:bCs/>
          <w:caps/>
          <w:color w:val="000000" w:themeColor="text1"/>
          <w:szCs w:val="21"/>
          <w:highlight w:val="none"/>
        </w:rPr>
        <w:fldChar w:fldCharType="separate"/>
      </w:r>
      <w:r>
        <w:rPr>
          <w:rFonts w:hint="default"/>
          <w:color w:val="000000" w:themeColor="text1"/>
          <w:highlight w:val="none"/>
        </w:rPr>
        <w:t xml:space="preserve">29 </w:t>
      </w:r>
      <w:r>
        <w:rPr>
          <w:rFonts w:hint="eastAsia"/>
          <w:color w:val="000000" w:themeColor="text1"/>
          <w:highlight w:val="none"/>
        </w:rPr>
        <w:t>接受和拒绝投标的权利</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_Toc13332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_Toc23657 </w:instrText>
      </w:r>
      <w:r>
        <w:rPr>
          <w:bCs/>
          <w:caps/>
          <w:color w:val="000000" w:themeColor="text1"/>
          <w:szCs w:val="21"/>
          <w:highlight w:val="none"/>
        </w:rPr>
        <w:fldChar w:fldCharType="separate"/>
      </w:r>
      <w:r>
        <w:rPr>
          <w:rFonts w:hint="default"/>
          <w:color w:val="000000" w:themeColor="text1"/>
          <w:highlight w:val="none"/>
        </w:rPr>
        <w:t xml:space="preserve">30 </w:t>
      </w:r>
      <w:r>
        <w:rPr>
          <w:rFonts w:hint="eastAsia"/>
          <w:color w:val="000000" w:themeColor="text1"/>
          <w:highlight w:val="none"/>
        </w:rPr>
        <w:t>发布中标结果公告和发放中标通知书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_Toc23657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_Toc29551 </w:instrText>
      </w:r>
      <w:r>
        <w:rPr>
          <w:bCs/>
          <w:caps/>
          <w:color w:val="000000" w:themeColor="text1"/>
          <w:szCs w:val="21"/>
          <w:highlight w:val="none"/>
        </w:rPr>
        <w:fldChar w:fldCharType="separate"/>
      </w:r>
      <w:r>
        <w:rPr>
          <w:rFonts w:hint="default"/>
          <w:color w:val="000000" w:themeColor="text1"/>
          <w:highlight w:val="none"/>
        </w:rPr>
        <w:t xml:space="preserve">31 </w:t>
      </w:r>
      <w:r>
        <w:rPr>
          <w:rFonts w:hint="eastAsia"/>
          <w:color w:val="000000" w:themeColor="text1"/>
          <w:highlight w:val="none"/>
        </w:rPr>
        <w:t>投标人对中标结果的质疑、投诉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_Toc29551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_Toc23099 </w:instrText>
      </w:r>
      <w:r>
        <w:rPr>
          <w:bCs/>
          <w:caps/>
          <w:color w:val="000000" w:themeColor="text1"/>
          <w:szCs w:val="21"/>
          <w:highlight w:val="none"/>
        </w:rPr>
        <w:fldChar w:fldCharType="separate"/>
      </w:r>
      <w:r>
        <w:rPr>
          <w:rFonts w:hint="eastAsia"/>
          <w:color w:val="000000" w:themeColor="text1"/>
          <w:highlight w:val="none"/>
        </w:rPr>
        <w:t>Ｆ  授予合同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_Toc23099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_Toc20080 </w:instrText>
      </w:r>
      <w:r>
        <w:rPr>
          <w:bCs/>
          <w:caps/>
          <w:color w:val="000000" w:themeColor="text1"/>
          <w:szCs w:val="21"/>
          <w:highlight w:val="none"/>
        </w:rPr>
        <w:fldChar w:fldCharType="separate"/>
      </w:r>
      <w:r>
        <w:rPr>
          <w:rFonts w:hint="default"/>
          <w:color w:val="000000" w:themeColor="text1"/>
          <w:highlight w:val="none"/>
        </w:rPr>
        <w:t xml:space="preserve">32 </w:t>
      </w:r>
      <w:r>
        <w:rPr>
          <w:rFonts w:hint="eastAsia"/>
          <w:color w:val="000000" w:themeColor="text1"/>
          <w:highlight w:val="none"/>
        </w:rPr>
        <w:t>合同授予标准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_Toc20080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_Toc13176 </w:instrText>
      </w:r>
      <w:r>
        <w:rPr>
          <w:bCs/>
          <w:caps/>
          <w:color w:val="000000" w:themeColor="text1"/>
          <w:szCs w:val="21"/>
          <w:highlight w:val="none"/>
        </w:rPr>
        <w:fldChar w:fldCharType="separate"/>
      </w:r>
      <w:r>
        <w:rPr>
          <w:rFonts w:hint="default"/>
          <w:color w:val="000000" w:themeColor="text1"/>
          <w:highlight w:val="none"/>
        </w:rPr>
        <w:t xml:space="preserve">33 </w:t>
      </w:r>
      <w:r>
        <w:rPr>
          <w:rFonts w:hint="eastAsia"/>
          <w:color w:val="000000" w:themeColor="text1"/>
          <w:highlight w:val="none"/>
        </w:rPr>
        <w:t>签订合同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_Toc13176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_Toc19736 </w:instrText>
      </w:r>
      <w:r>
        <w:rPr>
          <w:bCs/>
          <w:caps/>
          <w:color w:val="000000" w:themeColor="text1"/>
          <w:szCs w:val="21"/>
          <w:highlight w:val="none"/>
        </w:rPr>
        <w:fldChar w:fldCharType="separate"/>
      </w:r>
      <w:r>
        <w:rPr>
          <w:color w:val="000000" w:themeColor="text1"/>
          <w:highlight w:val="none"/>
        </w:rPr>
        <w:t>G</w:t>
      </w:r>
      <w:r>
        <w:rPr>
          <w:rFonts w:hint="eastAsia"/>
          <w:color w:val="000000" w:themeColor="text1"/>
          <w:highlight w:val="none"/>
        </w:rPr>
        <w:t>、政府采购政策</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_Toc19736 \h </w:instrText>
      </w:r>
      <w:r>
        <w:rPr>
          <w:color w:val="000000" w:themeColor="text1"/>
          <w:highlight w:val="none"/>
        </w:rPr>
        <w:fldChar w:fldCharType="separate"/>
      </w:r>
      <w:r>
        <w:rPr>
          <w:color w:val="000000" w:themeColor="text1"/>
          <w:highlight w:val="none"/>
        </w:rPr>
        <w:t>39</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_Toc15614 </w:instrText>
      </w:r>
      <w:r>
        <w:rPr>
          <w:bCs/>
          <w:caps/>
          <w:color w:val="000000" w:themeColor="text1"/>
          <w:szCs w:val="21"/>
          <w:highlight w:val="none"/>
        </w:rPr>
        <w:fldChar w:fldCharType="separate"/>
      </w:r>
      <w:r>
        <w:rPr>
          <w:rFonts w:hint="eastAsia"/>
          <w:color w:val="000000" w:themeColor="text1"/>
          <w:highlight w:val="none"/>
        </w:rPr>
        <w:t>H、评标细则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_Toc15614 \h </w:instrText>
      </w:r>
      <w:r>
        <w:rPr>
          <w:color w:val="000000" w:themeColor="text1"/>
          <w:highlight w:val="none"/>
        </w:rPr>
        <w:fldChar w:fldCharType="separate"/>
      </w:r>
      <w:r>
        <w:rPr>
          <w:color w:val="000000" w:themeColor="text1"/>
          <w:highlight w:val="none"/>
        </w:rPr>
        <w:t>41</w:t>
      </w:r>
      <w:r>
        <w:rPr>
          <w:color w:val="000000" w:themeColor="text1"/>
          <w:highlight w:val="none"/>
        </w:rPr>
        <w:fldChar w:fldCharType="end"/>
      </w:r>
      <w:r>
        <w:rPr>
          <w:bCs/>
          <w:caps/>
          <w:color w:val="000000" w:themeColor="text1"/>
          <w:szCs w:val="21"/>
          <w:highlight w:val="none"/>
        </w:rPr>
        <w:fldChar w:fldCharType="end"/>
      </w:r>
    </w:p>
    <w:p>
      <w:pPr>
        <w:pStyle w:val="31"/>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_Toc12843 </w:instrText>
      </w:r>
      <w:r>
        <w:rPr>
          <w:bCs/>
          <w:caps/>
          <w:color w:val="000000" w:themeColor="text1"/>
          <w:szCs w:val="21"/>
          <w:highlight w:val="none"/>
        </w:rPr>
        <w:fldChar w:fldCharType="separate"/>
      </w:r>
      <w:r>
        <w:rPr>
          <w:rFonts w:hint="eastAsia"/>
          <w:color w:val="000000" w:themeColor="text1"/>
          <w:highlight w:val="none"/>
        </w:rPr>
        <w:t>第四部分  采购项目合同（参考范本）</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_Toc12843 \h </w:instrText>
      </w:r>
      <w:r>
        <w:rPr>
          <w:color w:val="000000" w:themeColor="text1"/>
          <w:highlight w:val="none"/>
        </w:rPr>
        <w:fldChar w:fldCharType="separate"/>
      </w:r>
      <w:r>
        <w:rPr>
          <w:color w:val="000000" w:themeColor="text1"/>
          <w:highlight w:val="none"/>
        </w:rPr>
        <w:t>43</w:t>
      </w:r>
      <w:r>
        <w:rPr>
          <w:color w:val="000000" w:themeColor="text1"/>
          <w:highlight w:val="none"/>
        </w:rPr>
        <w:fldChar w:fldCharType="end"/>
      </w:r>
      <w:r>
        <w:rPr>
          <w:bCs/>
          <w:caps/>
          <w:color w:val="000000" w:themeColor="text1"/>
          <w:szCs w:val="21"/>
          <w:highlight w:val="none"/>
        </w:rPr>
        <w:fldChar w:fldCharType="end"/>
      </w:r>
    </w:p>
    <w:p>
      <w:pPr>
        <w:pStyle w:val="31"/>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_Toc21106 </w:instrText>
      </w:r>
      <w:r>
        <w:rPr>
          <w:bCs/>
          <w:caps/>
          <w:color w:val="000000" w:themeColor="text1"/>
          <w:szCs w:val="21"/>
          <w:highlight w:val="none"/>
        </w:rPr>
        <w:fldChar w:fldCharType="separate"/>
      </w:r>
      <w:r>
        <w:rPr>
          <w:rFonts w:hint="eastAsia"/>
          <w:color w:val="000000" w:themeColor="text1"/>
          <w:highlight w:val="none"/>
        </w:rPr>
        <w:t>第五部分投标文件格式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_Toc21106 \h </w:instrText>
      </w:r>
      <w:r>
        <w:rPr>
          <w:color w:val="000000" w:themeColor="text1"/>
          <w:highlight w:val="none"/>
        </w:rPr>
        <w:fldChar w:fldCharType="separate"/>
      </w:r>
      <w:r>
        <w:rPr>
          <w:color w:val="000000" w:themeColor="text1"/>
          <w:highlight w:val="none"/>
        </w:rPr>
        <w:t>46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_Toc18149 </w:instrText>
      </w:r>
      <w:r>
        <w:rPr>
          <w:bCs/>
          <w:caps/>
          <w:color w:val="000000" w:themeColor="text1"/>
          <w:szCs w:val="21"/>
          <w:highlight w:val="none"/>
        </w:rPr>
        <w:fldChar w:fldCharType="separate"/>
      </w:r>
      <w:r>
        <w:rPr>
          <w:rFonts w:hint="eastAsia"/>
          <w:color w:val="000000" w:themeColor="text1"/>
          <w:highlight w:val="none"/>
        </w:rPr>
        <w:t>资格审查封面格式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_Toc18149 \h </w:instrText>
      </w:r>
      <w:r>
        <w:rPr>
          <w:color w:val="000000" w:themeColor="text1"/>
          <w:highlight w:val="none"/>
        </w:rPr>
        <w:fldChar w:fldCharType="separate"/>
      </w:r>
      <w:r>
        <w:rPr>
          <w:color w:val="000000" w:themeColor="text1"/>
          <w:highlight w:val="none"/>
        </w:rPr>
        <w:t>46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_Toc11172 </w:instrText>
      </w:r>
      <w:r>
        <w:rPr>
          <w:bCs/>
          <w:caps/>
          <w:color w:val="000000" w:themeColor="text1"/>
          <w:szCs w:val="21"/>
          <w:highlight w:val="none"/>
        </w:rPr>
        <w:fldChar w:fldCharType="separate"/>
      </w:r>
      <w:r>
        <w:rPr>
          <w:rFonts w:hint="default"/>
          <w:color w:val="000000" w:themeColor="text1"/>
          <w:highlight w:val="none"/>
        </w:rPr>
        <w:t xml:space="preserve">第一章 </w:t>
      </w:r>
      <w:r>
        <w:rPr>
          <w:rFonts w:hint="eastAsia"/>
          <w:color w:val="000000" w:themeColor="text1"/>
          <w:highlight w:val="none"/>
        </w:rPr>
        <w:t>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_Toc11172 \h </w:instrText>
      </w:r>
      <w:r>
        <w:rPr>
          <w:color w:val="000000" w:themeColor="text1"/>
          <w:highlight w:val="none"/>
        </w:rPr>
        <w:fldChar w:fldCharType="separate"/>
      </w:r>
      <w:r>
        <w:rPr>
          <w:color w:val="000000" w:themeColor="text1"/>
          <w:highlight w:val="none"/>
        </w:rPr>
        <w:t>48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_Toc12621 </w:instrText>
      </w:r>
      <w:r>
        <w:rPr>
          <w:bCs/>
          <w:caps/>
          <w:color w:val="000000" w:themeColor="text1"/>
          <w:szCs w:val="21"/>
          <w:highlight w:val="none"/>
        </w:rPr>
        <w:fldChar w:fldCharType="separate"/>
      </w:r>
      <w:r>
        <w:rPr>
          <w:rFonts w:hint="eastAsia" w:ascii="宋体"/>
          <w:bCs w:val="0"/>
          <w:color w:val="000000" w:themeColor="text1"/>
          <w:szCs w:val="21"/>
          <w:highlight w:val="none"/>
        </w:rPr>
        <w:t>资格性自查表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_Toc12621 \h </w:instrText>
      </w:r>
      <w:r>
        <w:rPr>
          <w:color w:val="000000" w:themeColor="text1"/>
          <w:highlight w:val="none"/>
        </w:rPr>
        <w:fldChar w:fldCharType="separate"/>
      </w:r>
      <w:r>
        <w:rPr>
          <w:color w:val="000000" w:themeColor="text1"/>
          <w:highlight w:val="none"/>
        </w:rPr>
        <w:t>48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_Toc22035 </w:instrText>
      </w:r>
      <w:r>
        <w:rPr>
          <w:bCs/>
          <w:caps/>
          <w:color w:val="000000" w:themeColor="text1"/>
          <w:szCs w:val="21"/>
          <w:highlight w:val="none"/>
        </w:rPr>
        <w:fldChar w:fldCharType="separate"/>
      </w:r>
      <w:r>
        <w:rPr>
          <w:rFonts w:hint="eastAsia"/>
          <w:color w:val="000000" w:themeColor="text1"/>
          <w:highlight w:val="none"/>
        </w:rPr>
        <w:t>（一）资格审查文件要求提交的有效证明文件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_Toc22035 \h </w:instrText>
      </w:r>
      <w:r>
        <w:rPr>
          <w:color w:val="000000" w:themeColor="text1"/>
          <w:highlight w:val="none"/>
        </w:rPr>
        <w:fldChar w:fldCharType="separate"/>
      </w:r>
      <w:r>
        <w:rPr>
          <w:color w:val="000000" w:themeColor="text1"/>
          <w:highlight w:val="none"/>
        </w:rPr>
        <w:t>49</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_Toc4658 </w:instrText>
      </w:r>
      <w:r>
        <w:rPr>
          <w:bCs/>
          <w:caps/>
          <w:color w:val="000000" w:themeColor="text1"/>
          <w:szCs w:val="21"/>
          <w:highlight w:val="none"/>
        </w:rPr>
        <w:fldChar w:fldCharType="separate"/>
      </w:r>
      <w:r>
        <w:rPr>
          <w:rFonts w:hint="eastAsia" w:hAnsi="黑体"/>
          <w:color w:val="000000" w:themeColor="text1"/>
          <w:szCs w:val="21"/>
          <w:highlight w:val="none"/>
        </w:rPr>
        <w:t>（二）无重大违法记录声明函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_Toc4658 \h </w:instrText>
      </w:r>
      <w:r>
        <w:rPr>
          <w:color w:val="000000" w:themeColor="text1"/>
          <w:highlight w:val="none"/>
        </w:rPr>
        <w:fldChar w:fldCharType="separate"/>
      </w:r>
      <w:r>
        <w:rPr>
          <w:color w:val="000000" w:themeColor="text1"/>
          <w:highlight w:val="none"/>
        </w:rPr>
        <w:t>50</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_Toc15215 </w:instrText>
      </w:r>
      <w:r>
        <w:rPr>
          <w:bCs/>
          <w:caps/>
          <w:color w:val="000000" w:themeColor="text1"/>
          <w:szCs w:val="21"/>
          <w:highlight w:val="none"/>
        </w:rPr>
        <w:fldChar w:fldCharType="separate"/>
      </w:r>
      <w:r>
        <w:rPr>
          <w:rFonts w:hint="default"/>
          <w:color w:val="000000" w:themeColor="text1"/>
          <w:highlight w:val="none"/>
        </w:rPr>
        <w:t xml:space="preserve">第二章 </w:t>
      </w:r>
      <w:r>
        <w:rPr>
          <w:rFonts w:hint="eastAsia"/>
          <w:color w:val="000000" w:themeColor="text1"/>
          <w:highlight w:val="none"/>
        </w:rPr>
        <w:t>投标文件商务及技术部分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_Toc15215 \h </w:instrText>
      </w:r>
      <w:r>
        <w:rPr>
          <w:color w:val="000000" w:themeColor="text1"/>
          <w:highlight w:val="none"/>
        </w:rPr>
        <w:fldChar w:fldCharType="separate"/>
      </w:r>
      <w:r>
        <w:rPr>
          <w:color w:val="000000" w:themeColor="text1"/>
          <w:highlight w:val="none"/>
        </w:rPr>
        <w:t>51</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_Toc20511 </w:instrText>
      </w:r>
      <w:r>
        <w:rPr>
          <w:bCs/>
          <w:caps/>
          <w:color w:val="000000" w:themeColor="text1"/>
          <w:szCs w:val="21"/>
          <w:highlight w:val="none"/>
        </w:rPr>
        <w:fldChar w:fldCharType="separate"/>
      </w:r>
      <w:r>
        <w:rPr>
          <w:rFonts w:hint="eastAsia"/>
          <w:color w:val="000000" w:themeColor="text1"/>
          <w:highlight w:val="none"/>
        </w:rPr>
        <w:t>商务及技术封面格式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_Toc20511 \h </w:instrText>
      </w:r>
      <w:r>
        <w:rPr>
          <w:color w:val="000000" w:themeColor="text1"/>
          <w:highlight w:val="none"/>
        </w:rPr>
        <w:fldChar w:fldCharType="separate"/>
      </w:r>
      <w:r>
        <w:rPr>
          <w:color w:val="000000" w:themeColor="text1"/>
          <w:highlight w:val="none"/>
        </w:rPr>
        <w:t>51</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_Toc9548 </w:instrText>
      </w:r>
      <w:r>
        <w:rPr>
          <w:bCs/>
          <w:caps/>
          <w:color w:val="000000" w:themeColor="text1"/>
          <w:szCs w:val="21"/>
          <w:highlight w:val="none"/>
        </w:rPr>
        <w:fldChar w:fldCharType="separate"/>
      </w:r>
      <w:r>
        <w:rPr>
          <w:rFonts w:hint="eastAsia" w:ascii="宋体"/>
          <w:bCs w:val="0"/>
          <w:color w:val="000000" w:themeColor="text1"/>
          <w:szCs w:val="21"/>
          <w:highlight w:val="none"/>
        </w:rPr>
        <w:t>符合性自查表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_Toc9548 \h </w:instrText>
      </w:r>
      <w:r>
        <w:rPr>
          <w:color w:val="000000" w:themeColor="text1"/>
          <w:highlight w:val="none"/>
        </w:rPr>
        <w:fldChar w:fldCharType="separate"/>
      </w:r>
      <w:r>
        <w:rPr>
          <w:color w:val="000000" w:themeColor="text1"/>
          <w:highlight w:val="none"/>
        </w:rPr>
        <w:t>53</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_Toc24254 </w:instrText>
      </w:r>
      <w:r>
        <w:rPr>
          <w:bCs/>
          <w:caps/>
          <w:color w:val="000000" w:themeColor="text1"/>
          <w:szCs w:val="21"/>
          <w:highlight w:val="none"/>
        </w:rPr>
        <w:fldChar w:fldCharType="separate"/>
      </w:r>
      <w:r>
        <w:rPr>
          <w:rFonts w:hint="eastAsia" w:ascii="宋体"/>
          <w:color w:val="000000" w:themeColor="text1"/>
          <w:szCs w:val="21"/>
          <w:highlight w:val="none"/>
        </w:rPr>
        <w:t>评审项目投标资料表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_Toc24254 \h </w:instrText>
      </w:r>
      <w:r>
        <w:rPr>
          <w:color w:val="000000" w:themeColor="text1"/>
          <w:highlight w:val="none"/>
        </w:rPr>
        <w:fldChar w:fldCharType="separate"/>
      </w:r>
      <w:r>
        <w:rPr>
          <w:color w:val="000000" w:themeColor="text1"/>
          <w:highlight w:val="none"/>
        </w:rPr>
        <w:t>54</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_Toc28524 </w:instrText>
      </w:r>
      <w:r>
        <w:rPr>
          <w:bCs/>
          <w:caps/>
          <w:color w:val="000000" w:themeColor="text1"/>
          <w:szCs w:val="21"/>
          <w:highlight w:val="none"/>
        </w:rPr>
        <w:fldChar w:fldCharType="separate"/>
      </w:r>
      <w:r>
        <w:rPr>
          <w:rFonts w:hint="eastAsia"/>
          <w:color w:val="000000" w:themeColor="text1"/>
          <w:highlight w:val="none"/>
        </w:rPr>
        <w:t>（一）法定代表人（负责人）证明书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_Toc28524 \h </w:instrText>
      </w:r>
      <w:r>
        <w:rPr>
          <w:color w:val="000000" w:themeColor="text1"/>
          <w:highlight w:val="none"/>
        </w:rPr>
        <w:fldChar w:fldCharType="separate"/>
      </w:r>
      <w:r>
        <w:rPr>
          <w:color w:val="000000" w:themeColor="text1"/>
          <w:highlight w:val="none"/>
        </w:rPr>
        <w:t>55</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_Toc3716 </w:instrText>
      </w:r>
      <w:r>
        <w:rPr>
          <w:bCs/>
          <w:caps/>
          <w:color w:val="000000" w:themeColor="text1"/>
          <w:szCs w:val="21"/>
          <w:highlight w:val="none"/>
        </w:rPr>
        <w:fldChar w:fldCharType="separate"/>
      </w:r>
      <w:r>
        <w:rPr>
          <w:rFonts w:hint="eastAsia"/>
          <w:color w:val="000000" w:themeColor="text1"/>
          <w:highlight w:val="none"/>
        </w:rPr>
        <w:t>（二）法定代表人（负责人）授权书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_Toc3716 \h </w:instrText>
      </w:r>
      <w:r>
        <w:rPr>
          <w:color w:val="000000" w:themeColor="text1"/>
          <w:highlight w:val="none"/>
        </w:rPr>
        <w:fldChar w:fldCharType="separate"/>
      </w:r>
      <w:r>
        <w:rPr>
          <w:color w:val="000000" w:themeColor="text1"/>
          <w:highlight w:val="none"/>
        </w:rPr>
        <w:t>56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_Toc25922 </w:instrText>
      </w:r>
      <w:r>
        <w:rPr>
          <w:bCs/>
          <w:caps/>
          <w:color w:val="000000" w:themeColor="text1"/>
          <w:szCs w:val="21"/>
          <w:highlight w:val="none"/>
        </w:rPr>
        <w:fldChar w:fldCharType="separate"/>
      </w:r>
      <w:r>
        <w:rPr>
          <w:rFonts w:hint="eastAsia"/>
          <w:color w:val="000000" w:themeColor="text1"/>
          <w:highlight w:val="none"/>
        </w:rPr>
        <w:t>附件一：投标函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_Toc25922 \h </w:instrText>
      </w:r>
      <w:r>
        <w:rPr>
          <w:color w:val="000000" w:themeColor="text1"/>
          <w:highlight w:val="none"/>
        </w:rPr>
        <w:fldChar w:fldCharType="separate"/>
      </w:r>
      <w:r>
        <w:rPr>
          <w:color w:val="000000" w:themeColor="text1"/>
          <w:highlight w:val="none"/>
        </w:rPr>
        <w:t>57</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_Toc3747 </w:instrText>
      </w:r>
      <w:r>
        <w:rPr>
          <w:bCs/>
          <w:caps/>
          <w:color w:val="000000" w:themeColor="text1"/>
          <w:szCs w:val="21"/>
          <w:highlight w:val="none"/>
        </w:rPr>
        <w:fldChar w:fldCharType="separate"/>
      </w:r>
      <w:r>
        <w:rPr>
          <w:rFonts w:hint="eastAsia"/>
          <w:color w:val="000000" w:themeColor="text1"/>
          <w:highlight w:val="none"/>
        </w:rPr>
        <w:t>附件二：开标一览表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_Toc3747 \h </w:instrText>
      </w:r>
      <w:r>
        <w:rPr>
          <w:color w:val="000000" w:themeColor="text1"/>
          <w:highlight w:val="none"/>
        </w:rPr>
        <w:fldChar w:fldCharType="separate"/>
      </w:r>
      <w:r>
        <w:rPr>
          <w:color w:val="000000" w:themeColor="text1"/>
          <w:highlight w:val="none"/>
        </w:rPr>
        <w:t>58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_Toc27805 </w:instrText>
      </w:r>
      <w:r>
        <w:rPr>
          <w:bCs/>
          <w:caps/>
          <w:color w:val="000000" w:themeColor="text1"/>
          <w:szCs w:val="21"/>
          <w:highlight w:val="none"/>
        </w:rPr>
        <w:fldChar w:fldCharType="separate"/>
      </w:r>
      <w:r>
        <w:rPr>
          <w:rFonts w:hint="eastAsia"/>
          <w:color w:val="000000" w:themeColor="text1"/>
          <w:highlight w:val="none"/>
        </w:rPr>
        <w:t>附件三：</w:t>
      </w:r>
      <w:r>
        <w:rPr>
          <w:color w:val="000000" w:themeColor="text1"/>
          <w:highlight w:val="none"/>
        </w:rPr>
        <w:t>投标</w:t>
      </w:r>
      <w:r>
        <w:rPr>
          <w:rFonts w:hint="eastAsia"/>
          <w:color w:val="000000" w:themeColor="text1"/>
          <w:highlight w:val="none"/>
        </w:rPr>
        <w:t>分项报价</w:t>
      </w:r>
      <w:r>
        <w:rPr>
          <w:color w:val="000000" w:themeColor="text1"/>
          <w:highlight w:val="none"/>
        </w:rPr>
        <w:t>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_Toc27805 \h </w:instrText>
      </w:r>
      <w:r>
        <w:rPr>
          <w:color w:val="000000" w:themeColor="text1"/>
          <w:highlight w:val="none"/>
        </w:rPr>
        <w:fldChar w:fldCharType="separate"/>
      </w:r>
      <w:r>
        <w:rPr>
          <w:color w:val="000000" w:themeColor="text1"/>
          <w:highlight w:val="none"/>
        </w:rPr>
        <w:t>59</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_Toc23436 </w:instrText>
      </w:r>
      <w:r>
        <w:rPr>
          <w:bCs/>
          <w:caps/>
          <w:color w:val="000000" w:themeColor="text1"/>
          <w:szCs w:val="21"/>
          <w:highlight w:val="none"/>
        </w:rPr>
        <w:fldChar w:fldCharType="separate"/>
      </w:r>
      <w:r>
        <w:rPr>
          <w:rFonts w:hint="eastAsia"/>
          <w:color w:val="000000" w:themeColor="text1"/>
          <w:highlight w:val="none"/>
        </w:rPr>
        <w:t>附件四：商务条款偏离一览表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_Toc23436 \h </w:instrText>
      </w:r>
      <w:r>
        <w:rPr>
          <w:color w:val="000000" w:themeColor="text1"/>
          <w:highlight w:val="none"/>
        </w:rPr>
        <w:fldChar w:fldCharType="separate"/>
      </w:r>
      <w:r>
        <w:rPr>
          <w:color w:val="000000" w:themeColor="text1"/>
          <w:highlight w:val="none"/>
        </w:rPr>
        <w:t>60</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_Toc28314 </w:instrText>
      </w:r>
      <w:r>
        <w:rPr>
          <w:bCs/>
          <w:caps/>
          <w:color w:val="000000" w:themeColor="text1"/>
          <w:szCs w:val="21"/>
          <w:highlight w:val="none"/>
        </w:rPr>
        <w:fldChar w:fldCharType="separate"/>
      </w:r>
      <w:r>
        <w:rPr>
          <w:rFonts w:hint="eastAsia"/>
          <w:color w:val="000000" w:themeColor="text1"/>
          <w:highlight w:val="none"/>
        </w:rPr>
        <w:t>附件五：技术条款偏离一览表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_Toc28314 \h </w:instrText>
      </w:r>
      <w:r>
        <w:rPr>
          <w:color w:val="000000" w:themeColor="text1"/>
          <w:highlight w:val="none"/>
        </w:rPr>
        <w:fldChar w:fldCharType="separate"/>
      </w:r>
      <w:r>
        <w:rPr>
          <w:color w:val="000000" w:themeColor="text1"/>
          <w:highlight w:val="none"/>
        </w:rPr>
        <w:t>61</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_Toc26252 </w:instrText>
      </w:r>
      <w:r>
        <w:rPr>
          <w:bCs/>
          <w:caps/>
          <w:color w:val="000000" w:themeColor="text1"/>
          <w:szCs w:val="21"/>
          <w:highlight w:val="none"/>
        </w:rPr>
        <w:fldChar w:fldCharType="separate"/>
      </w:r>
      <w:r>
        <w:rPr>
          <w:rFonts w:hint="eastAsia"/>
          <w:color w:val="000000" w:themeColor="text1"/>
          <w:highlight w:val="none"/>
        </w:rPr>
        <w:t>附件六：同类业绩一览表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_Toc26252 \h </w:instrText>
      </w:r>
      <w:r>
        <w:rPr>
          <w:color w:val="000000" w:themeColor="text1"/>
          <w:highlight w:val="none"/>
        </w:rPr>
        <w:fldChar w:fldCharType="separate"/>
      </w:r>
      <w:r>
        <w:rPr>
          <w:color w:val="000000" w:themeColor="text1"/>
          <w:highlight w:val="none"/>
        </w:rPr>
        <w:t>62</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_Toc14678 </w:instrText>
      </w:r>
      <w:r>
        <w:rPr>
          <w:bCs/>
          <w:caps/>
          <w:color w:val="000000" w:themeColor="text1"/>
          <w:szCs w:val="21"/>
          <w:highlight w:val="none"/>
        </w:rPr>
        <w:fldChar w:fldCharType="separate"/>
      </w:r>
      <w:r>
        <w:rPr>
          <w:rFonts w:hint="eastAsia"/>
          <w:color w:val="000000" w:themeColor="text1"/>
          <w:highlight w:val="none"/>
        </w:rPr>
        <w:t>附件七：</w:t>
      </w:r>
      <w:r>
        <w:rPr>
          <w:rFonts w:hint="eastAsia" w:hAnsi="黑体" w:cs="黑体"/>
          <w:color w:val="000000" w:themeColor="text1"/>
          <w:highlight w:val="none"/>
        </w:rPr>
        <w:t>中小微企业声明函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_Toc14678 \h </w:instrText>
      </w:r>
      <w:r>
        <w:rPr>
          <w:color w:val="000000" w:themeColor="text1"/>
          <w:highlight w:val="none"/>
        </w:rPr>
        <w:fldChar w:fldCharType="separate"/>
      </w:r>
      <w:r>
        <w:rPr>
          <w:color w:val="000000" w:themeColor="text1"/>
          <w:highlight w:val="none"/>
        </w:rPr>
        <w:t>63</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_Toc26439 </w:instrText>
      </w:r>
      <w:r>
        <w:rPr>
          <w:bCs/>
          <w:caps/>
          <w:color w:val="000000" w:themeColor="text1"/>
          <w:szCs w:val="21"/>
          <w:highlight w:val="none"/>
        </w:rPr>
        <w:fldChar w:fldCharType="separate"/>
      </w:r>
      <w:r>
        <w:rPr>
          <w:rFonts w:hint="eastAsia"/>
          <w:color w:val="000000" w:themeColor="text1"/>
          <w:highlight w:val="none"/>
        </w:rPr>
        <w:t>附件八：</w:t>
      </w:r>
      <w:r>
        <w:rPr>
          <w:rFonts w:hint="eastAsia" w:hAnsi="黑体" w:cs="黑体"/>
          <w:color w:val="000000" w:themeColor="text1"/>
          <w:highlight w:val="none"/>
        </w:rPr>
        <w:t>残疾人福利性单位声明函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_Toc26439 \h </w:instrText>
      </w:r>
      <w:r>
        <w:rPr>
          <w:color w:val="000000" w:themeColor="text1"/>
          <w:highlight w:val="none"/>
        </w:rPr>
        <w:fldChar w:fldCharType="separate"/>
      </w:r>
      <w:r>
        <w:rPr>
          <w:color w:val="000000" w:themeColor="text1"/>
          <w:highlight w:val="none"/>
        </w:rPr>
        <w:t>64</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_Toc10228 </w:instrText>
      </w:r>
      <w:r>
        <w:rPr>
          <w:bCs/>
          <w:caps/>
          <w:color w:val="000000" w:themeColor="text1"/>
          <w:szCs w:val="21"/>
          <w:highlight w:val="none"/>
        </w:rPr>
        <w:fldChar w:fldCharType="separate"/>
      </w:r>
      <w:r>
        <w:rPr>
          <w:rFonts w:hint="eastAsia"/>
          <w:color w:val="000000" w:themeColor="text1"/>
          <w:highlight w:val="none"/>
        </w:rPr>
        <w:t>附件九：中标服务费承诺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_Toc10228 \h </w:instrText>
      </w:r>
      <w:r>
        <w:rPr>
          <w:color w:val="000000" w:themeColor="text1"/>
          <w:highlight w:val="none"/>
        </w:rPr>
        <w:fldChar w:fldCharType="separate"/>
      </w:r>
      <w:r>
        <w:rPr>
          <w:color w:val="000000" w:themeColor="text1"/>
          <w:highlight w:val="none"/>
        </w:rPr>
        <w:t>65</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_Toc3618 </w:instrText>
      </w:r>
      <w:r>
        <w:rPr>
          <w:bCs/>
          <w:caps/>
          <w:color w:val="000000" w:themeColor="text1"/>
          <w:szCs w:val="21"/>
          <w:highlight w:val="none"/>
        </w:rPr>
        <w:fldChar w:fldCharType="separate"/>
      </w:r>
      <w:r>
        <w:rPr>
          <w:rFonts w:hint="eastAsia"/>
          <w:color w:val="000000" w:themeColor="text1"/>
          <w:highlight w:val="none"/>
        </w:rPr>
        <w:t>附件十：投标人提交的其它商务和技术资料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_Toc3618 \h </w:instrText>
      </w:r>
      <w:r>
        <w:rPr>
          <w:color w:val="000000" w:themeColor="text1"/>
          <w:highlight w:val="none"/>
        </w:rPr>
        <w:fldChar w:fldCharType="separate"/>
      </w:r>
      <w:r>
        <w:rPr>
          <w:color w:val="000000" w:themeColor="text1"/>
          <w:highlight w:val="none"/>
        </w:rPr>
        <w:t>66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_Toc3048 </w:instrText>
      </w:r>
      <w:r>
        <w:rPr>
          <w:bCs/>
          <w:caps/>
          <w:color w:val="000000" w:themeColor="text1"/>
          <w:szCs w:val="21"/>
          <w:highlight w:val="none"/>
        </w:rPr>
        <w:fldChar w:fldCharType="separate"/>
      </w:r>
      <w:r>
        <w:rPr>
          <w:rFonts w:hint="eastAsia"/>
          <w:color w:val="000000" w:themeColor="text1"/>
          <w:highlight w:val="none"/>
        </w:rPr>
        <w:t>其 他 格 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_Toc3048 \h </w:instrText>
      </w:r>
      <w:r>
        <w:rPr>
          <w:color w:val="000000" w:themeColor="text1"/>
          <w:highlight w:val="none"/>
        </w:rPr>
        <w:fldChar w:fldCharType="separate"/>
      </w:r>
      <w:r>
        <w:rPr>
          <w:color w:val="000000" w:themeColor="text1"/>
          <w:highlight w:val="none"/>
        </w:rPr>
        <w:t>67</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_Toc18135 </w:instrText>
      </w:r>
      <w:r>
        <w:rPr>
          <w:bCs/>
          <w:caps/>
          <w:color w:val="000000" w:themeColor="text1"/>
          <w:szCs w:val="21"/>
          <w:highlight w:val="none"/>
        </w:rPr>
        <w:fldChar w:fldCharType="separate"/>
      </w:r>
      <w:r>
        <w:rPr>
          <w:rFonts w:hint="eastAsia" w:ascii="宋体" w:hAnsi="宋体" w:eastAsia="宋体"/>
          <w:color w:val="000000" w:themeColor="text1"/>
          <w:highlight w:val="none"/>
        </w:rPr>
        <w:t>投标保证金退付书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_Toc18135 \h </w:instrText>
      </w:r>
      <w:r>
        <w:rPr>
          <w:color w:val="000000" w:themeColor="text1"/>
          <w:highlight w:val="none"/>
        </w:rPr>
        <w:fldChar w:fldCharType="separate"/>
      </w:r>
      <w:r>
        <w:rPr>
          <w:color w:val="000000" w:themeColor="text1"/>
          <w:highlight w:val="none"/>
        </w:rPr>
        <w:t>68</w:t>
      </w:r>
      <w:r>
        <w:rPr>
          <w:color w:val="000000" w:themeColor="text1"/>
          <w:highlight w:val="none"/>
        </w:rPr>
        <w:fldChar w:fldCharType="end"/>
      </w:r>
      <w:r>
        <w:rPr>
          <w:bCs/>
          <w:caps/>
          <w:color w:val="000000" w:themeColor="text1"/>
          <w:szCs w:val="21"/>
          <w:highlight w:val="none"/>
        </w:rPr>
        <w:fldChar w:fldCharType="end"/>
      </w:r>
    </w:p>
    <w:p>
      <w:pPr>
        <w:rPr>
          <w:color w:val="000000" w:themeColor="text1"/>
          <w:highlight w:val="none"/>
        </w:rPr>
        <w:sectPr>
          <w:headerReference r:id="rId7" w:type="first"/>
          <w:footerReference r:id="rId8" w:type="first"/>
          <w:headerReference r:id="rId6" w:type="default"/>
          <w:type w:val="continuous"/>
          <w:pgSz w:w="11907" w:h="16840"/>
          <w:pgMar w:top="1418" w:right="1474" w:bottom="1418" w:left="1474" w:header="851" w:footer="851" w:gutter="0"/>
          <w:cols w:space="720" w:num="1"/>
          <w:docGrid w:linePitch="462" w:charSpace="0"/>
        </w:sectPr>
      </w:pPr>
      <w:r>
        <w:rPr>
          <w:bCs/>
          <w:caps/>
          <w:color w:val="000000" w:themeColor="text1"/>
          <w:szCs w:val="21"/>
          <w:highlight w:val="none"/>
        </w:rPr>
        <w:fldChar w:fldCharType="end"/>
      </w:r>
    </w:p>
    <w:bookmarkEnd w:id="0"/>
    <w:p>
      <w:pPr>
        <w:pStyle w:val="4"/>
        <w:numPr>
          <w:ilvl w:val="0"/>
          <w:numId w:val="0"/>
        </w:numPr>
        <w:spacing w:beforeLines="0"/>
        <w:rPr>
          <w:color w:val="000000" w:themeColor="text1"/>
          <w:highlight w:val="none"/>
        </w:rPr>
      </w:pPr>
      <w:bookmarkStart w:id="1" w:name="_Toc330459945"/>
      <w:bookmarkStart w:id="2" w:name="_Toc339441044"/>
      <w:bookmarkStart w:id="3" w:name="_Toc350438702"/>
      <w:bookmarkStart w:id="4" w:name="_Toc342296708"/>
      <w:bookmarkStart w:id="5" w:name="_Toc331512856"/>
      <w:bookmarkStart w:id="6" w:name="_Toc337632315"/>
      <w:bookmarkStart w:id="7" w:name="_Toc345513762"/>
      <w:bookmarkStart w:id="8" w:name="_Toc340672830"/>
      <w:bookmarkStart w:id="9" w:name="_Toc339019954"/>
      <w:bookmarkStart w:id="10" w:name="_Toc366072457"/>
      <w:bookmarkStart w:id="11" w:name="_Toc350756403"/>
      <w:bookmarkStart w:id="12" w:name="_Toc332206657"/>
      <w:bookmarkStart w:id="13" w:name="_Toc333935278"/>
      <w:bookmarkStart w:id="14" w:name="_Toc365967002"/>
      <w:bookmarkStart w:id="15" w:name="_Toc336681537"/>
      <w:bookmarkStart w:id="16" w:name="_Toc342060322"/>
      <w:bookmarkStart w:id="17" w:name="_Toc333237612"/>
      <w:bookmarkStart w:id="18" w:name="_Toc339020186"/>
      <w:bookmarkStart w:id="19" w:name="_Toc336681892"/>
      <w:bookmarkStart w:id="20" w:name="_Toc341348291"/>
      <w:bookmarkStart w:id="21" w:name="_Toc339020048"/>
      <w:bookmarkStart w:id="22" w:name="_Toc349143546"/>
      <w:bookmarkStart w:id="23" w:name="_Toc340677031"/>
      <w:bookmarkStart w:id="24" w:name="_Toc339362257"/>
      <w:bookmarkStart w:id="25" w:name="_Toc333935619"/>
      <w:bookmarkStart w:id="26" w:name="_Toc339019828"/>
      <w:bookmarkStart w:id="27" w:name="_Toc331683994"/>
      <w:bookmarkStart w:id="28" w:name="_Toc340507403"/>
      <w:bookmarkStart w:id="29" w:name="_Toc333237723"/>
      <w:bookmarkStart w:id="30" w:name="_Toc333238571"/>
      <w:bookmarkStart w:id="31" w:name="_Toc332270305"/>
      <w:bookmarkStart w:id="32" w:name="_Toc10599"/>
      <w:bookmarkStart w:id="33" w:name="_Toc365985108"/>
      <w:bookmarkStart w:id="34" w:name="_Toc349127583"/>
      <w:bookmarkStart w:id="35" w:name="_Toc500860978"/>
      <w:r>
        <w:rPr>
          <w:rFonts w:hint="eastAsia"/>
          <w:color w:val="000000" w:themeColor="text1"/>
          <w:highlight w:val="none"/>
        </w:rPr>
        <w:t>第一</w:t>
      </w:r>
      <w:bookmarkStart w:id="36" w:name="_Hlt23321731"/>
      <w:bookmarkEnd w:id="36"/>
      <w:r>
        <w:rPr>
          <w:rFonts w:hint="eastAsia"/>
          <w:color w:val="000000" w:themeColor="text1"/>
          <w:highlight w:val="none"/>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widowControl/>
        <w:tabs>
          <w:tab w:val="left" w:pos="502"/>
          <w:tab w:val="left" w:pos="5145"/>
        </w:tabs>
        <w:adjustRightInd w:val="0"/>
        <w:snapToGrid w:val="0"/>
        <w:spacing w:line="360" w:lineRule="auto"/>
        <w:ind w:left="105" w:leftChars="50" w:firstLine="420" w:firstLineChars="200"/>
        <w:jc w:val="left"/>
        <w:rPr>
          <w:rFonts w:ascii="宋体" w:hAnsi="宋体"/>
          <w:bCs/>
          <w:color w:val="000000" w:themeColor="text1"/>
          <w:highlight w:val="none"/>
        </w:rPr>
      </w:pPr>
      <w:r>
        <w:rPr>
          <w:rFonts w:hint="eastAsia" w:ascii="宋体" w:hAnsi="宋体"/>
          <w:bCs/>
          <w:color w:val="000000" w:themeColor="text1"/>
          <w:highlight w:val="none"/>
          <w:lang w:eastAsia="zh-CN"/>
        </w:rPr>
        <w:t>广东业信招标有限公司</w:t>
      </w:r>
      <w:r>
        <w:rPr>
          <w:rFonts w:hint="eastAsia" w:ascii="宋体" w:hAnsi="宋体"/>
          <w:bCs/>
          <w:color w:val="000000" w:themeColor="text1"/>
          <w:highlight w:val="none"/>
        </w:rPr>
        <w:t>（以下简称“代理采购机构”）受</w:t>
      </w:r>
      <w:r>
        <w:rPr>
          <w:rFonts w:hint="eastAsia" w:ascii="宋体" w:hAnsi="宋体"/>
          <w:bCs/>
          <w:color w:val="000000" w:themeColor="text1"/>
          <w:highlight w:val="none"/>
          <w:lang w:eastAsia="zh-CN"/>
        </w:rPr>
        <w:t>阳江市市场监督管理局江城分局</w:t>
      </w:r>
      <w:r>
        <w:rPr>
          <w:rFonts w:hint="eastAsia" w:ascii="宋体" w:hAnsi="宋体"/>
          <w:bCs/>
          <w:color w:val="000000" w:themeColor="text1"/>
          <w:highlight w:val="none"/>
        </w:rPr>
        <w:t>（以下简称</w:t>
      </w:r>
      <w:r>
        <w:rPr>
          <w:rFonts w:ascii="宋体" w:hAnsi="宋体"/>
          <w:bCs/>
          <w:color w:val="000000" w:themeColor="text1"/>
          <w:highlight w:val="none"/>
        </w:rPr>
        <w:t>“</w:t>
      </w:r>
      <w:r>
        <w:rPr>
          <w:rFonts w:hint="eastAsia" w:ascii="宋体" w:hAnsi="宋体"/>
          <w:bCs/>
          <w:color w:val="000000" w:themeColor="text1"/>
          <w:highlight w:val="none"/>
        </w:rPr>
        <w:t>采购人</w:t>
      </w:r>
      <w:r>
        <w:rPr>
          <w:rFonts w:ascii="宋体" w:hAnsi="宋体"/>
          <w:bCs/>
          <w:color w:val="000000" w:themeColor="text1"/>
          <w:highlight w:val="none"/>
        </w:rPr>
        <w:t>”</w:t>
      </w:r>
      <w:r>
        <w:rPr>
          <w:rFonts w:hint="eastAsia" w:ascii="宋体" w:hAnsi="宋体"/>
          <w:bCs/>
          <w:color w:val="000000" w:themeColor="text1"/>
          <w:highlight w:val="none"/>
        </w:rPr>
        <w:t>）的委托，就</w:t>
      </w:r>
      <w:r>
        <w:rPr>
          <w:rFonts w:hint="eastAsia" w:ascii="宋体" w:hAnsi="宋体"/>
          <w:bCs/>
          <w:color w:val="000000" w:themeColor="text1"/>
          <w:highlight w:val="none"/>
          <w:lang w:eastAsia="zh-CN"/>
        </w:rPr>
        <w:t>阳江市市场监督管理局江城分局2021年江城区食品抽检委托检验机构采购项目</w:t>
      </w:r>
      <w:r>
        <w:rPr>
          <w:rFonts w:hint="eastAsia" w:ascii="宋体" w:hAnsi="宋体"/>
          <w:bCs/>
          <w:color w:val="000000" w:themeColor="text1"/>
          <w:highlight w:val="none"/>
        </w:rPr>
        <w:t>进行公开招标(项目编号:</w:t>
      </w:r>
      <w:r>
        <w:rPr>
          <w:rFonts w:hint="eastAsia" w:ascii="宋体" w:hAnsi="宋体"/>
          <w:bCs/>
          <w:color w:val="000000" w:themeColor="text1"/>
          <w:highlight w:val="none"/>
          <w:lang w:eastAsia="zh-CN"/>
        </w:rPr>
        <w:t>YXZB-20211103</w:t>
      </w:r>
      <w:r>
        <w:rPr>
          <w:rFonts w:hint="eastAsia" w:ascii="宋体" w:hAnsi="宋体"/>
          <w:bCs/>
          <w:color w:val="000000" w:themeColor="text1"/>
          <w:highlight w:val="none"/>
        </w:rPr>
        <w:t>)，欢迎符合条件的投标人参加。有关事项如下：</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宋体" w:hAnsi="宋体" w:cs="Tahoma"/>
          <w:b/>
          <w:bCs/>
          <w:color w:val="000000" w:themeColor="text1"/>
          <w:highlight w:val="none"/>
        </w:rPr>
        <w:t>一、</w:t>
      </w:r>
      <w:r>
        <w:rPr>
          <w:rFonts w:hint="eastAsia" w:ascii="Tahoma" w:hAnsi="Tahoma" w:cs="Tahoma"/>
          <w:b/>
          <w:bCs/>
          <w:color w:val="000000" w:themeColor="text1"/>
          <w:szCs w:val="21"/>
          <w:highlight w:val="none"/>
        </w:rPr>
        <w:t>招标项目的名称、用途、数量、采购方式</w:t>
      </w:r>
    </w:p>
    <w:p>
      <w:pPr>
        <w:widowControl/>
        <w:numPr>
          <w:ilvl w:val="0"/>
          <w:numId w:val="20"/>
        </w:numPr>
        <w:tabs>
          <w:tab w:val="left" w:pos="735"/>
          <w:tab w:val="clear" w:pos="528"/>
        </w:tabs>
        <w:adjustRightInd w:val="0"/>
        <w:snapToGrid w:val="0"/>
        <w:spacing w:line="360" w:lineRule="auto"/>
        <w:ind w:left="1785" w:leftChars="200" w:hanging="1365" w:hangingChars="650"/>
        <w:rPr>
          <w:rFonts w:ascii="宋体" w:hAnsi="宋体"/>
          <w:bCs/>
          <w:color w:val="000000" w:themeColor="text1"/>
          <w:highlight w:val="none"/>
        </w:rPr>
      </w:pPr>
      <w:r>
        <w:rPr>
          <w:rFonts w:hint="eastAsia" w:ascii="宋体" w:hAnsi="宋体"/>
          <w:bCs/>
          <w:color w:val="000000" w:themeColor="text1"/>
          <w:highlight w:val="none"/>
        </w:rPr>
        <w:t>项目名称：</w:t>
      </w:r>
      <w:r>
        <w:rPr>
          <w:rFonts w:hint="eastAsia" w:ascii="宋体" w:hAnsi="宋体"/>
          <w:bCs/>
          <w:color w:val="000000" w:themeColor="text1"/>
          <w:highlight w:val="none"/>
          <w:lang w:eastAsia="zh-CN"/>
        </w:rPr>
        <w:t>阳江市市场监督管理局江城分局2021年江城区食品抽检委托检验机构采购项目</w:t>
      </w:r>
    </w:p>
    <w:p>
      <w:pPr>
        <w:widowControl/>
        <w:numPr>
          <w:ilvl w:val="0"/>
          <w:numId w:val="20"/>
        </w:numPr>
        <w:tabs>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bCs/>
          <w:color w:val="000000" w:themeColor="text1"/>
          <w:highlight w:val="none"/>
        </w:rPr>
        <w:t xml:space="preserve">项目编号: </w:t>
      </w:r>
      <w:r>
        <w:rPr>
          <w:rFonts w:hint="eastAsia" w:ascii="宋体" w:hAnsi="宋体"/>
          <w:bCs/>
          <w:color w:val="000000" w:themeColor="text1"/>
          <w:highlight w:val="none"/>
          <w:lang w:eastAsia="zh-CN"/>
        </w:rPr>
        <w:t>YXZB-20211103</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rPr>
        <w:t>投标报价上限：人民币</w:t>
      </w:r>
      <w:r>
        <w:rPr>
          <w:rFonts w:hint="eastAsia" w:ascii="宋体" w:hAnsi="宋体"/>
          <w:bCs/>
          <w:color w:val="000000" w:themeColor="text1"/>
          <w:highlight w:val="none"/>
          <w:lang w:val="en-US" w:eastAsia="zh-CN"/>
        </w:rPr>
        <w:t>600000.00</w:t>
      </w:r>
      <w:r>
        <w:rPr>
          <w:rFonts w:hint="eastAsia" w:ascii="宋体" w:hAnsi="宋体"/>
          <w:bCs/>
          <w:color w:val="000000" w:themeColor="text1"/>
          <w:highlight w:val="none"/>
        </w:rPr>
        <w:t>元</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lang w:val="en-US" w:eastAsia="zh-CN"/>
        </w:rPr>
        <w:t>各包组情况：</w:t>
      </w:r>
    </w:p>
    <w:tbl>
      <w:tblPr>
        <w:tblStyle w:val="46"/>
        <w:tblW w:w="0" w:type="auto"/>
        <w:jc w:val="center"/>
        <w:tblLayout w:type="fixed"/>
        <w:tblCellMar>
          <w:top w:w="0" w:type="dxa"/>
          <w:left w:w="92" w:type="dxa"/>
          <w:bottom w:w="0" w:type="dxa"/>
          <w:right w:w="0" w:type="dxa"/>
        </w:tblCellMar>
      </w:tblPr>
      <w:tblGrid>
        <w:gridCol w:w="1034"/>
        <w:gridCol w:w="4378"/>
        <w:gridCol w:w="872"/>
        <w:gridCol w:w="2466"/>
      </w:tblGrid>
      <w:tr>
        <w:tblPrEx>
          <w:tblCellMar>
            <w:top w:w="0" w:type="dxa"/>
            <w:left w:w="92" w:type="dxa"/>
            <w:bottom w:w="0" w:type="dxa"/>
            <w:right w:w="0" w:type="dxa"/>
          </w:tblCellMar>
        </w:tblPrEx>
        <w:trPr>
          <w:trHeight w:val="476" w:hRule="atLeast"/>
          <w:jc w:val="center"/>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ind w:left="79"/>
              <w:rPr>
                <w:color w:val="000000" w:themeColor="text1"/>
                <w:highlight w:val="none"/>
              </w:rPr>
            </w:pPr>
            <w:r>
              <w:rPr>
                <w:rFonts w:ascii="宋体" w:hAnsi="宋体" w:cs="宋体"/>
                <w:color w:val="000000" w:themeColor="text1"/>
                <w:highlight w:val="none"/>
              </w:rPr>
              <w:t>包组</w:t>
            </w:r>
            <w:r>
              <w:rPr>
                <w:rFonts w:hint="eastAsia" w:ascii="宋体" w:hAnsi="宋体" w:cs="宋体"/>
                <w:color w:val="000000" w:themeColor="text1"/>
                <w:highlight w:val="none"/>
                <w:lang w:val="en-US" w:eastAsia="zh-CN"/>
              </w:rPr>
              <w:t>号</w:t>
            </w:r>
            <w:r>
              <w:rPr>
                <w:rFonts w:ascii="宋体" w:hAnsi="宋体" w:cs="宋体"/>
                <w:color w:val="000000" w:themeColor="text1"/>
                <w:highlight w:val="none"/>
              </w:rPr>
              <w:t xml:space="preserve"> </w:t>
            </w:r>
          </w:p>
        </w:tc>
        <w:tc>
          <w:tcPr>
            <w:tcW w:w="4378" w:type="dxa"/>
            <w:tcBorders>
              <w:top w:val="single" w:color="000000" w:sz="4" w:space="0"/>
              <w:left w:val="single" w:color="000000" w:sz="4" w:space="0"/>
              <w:bottom w:val="single" w:color="000000" w:sz="4" w:space="0"/>
              <w:right w:val="single" w:color="000000" w:sz="4" w:space="0"/>
            </w:tcBorders>
            <w:noWrap w:val="0"/>
            <w:vAlign w:val="center"/>
          </w:tcPr>
          <w:p>
            <w:pPr>
              <w:ind w:right="91"/>
              <w:jc w:val="center"/>
              <w:rPr>
                <w:color w:val="000000" w:themeColor="text1"/>
                <w:highlight w:val="none"/>
              </w:rPr>
            </w:pPr>
            <w:r>
              <w:rPr>
                <w:rFonts w:ascii="宋体" w:hAnsi="宋体" w:cs="宋体"/>
                <w:color w:val="000000" w:themeColor="text1"/>
                <w:highlight w:val="none"/>
              </w:rPr>
              <w:t xml:space="preserve">服务内容 </w:t>
            </w: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themeColor="text1"/>
                <w:highlight w:val="none"/>
              </w:rPr>
            </w:pPr>
            <w:r>
              <w:rPr>
                <w:rFonts w:ascii="宋体" w:hAnsi="宋体" w:cs="宋体"/>
                <w:color w:val="000000" w:themeColor="text1"/>
                <w:highlight w:val="none"/>
              </w:rPr>
              <w:t>中标人数量</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highlight w:val="none"/>
              </w:rPr>
            </w:pPr>
            <w:r>
              <w:rPr>
                <w:rFonts w:ascii="宋体" w:hAnsi="宋体" w:cs="宋体"/>
                <w:color w:val="000000" w:themeColor="text1"/>
                <w:highlight w:val="none"/>
              </w:rPr>
              <w:t>最高限价</w:t>
            </w:r>
            <w:r>
              <w:rPr>
                <w:rFonts w:hint="eastAsia" w:ascii="宋体" w:hAnsi="宋体" w:cs="宋体"/>
                <w:color w:val="000000" w:themeColor="text1"/>
                <w:highlight w:val="none"/>
                <w:lang w:val="en-US" w:eastAsia="zh-CN"/>
              </w:rPr>
              <w:t>/</w:t>
            </w:r>
            <w:r>
              <w:rPr>
                <w:rFonts w:ascii="宋体" w:hAnsi="宋体" w:cs="宋体"/>
                <w:color w:val="000000" w:themeColor="text1"/>
                <w:highlight w:val="none"/>
              </w:rPr>
              <w:t>元</w:t>
            </w:r>
          </w:p>
          <w:p>
            <w:pPr>
              <w:jc w:val="center"/>
              <w:rPr>
                <w:color w:val="000000" w:themeColor="text1"/>
                <w:highlight w:val="none"/>
              </w:rPr>
            </w:pPr>
            <w:r>
              <w:rPr>
                <w:rFonts w:hint="eastAsia" w:ascii="宋体" w:hAnsi="宋体" w:cs="宋体"/>
                <w:color w:val="000000" w:themeColor="text1"/>
                <w:highlight w:val="none"/>
              </w:rPr>
              <w:t>（超出该上限的投标报价将作为无效投标处理）</w:t>
            </w:r>
          </w:p>
        </w:tc>
      </w:tr>
      <w:tr>
        <w:tblPrEx>
          <w:tblCellMar>
            <w:top w:w="0" w:type="dxa"/>
            <w:left w:w="92" w:type="dxa"/>
            <w:bottom w:w="0" w:type="dxa"/>
            <w:right w:w="0" w:type="dxa"/>
          </w:tblCellMar>
        </w:tblPrEx>
        <w:trPr>
          <w:trHeight w:val="479" w:hRule="atLeast"/>
          <w:jc w:val="center"/>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包组一</w:t>
            </w:r>
          </w:p>
        </w:tc>
        <w:tc>
          <w:tcPr>
            <w:tcW w:w="4378" w:type="dxa"/>
            <w:tcBorders>
              <w:top w:val="single" w:color="000000" w:sz="4" w:space="0"/>
              <w:left w:val="single" w:color="000000" w:sz="4" w:space="0"/>
              <w:bottom w:val="single" w:color="000000" w:sz="4" w:space="0"/>
              <w:right w:val="single" w:color="000000" w:sz="4" w:space="0"/>
            </w:tcBorders>
            <w:noWrap w:val="0"/>
            <w:vAlign w:val="center"/>
          </w:tcPr>
          <w:p>
            <w:pPr>
              <w:ind w:right="94"/>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2021年阳江市江城区食品安全抽检（300批）</w:t>
            </w: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ind w:right="92"/>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1家</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ind w:right="112"/>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300000.00</w:t>
            </w:r>
          </w:p>
        </w:tc>
      </w:tr>
      <w:tr>
        <w:tblPrEx>
          <w:tblCellMar>
            <w:top w:w="0" w:type="dxa"/>
            <w:left w:w="92" w:type="dxa"/>
            <w:bottom w:w="0" w:type="dxa"/>
            <w:right w:w="0" w:type="dxa"/>
          </w:tblCellMar>
        </w:tblPrEx>
        <w:trPr>
          <w:trHeight w:val="479" w:hRule="atLeast"/>
          <w:jc w:val="center"/>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包组二</w:t>
            </w:r>
          </w:p>
        </w:tc>
        <w:tc>
          <w:tcPr>
            <w:tcW w:w="4378" w:type="dxa"/>
            <w:tcBorders>
              <w:top w:val="single" w:color="000000" w:sz="4" w:space="0"/>
              <w:left w:val="single" w:color="000000" w:sz="4" w:space="0"/>
              <w:bottom w:val="single" w:color="000000" w:sz="4" w:space="0"/>
              <w:right w:val="single" w:color="000000" w:sz="4" w:space="0"/>
            </w:tcBorders>
            <w:noWrap w:val="0"/>
            <w:vAlign w:val="center"/>
          </w:tcPr>
          <w:p>
            <w:pPr>
              <w:ind w:right="94"/>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2021年阳江市江城区食品安全抽检（300批）</w:t>
            </w: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ind w:right="92"/>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1家</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ind w:right="112"/>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300000.00</w:t>
            </w:r>
          </w:p>
        </w:tc>
      </w:tr>
    </w:tbl>
    <w:p>
      <w:pPr>
        <w:widowControl/>
        <w:numPr>
          <w:ilvl w:val="0"/>
          <w:numId w:val="0"/>
        </w:numPr>
        <w:tabs>
          <w:tab w:val="left" w:pos="735"/>
        </w:tabs>
        <w:adjustRightInd w:val="0"/>
        <w:snapToGrid w:val="0"/>
        <w:spacing w:line="360" w:lineRule="auto"/>
        <w:ind w:leftChars="50" w:firstLine="420" w:firstLineChars="200"/>
        <w:rPr>
          <w:rFonts w:hint="eastAsia" w:ascii="宋体" w:hAnsi="宋体"/>
          <w:bCs/>
          <w:color w:val="000000" w:themeColor="text1"/>
          <w:highlight w:val="none"/>
          <w:lang w:val="en-US" w:eastAsia="zh-CN"/>
        </w:rPr>
      </w:pPr>
      <w:r>
        <w:rPr>
          <w:rFonts w:hint="eastAsia" w:ascii="宋体" w:hAnsi="宋体"/>
          <w:bCs/>
          <w:color w:val="000000" w:themeColor="text1"/>
          <w:highlight w:val="none"/>
        </w:rPr>
        <w:t>注：本项目投标人可同时投标多个包组，但只允许中标一个包组</w:t>
      </w:r>
      <w:r>
        <w:rPr>
          <w:rFonts w:hint="eastAsia" w:ascii="宋体" w:hAnsi="宋体"/>
          <w:bCs/>
          <w:color w:val="000000" w:themeColor="text1"/>
          <w:highlight w:val="none"/>
          <w:lang w:eastAsia="zh-CN"/>
        </w:rPr>
        <w:t>，</w:t>
      </w:r>
      <w:r>
        <w:rPr>
          <w:rFonts w:hint="eastAsia" w:ascii="宋体" w:hAnsi="宋体"/>
          <w:bCs/>
          <w:color w:val="000000" w:themeColor="text1"/>
          <w:highlight w:val="none"/>
          <w:lang w:val="en-US" w:eastAsia="zh-CN"/>
        </w:rPr>
        <w:t>按包组号的评审顺序中标</w:t>
      </w:r>
      <w:r>
        <w:rPr>
          <w:rFonts w:hint="eastAsia" w:ascii="宋体" w:hAnsi="宋体"/>
          <w:bCs/>
          <w:color w:val="000000" w:themeColor="text1"/>
          <w:highlight w:val="none"/>
        </w:rPr>
        <w:t>。</w:t>
      </w:r>
      <w:r>
        <w:rPr>
          <w:rFonts w:hint="eastAsia" w:ascii="宋体" w:hAnsi="宋体"/>
          <w:bCs/>
          <w:color w:val="000000" w:themeColor="text1"/>
          <w:highlight w:val="none"/>
          <w:lang w:val="en-US" w:eastAsia="zh-CN"/>
        </w:rPr>
        <w:t>根据一个投标人只能中标一个包组原则，如投标人已被包组一选为中标候选人，则不再参与包组二的中标候选人的推荐。</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rPr>
        <w:t>数  量：</w:t>
      </w:r>
      <w:r>
        <w:rPr>
          <w:rFonts w:hint="eastAsia" w:ascii="宋体" w:hAnsi="宋体"/>
          <w:bCs/>
          <w:color w:val="000000" w:themeColor="text1"/>
          <w:highlight w:val="none"/>
          <w:lang w:val="en-US" w:eastAsia="zh-CN"/>
        </w:rPr>
        <w:t>两</w:t>
      </w:r>
      <w:r>
        <w:rPr>
          <w:rFonts w:hint="eastAsia" w:ascii="宋体" w:hAnsi="宋体"/>
          <w:bCs/>
          <w:color w:val="000000" w:themeColor="text1"/>
          <w:highlight w:val="none"/>
        </w:rPr>
        <w:t>项</w:t>
      </w:r>
    </w:p>
    <w:p>
      <w:pPr>
        <w:widowControl/>
        <w:numPr>
          <w:ilvl w:val="0"/>
          <w:numId w:val="20"/>
        </w:numPr>
        <w:tabs>
          <w:tab w:val="left" w:pos="735"/>
          <w:tab w:val="clear" w:pos="528"/>
        </w:tabs>
        <w:adjustRightInd w:val="0"/>
        <w:snapToGrid w:val="0"/>
        <w:spacing w:line="360" w:lineRule="auto"/>
        <w:ind w:left="736" w:leftChars="200" w:hanging="316" w:hangingChars="150"/>
        <w:rPr>
          <w:rFonts w:ascii="宋体" w:hAnsi="宋体"/>
          <w:bCs/>
          <w:color w:val="000000" w:themeColor="text1"/>
          <w:highlight w:val="none"/>
        </w:rPr>
      </w:pPr>
      <w:r>
        <w:rPr>
          <w:rFonts w:hint="eastAsia" w:ascii="宋体" w:hAnsi="宋体"/>
          <w:b/>
          <w:bCs/>
          <w:color w:val="000000" w:themeColor="text1"/>
          <w:szCs w:val="21"/>
          <w:highlight w:val="none"/>
        </w:rPr>
        <w:t>服务期</w:t>
      </w:r>
      <w:r>
        <w:rPr>
          <w:rFonts w:hint="eastAsia" w:ascii="宋体" w:hAnsi="宋体"/>
          <w:b/>
          <w:bCs/>
          <w:color w:val="000000" w:themeColor="text1"/>
          <w:spacing w:val="-6"/>
          <w:szCs w:val="21"/>
          <w:highlight w:val="none"/>
        </w:rPr>
        <w:t>：</w:t>
      </w:r>
      <w:r>
        <w:rPr>
          <w:rFonts w:hint="eastAsia" w:ascii="宋体" w:hAnsi="宋体" w:eastAsia="宋体" w:cs="宋体"/>
          <w:color w:val="000000" w:themeColor="text1"/>
          <w:highlight w:val="none"/>
          <w:lang w:val="en-US" w:eastAsia="zh-CN"/>
        </w:rPr>
        <w:t>自合同签订之日起至2021年12月31日。</w:t>
      </w:r>
      <w:r>
        <w:rPr>
          <w:rFonts w:hint="eastAsia" w:ascii="宋体" w:hAnsi="宋体"/>
          <w:bCs/>
          <w:color w:val="000000" w:themeColor="text1"/>
          <w:highlight w:val="none"/>
        </w:rPr>
        <w:t>（</w:t>
      </w:r>
      <w:r>
        <w:rPr>
          <w:rFonts w:hint="eastAsia" w:ascii="宋体" w:hAnsi="宋体"/>
          <w:bCs/>
          <w:color w:val="000000" w:themeColor="text1"/>
          <w:highlight w:val="none"/>
          <w:lang w:val="en-US" w:eastAsia="zh-CN"/>
        </w:rPr>
        <w:t>少于</w:t>
      </w:r>
      <w:r>
        <w:rPr>
          <w:rFonts w:hint="eastAsia" w:ascii="宋体" w:hAnsi="宋体"/>
          <w:bCs/>
          <w:color w:val="000000" w:themeColor="text1"/>
          <w:highlight w:val="none"/>
        </w:rPr>
        <w:t>该服务期将作为无效投标处理）</w:t>
      </w:r>
    </w:p>
    <w:p>
      <w:pPr>
        <w:widowControl/>
        <w:numPr>
          <w:ilvl w:val="0"/>
          <w:numId w:val="20"/>
        </w:numPr>
        <w:tabs>
          <w:tab w:val="left" w:pos="315"/>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cs="Tahoma"/>
          <w:color w:val="000000" w:themeColor="text1"/>
          <w:kern w:val="28"/>
          <w:szCs w:val="21"/>
          <w:highlight w:val="none"/>
        </w:rPr>
        <w:t>项目采购方式：公开招标</w:t>
      </w:r>
    </w:p>
    <w:p>
      <w:pPr>
        <w:widowControl/>
        <w:tabs>
          <w:tab w:val="left" w:pos="502"/>
        </w:tabs>
        <w:adjustRightInd w:val="0"/>
        <w:snapToGrid w:val="0"/>
        <w:spacing w:line="360" w:lineRule="auto"/>
        <w:rPr>
          <w:rFonts w:ascii="宋体" w:hAnsi="宋体" w:cs="Tahoma"/>
          <w:b/>
          <w:bCs/>
          <w:color w:val="000000" w:themeColor="text1"/>
          <w:highlight w:val="none"/>
        </w:rPr>
      </w:pPr>
      <w:r>
        <w:rPr>
          <w:rFonts w:hint="eastAsia" w:ascii="宋体" w:hAnsi="宋体" w:cs="Tahoma"/>
          <w:b/>
          <w:bCs/>
          <w:color w:val="000000" w:themeColor="text1"/>
          <w:highlight w:val="none"/>
        </w:rPr>
        <w:t>二、投标人资格要求为：</w:t>
      </w:r>
    </w:p>
    <w:p>
      <w:pPr>
        <w:widowControl/>
        <w:tabs>
          <w:tab w:val="left" w:pos="502"/>
        </w:tabs>
        <w:adjustRightInd w:val="0"/>
        <w:snapToGrid w:val="0"/>
        <w:spacing w:line="360" w:lineRule="auto"/>
        <w:ind w:left="105" w:leftChars="50" w:firstLine="209" w:firstLineChars="99"/>
        <w:rPr>
          <w:rFonts w:hint="default" w:ascii="宋体" w:hAnsi="宋体" w:eastAsia="宋体" w:cs="Tahoma"/>
          <w:b/>
          <w:bCs/>
          <w:color w:val="000000" w:themeColor="text1"/>
          <w:highlight w:val="none"/>
          <w:lang w:val="en-US" w:eastAsia="zh-CN"/>
        </w:rPr>
      </w:pPr>
      <w:r>
        <w:rPr>
          <w:rFonts w:hint="eastAsia" w:ascii="宋体" w:hAnsi="宋体" w:cs="Tahoma"/>
          <w:b/>
          <w:bCs/>
          <w:color w:val="000000" w:themeColor="text1"/>
          <w:highlight w:val="none"/>
          <w:lang w:val="en-US" w:eastAsia="zh-CN"/>
        </w:rPr>
        <w:t>（包组一、包组二）</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widowControl/>
        <w:tabs>
          <w:tab w:val="left" w:pos="525"/>
        </w:tabs>
        <w:adjustRightInd w:val="0"/>
        <w:snapToGrid w:val="0"/>
        <w:spacing w:line="360" w:lineRule="auto"/>
        <w:ind w:left="630" w:leftChars="300"/>
        <w:rPr>
          <w:rFonts w:ascii="宋体" w:hAnsi="宋体"/>
          <w:color w:val="000000" w:themeColor="text1"/>
          <w:highlight w:val="none"/>
        </w:rPr>
      </w:pPr>
      <w:r>
        <w:rPr>
          <w:rFonts w:hint="eastAsia" w:ascii="宋体" w:hAnsi="宋体"/>
          <w:color w:val="000000" w:themeColor="text1"/>
          <w:szCs w:val="21"/>
          <w:highlight w:val="none"/>
        </w:rPr>
        <w:t>1）具有独立承担民事责任的能力；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2）具有良好的商业信誉和健全的财务会计制度；</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3）具有履行合同所必需的设备和专业技术能力；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4）有依法缴纳税收和社会保障资金的良好记录；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5）参加政府采购活动前三年内，在经营活动中没有重大违法记录；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6）法律、行政法规规定的其他条件。</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eastAsia="宋体" w:cs="宋体"/>
          <w:color w:val="000000" w:themeColor="text1"/>
          <w:szCs w:val="21"/>
          <w:highlight w:val="none"/>
        </w:rPr>
        <w:t>投标人或其实验室必须具有有效期内的计量认证CMA证书，或具有有效的检验检测能力（含食品）的检验检测机构资质认定CMA证书，需提供有效期内的证书复印件，并加盖公章</w:t>
      </w:r>
      <w:r>
        <w:rPr>
          <w:rFonts w:hint="eastAsia" w:ascii="宋体" w:hAnsi="宋体" w:eastAsia="宋体" w:cs="宋体"/>
          <w:color w:val="000000" w:themeColor="text1"/>
          <w:szCs w:val="21"/>
          <w:highlight w:val="none"/>
          <w:lang w:eastAsia="zh-CN"/>
        </w:rPr>
        <w:t>。</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eastAsia="宋体" w:cs="宋体"/>
          <w:color w:val="000000" w:themeColor="text1"/>
          <w:highlight w:val="none"/>
          <w:lang w:val="en-US" w:eastAsia="zh-CN"/>
        </w:rPr>
        <w:t>为采购项目提供整体设计、规范编制或者项目管理、监理、检测等服务的供应商，不得再参加该采购项目的其他采购活动。（提供《投标函》承诺）</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eastAsia="宋体" w:cs="宋体"/>
          <w:color w:val="000000" w:themeColor="text1"/>
          <w:highlight w:val="none"/>
          <w:lang w:val="en-US" w:eastAsia="zh-CN"/>
        </w:rPr>
        <w:t>单位负责人为同一人或者存在直接控股、管理关系的不同供应商，不得参加同一合同项下的政府采购活动。（提供《投标函》承诺）</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本项目不接受联合体投标；</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投标人</w:t>
      </w:r>
      <w:r>
        <w:rPr>
          <w:rFonts w:hint="eastAsia" w:hAnsi="宋体"/>
          <w:color w:val="000000" w:themeColor="text1"/>
          <w:szCs w:val="21"/>
          <w:highlight w:val="none"/>
        </w:rPr>
        <w:t>须</w:t>
      </w:r>
      <w:r>
        <w:rPr>
          <w:rFonts w:hint="eastAsia" w:hAnsi="宋体" w:cs="宋体"/>
          <w:color w:val="000000" w:themeColor="text1"/>
          <w:szCs w:val="21"/>
          <w:highlight w:val="none"/>
        </w:rPr>
        <w:t>在招标代理机构登记并购买招标文件。</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三、</w:t>
      </w:r>
      <w:r>
        <w:rPr>
          <w:rFonts w:ascii="Tahoma" w:hAnsi="Tahoma" w:cs="Tahoma"/>
          <w:b/>
          <w:bCs/>
          <w:color w:val="000000" w:themeColor="text1"/>
          <w:szCs w:val="21"/>
          <w:highlight w:val="none"/>
        </w:rPr>
        <w:t>招标文件的公示</w:t>
      </w:r>
    </w:p>
    <w:p>
      <w:pPr>
        <w:spacing w:line="360" w:lineRule="auto"/>
        <w:ind w:firstLine="210" w:firstLineChars="100"/>
        <w:rPr>
          <w:rFonts w:hint="eastAsia" w:ascii="宋体" w:hAnsi="宋体" w:eastAsia="宋体" w:cs="宋体"/>
          <w:bCs/>
          <w:color w:val="000000" w:themeColor="text1"/>
          <w:highlight w:val="none"/>
        </w:rPr>
      </w:pPr>
      <w:r>
        <w:rPr>
          <w:rFonts w:hint="eastAsia" w:ascii="宋体" w:hAnsi="宋体" w:cs="宋体"/>
          <w:color w:val="000000" w:themeColor="text1"/>
          <w:kern w:val="0"/>
          <w:szCs w:val="21"/>
          <w:highlight w:val="none"/>
        </w:rPr>
        <w:t>1．</w:t>
      </w:r>
      <w:r>
        <w:rPr>
          <w:rFonts w:hint="eastAsia" w:ascii="宋体" w:hAnsi="宋体" w:cs="Arial"/>
          <w:color w:val="000000" w:themeColor="text1"/>
          <w:highlight w:val="none"/>
        </w:rPr>
        <w:t>招标文件公</w:t>
      </w:r>
      <w:r>
        <w:rPr>
          <w:rFonts w:hint="eastAsia" w:ascii="宋体" w:hAnsi="宋体" w:eastAsia="宋体" w:cs="宋体"/>
          <w:color w:val="000000" w:themeColor="text1"/>
          <w:highlight w:val="none"/>
        </w:rPr>
        <w:t>示时</w:t>
      </w:r>
      <w:r>
        <w:rPr>
          <w:rFonts w:hint="eastAsia" w:ascii="宋体" w:hAnsi="宋体" w:eastAsia="宋体" w:cs="宋体"/>
          <w:bCs/>
          <w:color w:val="000000" w:themeColor="text1"/>
          <w:highlight w:val="none"/>
        </w:rPr>
        <w:t>间及下载：</w:t>
      </w:r>
      <w:r>
        <w:rPr>
          <w:rFonts w:hint="eastAsia" w:ascii="宋体" w:hAnsi="宋体" w:eastAsia="宋体" w:cs="宋体"/>
          <w:color w:val="000000" w:themeColor="text1"/>
          <w:kern w:val="2"/>
          <w:sz w:val="21"/>
          <w:szCs w:val="24"/>
          <w:highlight w:val="none"/>
          <w:lang w:val="en-US" w:eastAsia="zh-CN" w:bidi="ar-SA"/>
        </w:rPr>
        <w:t>2021年11月5日</w:t>
      </w:r>
      <w:r>
        <w:rPr>
          <w:rFonts w:hint="eastAsia" w:ascii="宋体" w:hAnsi="宋体" w:eastAsia="宋体" w:cs="宋体"/>
          <w:color w:val="000000" w:themeColor="text1"/>
          <w:szCs w:val="21"/>
          <w:highlight w:val="none"/>
        </w:rPr>
        <w:t>至</w:t>
      </w:r>
      <w:r>
        <w:rPr>
          <w:rFonts w:hint="eastAsia" w:ascii="宋体" w:hAnsi="宋体" w:eastAsia="宋体" w:cs="宋体"/>
          <w:color w:val="000000" w:themeColor="text1"/>
          <w:kern w:val="2"/>
          <w:sz w:val="21"/>
          <w:szCs w:val="24"/>
          <w:highlight w:val="none"/>
          <w:lang w:val="en-US" w:eastAsia="zh-CN" w:bidi="ar-SA"/>
        </w:rPr>
        <w:t>2021年11月12日</w:t>
      </w:r>
      <w:r>
        <w:rPr>
          <w:rFonts w:hint="eastAsia" w:ascii="宋体" w:hAnsi="宋体" w:eastAsia="宋体" w:cs="宋体"/>
          <w:bCs/>
          <w:color w:val="000000" w:themeColor="text1"/>
          <w:highlight w:val="none"/>
        </w:rPr>
        <w:t>。</w:t>
      </w:r>
    </w:p>
    <w:p>
      <w:pPr>
        <w:widowControl/>
        <w:adjustRightInd w:val="0"/>
        <w:snapToGrid w:val="0"/>
        <w:spacing w:line="360" w:lineRule="auto"/>
        <w:ind w:left="315" w:leftChars="100" w:hanging="105" w:hangingChars="50"/>
        <w:rPr>
          <w:rFonts w:ascii="宋体" w:hAnsi="宋体" w:cs="宋体"/>
          <w:color w:val="000000" w:themeColor="text1"/>
          <w:kern w:val="0"/>
          <w:szCs w:val="21"/>
          <w:highlight w:val="none"/>
        </w:rPr>
      </w:pPr>
      <w:r>
        <w:rPr>
          <w:rFonts w:hint="eastAsia" w:ascii="宋体" w:hAnsi="宋体"/>
          <w:bCs/>
          <w:color w:val="000000" w:themeColor="text1"/>
          <w:highlight w:val="none"/>
        </w:rPr>
        <w:t>2．</w:t>
      </w:r>
      <w:r>
        <w:rPr>
          <w:rFonts w:ascii="宋体" w:hAnsi="宋体"/>
          <w:bCs/>
          <w:color w:val="000000" w:themeColor="text1"/>
          <w:highlight w:val="none"/>
        </w:rPr>
        <w:t>根据《广东省实施〈中华人民共和国政府采购法〉办法》第三十五条的规定，投标人认为政府采购文件的内容损害其权益</w:t>
      </w:r>
      <w:r>
        <w:rPr>
          <w:rFonts w:ascii="宋体" w:hAnsi="宋体" w:cs="宋体"/>
          <w:color w:val="000000" w:themeColor="text1"/>
          <w:kern w:val="0"/>
          <w:szCs w:val="21"/>
          <w:highlight w:val="none"/>
        </w:rPr>
        <w:t>的，可以在公示期间或者自期满之日起七个工作日内以书面形式向采购人或</w:t>
      </w:r>
      <w:r>
        <w:rPr>
          <w:rFonts w:hint="eastAsia" w:ascii="宋体" w:hAnsi="宋体" w:cs="宋体"/>
          <w:color w:val="000000" w:themeColor="text1"/>
          <w:kern w:val="0"/>
          <w:szCs w:val="21"/>
          <w:highlight w:val="none"/>
        </w:rPr>
        <w:t>代理采购机构</w:t>
      </w:r>
      <w:r>
        <w:rPr>
          <w:rFonts w:ascii="宋体" w:hAnsi="宋体" w:cs="宋体"/>
          <w:color w:val="000000" w:themeColor="text1"/>
          <w:kern w:val="0"/>
          <w:szCs w:val="21"/>
          <w:highlight w:val="none"/>
        </w:rPr>
        <w:t>提出质疑。质疑函应当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投标人的法定代表人</w:t>
      </w:r>
      <w:r>
        <w:rPr>
          <w:rFonts w:ascii="宋体" w:hAnsi="宋体" w:cs="宋体"/>
          <w:color w:val="000000" w:themeColor="text1"/>
          <w:kern w:val="0"/>
          <w:szCs w:val="21"/>
          <w:highlight w:val="none"/>
        </w:rPr>
        <w:t>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numPr>
          <w:ilvl w:val="0"/>
          <w:numId w:val="23"/>
        </w:numPr>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购买招标文件的时间、地点、方式及招标文件售价</w:t>
      </w:r>
    </w:p>
    <w:p>
      <w:pPr>
        <w:widowControl/>
        <w:tabs>
          <w:tab w:val="left" w:pos="735"/>
        </w:tabs>
        <w:adjustRightInd w:val="0"/>
        <w:snapToGrid w:val="0"/>
        <w:spacing w:line="360" w:lineRule="auto"/>
        <w:ind w:left="210" w:leftChars="100"/>
        <w:rPr>
          <w:rFonts w:hint="eastAsia" w:ascii="宋体" w:hAnsi="宋体" w:eastAsia="宋体" w:cs="宋体"/>
          <w:color w:val="000000" w:themeColor="text1"/>
          <w:highlight w:val="none"/>
        </w:rPr>
      </w:pPr>
      <w:r>
        <w:rPr>
          <w:rFonts w:hint="eastAsia" w:ascii="宋体" w:hAnsi="宋体" w:cs="Tahoma"/>
          <w:color w:val="000000" w:themeColor="text1"/>
          <w:highlight w:val="none"/>
        </w:rPr>
        <w:t>1.购买招标文件</w:t>
      </w:r>
      <w:r>
        <w:rPr>
          <w:rFonts w:hint="eastAsia" w:ascii="宋体" w:hAnsi="宋体"/>
          <w:bCs/>
          <w:color w:val="000000" w:themeColor="text1"/>
          <w:highlight w:val="none"/>
        </w:rPr>
        <w:t>时间：</w:t>
      </w:r>
      <w:r>
        <w:rPr>
          <w:rFonts w:hint="eastAsia" w:ascii="宋体" w:hAnsi="宋体" w:eastAsia="宋体" w:cs="宋体"/>
          <w:color w:val="000000" w:themeColor="text1"/>
          <w:kern w:val="2"/>
          <w:sz w:val="21"/>
          <w:szCs w:val="24"/>
          <w:highlight w:val="none"/>
          <w:lang w:val="en-US" w:eastAsia="zh-CN" w:bidi="ar-SA"/>
        </w:rPr>
        <w:t>2021年11月5日</w:t>
      </w:r>
      <w:r>
        <w:rPr>
          <w:rFonts w:hint="eastAsia" w:ascii="宋体" w:hAnsi="宋体" w:eastAsia="宋体" w:cs="宋体"/>
          <w:color w:val="000000" w:themeColor="text1"/>
          <w:szCs w:val="21"/>
          <w:highlight w:val="none"/>
        </w:rPr>
        <w:t>至</w:t>
      </w:r>
      <w:r>
        <w:rPr>
          <w:rFonts w:hint="eastAsia" w:ascii="宋体" w:hAnsi="宋体" w:eastAsia="宋体" w:cs="宋体"/>
          <w:color w:val="000000" w:themeColor="text1"/>
          <w:kern w:val="2"/>
          <w:sz w:val="21"/>
          <w:szCs w:val="24"/>
          <w:highlight w:val="none"/>
          <w:lang w:val="en-US" w:eastAsia="zh-CN" w:bidi="ar-SA"/>
        </w:rPr>
        <w:t>2021年11月1</w:t>
      </w:r>
      <w:r>
        <w:rPr>
          <w:rFonts w:hint="eastAsia" w:ascii="宋体" w:hAnsi="宋体" w:cs="宋体"/>
          <w:color w:val="000000" w:themeColor="text1"/>
          <w:kern w:val="2"/>
          <w:sz w:val="21"/>
          <w:szCs w:val="24"/>
          <w:highlight w:val="none"/>
          <w:lang w:val="en-US" w:eastAsia="zh-CN" w:bidi="ar-SA"/>
        </w:rPr>
        <w:t>9</w:t>
      </w:r>
      <w:r>
        <w:rPr>
          <w:rFonts w:hint="eastAsia" w:ascii="宋体" w:hAnsi="宋体" w:eastAsia="宋体" w:cs="宋体"/>
          <w:color w:val="000000" w:themeColor="text1"/>
          <w:kern w:val="2"/>
          <w:sz w:val="21"/>
          <w:szCs w:val="24"/>
          <w:highlight w:val="none"/>
          <w:lang w:val="en-US" w:eastAsia="zh-CN" w:bidi="ar-SA"/>
        </w:rPr>
        <w:t>日</w:t>
      </w:r>
      <w:r>
        <w:rPr>
          <w:rFonts w:hint="eastAsia" w:ascii="宋体" w:hAnsi="宋体" w:eastAsia="宋体" w:cs="宋体"/>
          <w:bCs/>
          <w:color w:val="000000" w:themeColor="text1"/>
          <w:highlight w:val="none"/>
        </w:rPr>
        <w:t>，上午9:00～12:00，下午2:30～5:30（节假日除外）（北</w:t>
      </w:r>
      <w:r>
        <w:rPr>
          <w:rFonts w:hint="eastAsia" w:ascii="宋体" w:hAnsi="宋体" w:eastAsia="宋体" w:cs="宋体"/>
          <w:color w:val="000000" w:themeColor="text1"/>
          <w:highlight w:val="none"/>
        </w:rPr>
        <w:t>京时间）。</w:t>
      </w:r>
    </w:p>
    <w:p>
      <w:pPr>
        <w:widowControl/>
        <w:tabs>
          <w:tab w:val="left" w:pos="735"/>
        </w:tabs>
        <w:adjustRightInd w:val="0"/>
        <w:snapToGrid w:val="0"/>
        <w:spacing w:line="360" w:lineRule="auto"/>
        <w:ind w:left="210" w:leftChars="1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2.购买招标文件地点：</w:t>
      </w:r>
      <w:r>
        <w:rPr>
          <w:rFonts w:hint="eastAsia" w:ascii="宋体" w:hAnsi="宋体" w:eastAsia="宋体" w:cs="宋体"/>
          <w:color w:val="000000" w:themeColor="text1"/>
          <w:szCs w:val="21"/>
          <w:highlight w:val="none"/>
          <w:lang w:eastAsia="zh-CN"/>
        </w:rPr>
        <w:t>阳江市江城区猫山四街33号A座2楼</w:t>
      </w:r>
      <w:r>
        <w:rPr>
          <w:rFonts w:hint="eastAsia" w:ascii="宋体" w:hAnsi="宋体" w:eastAsia="宋体" w:cs="宋体"/>
          <w:color w:val="000000" w:themeColor="text1"/>
          <w:szCs w:val="21"/>
          <w:highlight w:val="none"/>
          <w:lang w:val="en-US" w:eastAsia="zh-CN"/>
        </w:rPr>
        <w:t>205室</w:t>
      </w:r>
      <w:r>
        <w:rPr>
          <w:rFonts w:hint="eastAsia" w:ascii="宋体" w:hAnsi="宋体" w:eastAsia="宋体" w:cs="宋体"/>
          <w:color w:val="000000" w:themeColor="text1"/>
          <w:szCs w:val="21"/>
          <w:highlight w:val="none"/>
        </w:rPr>
        <w:t>。</w:t>
      </w:r>
    </w:p>
    <w:p>
      <w:pPr>
        <w:widowControl/>
        <w:tabs>
          <w:tab w:val="left" w:pos="735"/>
        </w:tabs>
        <w:adjustRightInd w:val="0"/>
        <w:snapToGrid w:val="0"/>
        <w:spacing w:line="360" w:lineRule="auto"/>
        <w:ind w:left="210" w:leftChars="100"/>
        <w:rPr>
          <w:rFonts w:hint="eastAsia" w:ascii="宋体" w:hAnsi="宋体" w:eastAsia="宋体" w:cs="宋体"/>
          <w:color w:val="000000" w:themeColor="text1"/>
          <w:highlight w:val="none"/>
        </w:rPr>
      </w:pPr>
      <w:r>
        <w:rPr>
          <w:rFonts w:hint="eastAsia" w:ascii="宋体" w:hAnsi="宋体" w:eastAsia="宋体" w:cs="宋体"/>
          <w:bCs/>
          <w:color w:val="000000" w:themeColor="text1"/>
          <w:highlight w:val="none"/>
        </w:rPr>
        <w:t>3.招标文件售价：</w:t>
      </w:r>
      <w:r>
        <w:rPr>
          <w:rFonts w:hint="eastAsia" w:ascii="宋体" w:hAnsi="宋体" w:eastAsia="宋体" w:cs="宋体"/>
          <w:bCs/>
          <w:color w:val="000000" w:themeColor="text1"/>
          <w:szCs w:val="21"/>
          <w:highlight w:val="none"/>
        </w:rPr>
        <w:t>招标文件每套人民币300元，售后不退</w:t>
      </w:r>
      <w:r>
        <w:rPr>
          <w:rFonts w:hint="eastAsia" w:ascii="宋体" w:hAnsi="宋体" w:eastAsia="宋体" w:cs="宋体"/>
          <w:bCs/>
          <w:color w:val="000000" w:themeColor="text1"/>
          <w:highlight w:val="none"/>
        </w:rPr>
        <w:t>。</w:t>
      </w:r>
    </w:p>
    <w:p>
      <w:pPr>
        <w:widowControl/>
        <w:tabs>
          <w:tab w:val="left" w:pos="735"/>
        </w:tabs>
        <w:adjustRightInd w:val="0"/>
        <w:snapToGrid w:val="0"/>
        <w:spacing w:line="360" w:lineRule="auto"/>
        <w:ind w:left="420" w:leftChars="100" w:hanging="210" w:hangingChars="10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4.招标文件获取方式：现场发售。</w:t>
      </w:r>
    </w:p>
    <w:p>
      <w:pPr>
        <w:widowControl/>
        <w:tabs>
          <w:tab w:val="left" w:pos="735"/>
        </w:tabs>
        <w:adjustRightInd w:val="0"/>
        <w:snapToGrid w:val="0"/>
        <w:spacing w:line="360" w:lineRule="auto"/>
        <w:ind w:left="420" w:leftChars="100" w:hanging="210" w:hangingChars="100"/>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highlight w:val="none"/>
        </w:rPr>
        <w:t>5.</w:t>
      </w:r>
      <w:r>
        <w:rPr>
          <w:rFonts w:hint="eastAsia" w:ascii="宋体" w:hAnsi="宋体" w:eastAsia="宋体" w:cs="宋体"/>
          <w:bCs/>
          <w:color w:val="000000" w:themeColor="text1"/>
          <w:szCs w:val="21"/>
          <w:highlight w:val="none"/>
        </w:rPr>
        <w:t>购买招标文件必须携带:</w:t>
      </w:r>
    </w:p>
    <w:p>
      <w:pPr>
        <w:widowControl/>
        <w:tabs>
          <w:tab w:val="left" w:pos="735"/>
        </w:tabs>
        <w:adjustRightInd w:val="0"/>
        <w:snapToGrid w:val="0"/>
        <w:spacing w:line="360" w:lineRule="auto"/>
        <w:ind w:left="659" w:leftChars="164" w:hanging="315" w:hangingChars="150"/>
        <w:rPr>
          <w:rFonts w:hint="eastAsia" w:ascii="宋体" w:hAnsi="宋体" w:eastAsia="宋体" w:cs="宋体"/>
          <w:bCs/>
          <w:color w:val="000000" w:themeColor="text1"/>
          <w:highlight w:val="none"/>
        </w:rPr>
      </w:pPr>
      <w:r>
        <w:rPr>
          <w:rFonts w:hint="eastAsia" w:ascii="宋体" w:hAnsi="宋体" w:eastAsia="宋体" w:cs="宋体"/>
          <w:bCs/>
          <w:color w:val="000000" w:themeColor="text1"/>
          <w:szCs w:val="21"/>
          <w:highlight w:val="none"/>
        </w:rPr>
        <w:t>1）法定代表人（负责人）证明书原件、法定代表人（负责人）授权委托书原件、法定代表人（负责人）身份证复印件、授权委托人身份证复印件、营业执照副本复印件和相关资质证书复印件及《购买标书登记表》（</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"http://www.yjgpc.gov.cn/" </w:instrText>
      </w:r>
      <w:r>
        <w:rPr>
          <w:rFonts w:hint="eastAsia" w:ascii="宋体" w:hAnsi="宋体" w:eastAsia="宋体" w:cs="宋体"/>
          <w:color w:val="000000" w:themeColor="text1"/>
          <w:highlight w:val="none"/>
        </w:rPr>
        <w:fldChar w:fldCharType="separate"/>
      </w:r>
      <w:r>
        <w:rPr>
          <w:rStyle w:val="51"/>
          <w:rFonts w:hint="eastAsia" w:ascii="宋体" w:hAnsi="宋体" w:eastAsia="宋体" w:cs="宋体"/>
          <w:color w:val="000000" w:themeColor="text1"/>
          <w:highlight w:val="none"/>
        </w:rPr>
        <w:t>http://www.yjcg.cc</w:t>
      </w:r>
      <w:r>
        <w:rPr>
          <w:rStyle w:val="51"/>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"http://www.yjcg.cc/index.php?c=content&amp;a=list&amp;catid=14" \o "政府采购资料下载" </w:instrText>
      </w:r>
      <w:r>
        <w:rPr>
          <w:rFonts w:hint="eastAsia" w:ascii="宋体" w:hAnsi="宋体" w:eastAsia="宋体" w:cs="宋体"/>
          <w:color w:val="000000" w:themeColor="text1"/>
          <w:highlight w:val="none"/>
        </w:rPr>
        <w:fldChar w:fldCharType="separate"/>
      </w:r>
      <w:r>
        <w:rPr>
          <w:rStyle w:val="51"/>
          <w:rFonts w:hint="eastAsia" w:ascii="宋体" w:hAnsi="宋体" w:eastAsia="宋体" w:cs="宋体"/>
          <w:bCs/>
          <w:color w:val="000000" w:themeColor="text1"/>
          <w:highlight w:val="none"/>
        </w:rPr>
        <w:t>政府采购资料</w:t>
      </w:r>
      <w:r>
        <w:rPr>
          <w:rStyle w:val="51"/>
          <w:rFonts w:hint="eastAsia" w:ascii="宋体" w:hAnsi="宋体" w:eastAsia="宋体" w:cs="宋体"/>
          <w:bCs/>
          <w:color w:val="000000" w:themeColor="text1"/>
          <w:highlight w:val="none"/>
        </w:rPr>
        <w:fldChar w:fldCharType="end"/>
      </w:r>
      <w:r>
        <w:rPr>
          <w:rFonts w:hint="eastAsia" w:ascii="宋体" w:hAnsi="宋体" w:eastAsia="宋体" w:cs="宋体"/>
          <w:bCs/>
          <w:color w:val="000000" w:themeColor="text1"/>
          <w:szCs w:val="21"/>
          <w:highlight w:val="none"/>
        </w:rPr>
        <w:t>下载专区）加盖公章到指定地址购买。</w:t>
      </w:r>
      <w:r>
        <w:rPr>
          <w:rFonts w:hint="eastAsia" w:ascii="宋体" w:hAnsi="宋体" w:eastAsia="宋体" w:cs="宋体"/>
          <w:b/>
          <w:bCs/>
          <w:color w:val="000000" w:themeColor="text1"/>
          <w:highlight w:val="none"/>
        </w:rPr>
        <w:t>报名时投标单位的资料与以上报名条件不符合、不齐全、复印件不清晰或未盖红色公章的将不予受理</w:t>
      </w:r>
      <w:r>
        <w:rPr>
          <w:rFonts w:hint="eastAsia" w:ascii="宋体" w:hAnsi="宋体" w:eastAsia="宋体" w:cs="宋体"/>
          <w:bCs/>
          <w:color w:val="000000" w:themeColor="text1"/>
          <w:highlight w:val="none"/>
        </w:rPr>
        <w:t>。</w:t>
      </w:r>
    </w:p>
    <w:p>
      <w:pPr>
        <w:widowControl/>
        <w:tabs>
          <w:tab w:val="left" w:pos="735"/>
        </w:tabs>
        <w:adjustRightInd w:val="0"/>
        <w:snapToGrid w:val="0"/>
        <w:spacing w:line="360" w:lineRule="auto"/>
        <w:ind w:left="660" w:leftChars="164" w:hanging="316" w:hangingChars="150"/>
        <w:rPr>
          <w:rFonts w:hint="eastAsia" w:ascii="宋体" w:hAnsi="宋体" w:eastAsia="宋体" w:cs="宋体"/>
          <w:b/>
          <w:color w:val="000000" w:themeColor="text1"/>
          <w:highlight w:val="none"/>
        </w:rPr>
      </w:pPr>
      <w:r>
        <w:rPr>
          <w:rFonts w:hint="eastAsia" w:ascii="宋体" w:hAnsi="宋体" w:eastAsia="宋体" w:cs="宋体"/>
          <w:b/>
          <w:bCs/>
          <w:color w:val="000000" w:themeColor="text1"/>
          <w:highlight w:val="none"/>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widowControl/>
        <w:numPr>
          <w:ilvl w:val="0"/>
          <w:numId w:val="23"/>
        </w:numPr>
        <w:tabs>
          <w:tab w:val="left" w:pos="502"/>
        </w:tabs>
        <w:adjustRightInd w:val="0"/>
        <w:snapToGrid w:val="0"/>
        <w:spacing w:line="360" w:lineRule="auto"/>
        <w:rPr>
          <w:rFonts w:hint="eastAsia" w:ascii="宋体" w:hAnsi="宋体" w:eastAsia="宋体" w:cs="宋体"/>
          <w:b/>
          <w:bCs/>
          <w:color w:val="000000" w:themeColor="text1"/>
          <w:szCs w:val="21"/>
          <w:highlight w:val="none"/>
        </w:rPr>
      </w:pPr>
      <w:r>
        <w:rPr>
          <w:rFonts w:hint="eastAsia" w:ascii="宋体" w:hAnsi="宋体" w:eastAsia="宋体" w:cs="宋体"/>
          <w:b/>
          <w:bCs/>
          <w:color w:val="000000" w:themeColor="text1"/>
          <w:szCs w:val="21"/>
          <w:highlight w:val="none"/>
        </w:rPr>
        <w:t>投标截止时间、开标时间及地点</w:t>
      </w:r>
    </w:p>
    <w:p>
      <w:pPr>
        <w:widowControl/>
        <w:tabs>
          <w:tab w:val="left" w:pos="735"/>
        </w:tabs>
        <w:adjustRightInd w:val="0"/>
        <w:snapToGrid w:val="0"/>
        <w:spacing w:line="360" w:lineRule="auto"/>
        <w:ind w:firstLine="210" w:firstLineChars="10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1.递交投标文件时间：</w:t>
      </w:r>
      <w:r>
        <w:rPr>
          <w:rFonts w:hint="eastAsia" w:ascii="宋体" w:hAnsi="宋体" w:eastAsia="宋体" w:cs="宋体"/>
          <w:bCs/>
          <w:color w:val="000000" w:themeColor="text1"/>
          <w:highlight w:val="none"/>
          <w:lang w:val="en-US" w:eastAsia="zh-CN"/>
        </w:rPr>
        <w:t>2021年12月6日14</w:t>
      </w:r>
      <w:r>
        <w:rPr>
          <w:rFonts w:hint="eastAsia" w:ascii="宋体" w:hAnsi="宋体" w:eastAsia="宋体" w:cs="宋体"/>
          <w:bCs/>
          <w:color w:val="000000" w:themeColor="text1"/>
          <w:highlight w:val="none"/>
        </w:rPr>
        <w:t>:</w:t>
      </w:r>
      <w:r>
        <w:rPr>
          <w:rFonts w:hint="eastAsia" w:ascii="宋体" w:hAnsi="宋体" w:eastAsia="宋体" w:cs="宋体"/>
          <w:bCs/>
          <w:color w:val="000000" w:themeColor="text1"/>
          <w:highlight w:val="none"/>
          <w:lang w:val="en-US" w:eastAsia="zh-CN"/>
        </w:rPr>
        <w:t>3</w:t>
      </w:r>
      <w:r>
        <w:rPr>
          <w:rFonts w:hint="eastAsia" w:ascii="宋体" w:hAnsi="宋体" w:eastAsia="宋体" w:cs="宋体"/>
          <w:bCs/>
          <w:color w:val="000000" w:themeColor="text1"/>
          <w:highlight w:val="none"/>
        </w:rPr>
        <w:t>0-</w:t>
      </w:r>
      <w:r>
        <w:rPr>
          <w:rFonts w:hint="eastAsia" w:ascii="宋体" w:hAnsi="宋体" w:eastAsia="宋体" w:cs="宋体"/>
          <w:bCs/>
          <w:color w:val="000000" w:themeColor="text1"/>
          <w:highlight w:val="none"/>
          <w:lang w:val="en-US" w:eastAsia="zh-CN"/>
        </w:rPr>
        <w:t>15</w:t>
      </w:r>
      <w:r>
        <w:rPr>
          <w:rFonts w:hint="eastAsia" w:ascii="宋体" w:hAnsi="宋体" w:eastAsia="宋体" w:cs="宋体"/>
          <w:bCs/>
          <w:color w:val="000000" w:themeColor="text1"/>
          <w:highlight w:val="none"/>
        </w:rPr>
        <w:t>:</w:t>
      </w:r>
      <w:r>
        <w:rPr>
          <w:rFonts w:hint="eastAsia" w:ascii="宋体" w:hAnsi="宋体" w:eastAsia="宋体" w:cs="宋体"/>
          <w:bCs/>
          <w:color w:val="000000" w:themeColor="text1"/>
          <w:highlight w:val="none"/>
          <w:lang w:val="en-US" w:eastAsia="zh-CN"/>
        </w:rPr>
        <w:t>0</w:t>
      </w:r>
      <w:r>
        <w:rPr>
          <w:rFonts w:hint="eastAsia" w:ascii="宋体" w:hAnsi="宋体" w:eastAsia="宋体" w:cs="宋体"/>
          <w:bCs/>
          <w:color w:val="000000" w:themeColor="text1"/>
          <w:highlight w:val="none"/>
        </w:rPr>
        <w:t>0 (北京时间)。</w:t>
      </w:r>
    </w:p>
    <w:p>
      <w:pPr>
        <w:widowControl/>
        <w:tabs>
          <w:tab w:val="left" w:pos="735"/>
        </w:tabs>
        <w:adjustRightInd w:val="0"/>
        <w:snapToGrid w:val="0"/>
        <w:spacing w:line="360" w:lineRule="auto"/>
        <w:ind w:firstLine="210" w:firstLineChars="10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2.投标截止时间、开标时间：</w:t>
      </w:r>
      <w:r>
        <w:rPr>
          <w:rFonts w:hint="eastAsia" w:ascii="宋体" w:hAnsi="宋体" w:eastAsia="宋体" w:cs="宋体"/>
          <w:bCs/>
          <w:color w:val="000000" w:themeColor="text1"/>
          <w:highlight w:val="none"/>
          <w:lang w:val="en-US" w:eastAsia="zh-CN"/>
        </w:rPr>
        <w:t>2021年12月6日15</w:t>
      </w:r>
      <w:r>
        <w:rPr>
          <w:rFonts w:hint="eastAsia" w:ascii="宋体" w:hAnsi="宋体" w:eastAsia="宋体" w:cs="宋体"/>
          <w:bCs/>
          <w:color w:val="000000" w:themeColor="text1"/>
          <w:highlight w:val="none"/>
        </w:rPr>
        <w:t>:</w:t>
      </w:r>
      <w:r>
        <w:rPr>
          <w:rFonts w:hint="eastAsia" w:ascii="宋体" w:hAnsi="宋体" w:eastAsia="宋体" w:cs="宋体"/>
          <w:bCs/>
          <w:color w:val="000000" w:themeColor="text1"/>
          <w:highlight w:val="none"/>
          <w:lang w:val="en-US" w:eastAsia="zh-CN"/>
        </w:rPr>
        <w:t>0</w:t>
      </w:r>
      <w:r>
        <w:rPr>
          <w:rFonts w:hint="eastAsia" w:ascii="宋体" w:hAnsi="宋体" w:eastAsia="宋体" w:cs="宋体"/>
          <w:bCs/>
          <w:color w:val="000000" w:themeColor="text1"/>
          <w:highlight w:val="none"/>
        </w:rPr>
        <w:t>0(北京时间)。</w:t>
      </w:r>
    </w:p>
    <w:p>
      <w:pPr>
        <w:widowControl/>
        <w:tabs>
          <w:tab w:val="left" w:pos="735"/>
        </w:tabs>
        <w:adjustRightInd w:val="0"/>
        <w:snapToGrid w:val="0"/>
        <w:spacing w:line="360" w:lineRule="auto"/>
        <w:ind w:firstLine="210" w:firstLineChars="100"/>
        <w:rPr>
          <w:rFonts w:hint="eastAsia" w:ascii="宋体" w:hAnsi="宋体" w:eastAsia="宋体" w:cs="宋体"/>
          <w:bCs/>
          <w:color w:val="000000" w:themeColor="text1"/>
          <w:highlight w:val="none"/>
        </w:rPr>
      </w:pPr>
      <w:r>
        <w:rPr>
          <w:rFonts w:hint="eastAsia" w:ascii="宋体" w:hAnsi="宋体" w:eastAsia="宋体" w:cs="宋体"/>
          <w:color w:val="000000" w:themeColor="text1"/>
          <w:highlight w:val="none"/>
        </w:rPr>
        <w:t>3.递交投标文件地点、开标地点：</w:t>
      </w:r>
      <w:r>
        <w:rPr>
          <w:rFonts w:hint="eastAsia" w:ascii="宋体" w:hAnsi="宋体" w:eastAsia="宋体" w:cs="宋体"/>
          <w:color w:val="000000" w:themeColor="text1"/>
          <w:highlight w:val="none"/>
          <w:lang w:eastAsia="zh-CN"/>
        </w:rPr>
        <w:t>阳江市江城区猫山四街33号A座2楼</w:t>
      </w:r>
      <w:r>
        <w:rPr>
          <w:rFonts w:hint="eastAsia" w:ascii="宋体" w:hAnsi="宋体" w:eastAsia="宋体" w:cs="宋体"/>
          <w:color w:val="000000" w:themeColor="text1"/>
          <w:highlight w:val="none"/>
          <w:lang w:val="en-US" w:eastAsia="zh-CN"/>
        </w:rPr>
        <w:t>201</w:t>
      </w:r>
      <w:r>
        <w:rPr>
          <w:rFonts w:hint="eastAsia" w:ascii="宋体" w:hAnsi="宋体" w:eastAsia="宋体" w:cs="宋体"/>
          <w:color w:val="000000" w:themeColor="text1"/>
          <w:highlight w:val="none"/>
        </w:rPr>
        <w:t>开标室。</w:t>
      </w:r>
    </w:p>
    <w:p>
      <w:pPr>
        <w:widowControl/>
        <w:tabs>
          <w:tab w:val="left" w:pos="735"/>
        </w:tabs>
        <w:adjustRightInd w:val="0"/>
        <w:snapToGrid w:val="0"/>
        <w:spacing w:line="360" w:lineRule="auto"/>
        <w:rPr>
          <w:rFonts w:hint="eastAsia" w:ascii="宋体" w:hAnsi="宋体" w:eastAsia="宋体" w:cs="宋体"/>
          <w:b/>
          <w:bCs/>
          <w:color w:val="000000" w:themeColor="text1"/>
          <w:szCs w:val="21"/>
          <w:highlight w:val="none"/>
        </w:rPr>
      </w:pPr>
      <w:r>
        <w:rPr>
          <w:rFonts w:hint="eastAsia" w:ascii="宋体" w:hAnsi="宋体" w:eastAsia="宋体" w:cs="宋体"/>
          <w:b/>
          <w:bCs/>
          <w:color w:val="000000" w:themeColor="text1"/>
          <w:szCs w:val="21"/>
          <w:highlight w:val="none"/>
        </w:rPr>
        <w:t>六、采购人、代理采购机构的名称、地址和联系方式</w:t>
      </w:r>
      <w:bookmarkStart w:id="2003" w:name="_GoBack"/>
      <w:bookmarkEnd w:id="2003"/>
    </w:p>
    <w:p>
      <w:pPr>
        <w:widowControl/>
        <w:tabs>
          <w:tab w:val="left" w:pos="630"/>
        </w:tabs>
        <w:adjustRightInd w:val="0"/>
        <w:snapToGrid w:val="0"/>
        <w:spacing w:line="360" w:lineRule="auto"/>
        <w:ind w:firstLine="315" w:firstLineChars="150"/>
        <w:rPr>
          <w:rFonts w:hint="eastAsia" w:ascii="宋体" w:hAnsi="宋体" w:eastAsia="宋体" w:cs="宋体"/>
          <w:bCs/>
          <w:color w:val="000000" w:themeColor="text1"/>
          <w:highlight w:val="none"/>
        </w:rPr>
      </w:pPr>
      <w:r>
        <w:rPr>
          <w:rFonts w:hint="eastAsia" w:ascii="宋体" w:hAnsi="宋体" w:eastAsia="宋体" w:cs="宋体"/>
          <w:color w:val="000000" w:themeColor="text1"/>
          <w:highlight w:val="none"/>
        </w:rPr>
        <w:t>1．采购人联系方式：</w:t>
      </w:r>
    </w:p>
    <w:p>
      <w:pPr>
        <w:tabs>
          <w:tab w:val="left" w:pos="735"/>
          <w:tab w:val="left" w:pos="4680"/>
        </w:tabs>
        <w:adjustRightInd w:val="0"/>
        <w:snapToGrid w:val="0"/>
        <w:spacing w:line="360" w:lineRule="auto"/>
        <w:ind w:firstLine="630" w:firstLineChars="300"/>
        <w:rPr>
          <w:rFonts w:hint="eastAsia" w:ascii="宋体" w:hAnsi="宋体" w:eastAsia="宋体" w:cs="宋体"/>
          <w:color w:val="000000" w:themeColor="text1"/>
          <w:kern w:val="28"/>
          <w:szCs w:val="21"/>
          <w:highlight w:val="none"/>
          <w:lang w:eastAsia="zh-CN"/>
        </w:rPr>
      </w:pPr>
      <w:r>
        <w:rPr>
          <w:rFonts w:hint="eastAsia" w:ascii="宋体" w:hAnsi="宋体" w:eastAsia="宋体" w:cs="宋体"/>
          <w:color w:val="000000" w:themeColor="text1"/>
          <w:kern w:val="28"/>
          <w:szCs w:val="21"/>
          <w:highlight w:val="none"/>
        </w:rPr>
        <w:t>名    称：</w:t>
      </w:r>
      <w:r>
        <w:rPr>
          <w:rFonts w:hint="eastAsia" w:ascii="宋体" w:hAnsi="宋体" w:eastAsia="宋体" w:cs="宋体"/>
          <w:color w:val="000000" w:themeColor="text1"/>
          <w:kern w:val="28"/>
          <w:szCs w:val="21"/>
          <w:highlight w:val="none"/>
          <w:lang w:eastAsia="zh-CN"/>
        </w:rPr>
        <w:t>阳江市市场监督管理局江城分局</w:t>
      </w:r>
    </w:p>
    <w:p>
      <w:pPr>
        <w:tabs>
          <w:tab w:val="left" w:pos="735"/>
          <w:tab w:val="left" w:pos="4680"/>
        </w:tabs>
        <w:adjustRightInd w:val="0"/>
        <w:snapToGrid w:val="0"/>
        <w:spacing w:line="360" w:lineRule="auto"/>
        <w:ind w:firstLine="630" w:firstLineChars="300"/>
        <w:rPr>
          <w:rFonts w:hint="eastAsia" w:ascii="宋体" w:hAnsi="宋体" w:eastAsia="宋体" w:cs="宋体"/>
          <w:color w:val="000000" w:themeColor="text1"/>
          <w:kern w:val="28"/>
          <w:szCs w:val="21"/>
          <w:highlight w:val="none"/>
          <w:lang w:val="en-US" w:eastAsia="zh-CN"/>
        </w:rPr>
      </w:pPr>
      <w:r>
        <w:rPr>
          <w:rFonts w:hint="eastAsia" w:ascii="宋体" w:hAnsi="宋体" w:eastAsia="宋体" w:cs="宋体"/>
          <w:color w:val="000000" w:themeColor="text1"/>
          <w:kern w:val="28"/>
          <w:szCs w:val="21"/>
          <w:highlight w:val="none"/>
        </w:rPr>
        <w:t>地    址：</w:t>
      </w:r>
      <w:r>
        <w:rPr>
          <w:rFonts w:hint="eastAsia" w:ascii="宋体" w:hAnsi="宋体" w:eastAsia="宋体" w:cs="宋体"/>
          <w:color w:val="000000" w:themeColor="text1"/>
          <w:kern w:val="28"/>
          <w:szCs w:val="21"/>
          <w:highlight w:val="none"/>
          <w:lang w:val="en-US" w:eastAsia="zh-CN"/>
        </w:rPr>
        <w:t>阳江市江城区农科路22号之一</w:t>
      </w:r>
    </w:p>
    <w:p>
      <w:pPr>
        <w:tabs>
          <w:tab w:val="left" w:pos="735"/>
          <w:tab w:val="left" w:pos="4680"/>
        </w:tabs>
        <w:adjustRightInd w:val="0"/>
        <w:snapToGrid w:val="0"/>
        <w:spacing w:line="360" w:lineRule="auto"/>
        <w:ind w:firstLine="630" w:firstLineChars="300"/>
        <w:rPr>
          <w:rFonts w:hint="eastAsia" w:ascii="宋体" w:hAnsi="宋体" w:eastAsia="宋体" w:cs="宋体"/>
          <w:color w:val="000000" w:themeColor="text1"/>
          <w:kern w:val="28"/>
          <w:szCs w:val="21"/>
          <w:highlight w:val="none"/>
          <w:lang w:val="en-US" w:eastAsia="zh-CN"/>
        </w:rPr>
      </w:pPr>
      <w:r>
        <w:rPr>
          <w:rFonts w:hint="eastAsia" w:ascii="宋体" w:hAnsi="宋体" w:eastAsia="宋体" w:cs="宋体"/>
          <w:color w:val="000000" w:themeColor="text1"/>
          <w:kern w:val="28"/>
          <w:szCs w:val="21"/>
          <w:highlight w:val="none"/>
        </w:rPr>
        <w:t>联 系 人：</w:t>
      </w:r>
      <w:r>
        <w:rPr>
          <w:rFonts w:hint="eastAsia" w:ascii="宋体" w:hAnsi="宋体" w:eastAsia="宋体" w:cs="宋体"/>
          <w:color w:val="000000" w:themeColor="text1"/>
          <w:kern w:val="28"/>
          <w:szCs w:val="21"/>
          <w:highlight w:val="none"/>
          <w:lang w:val="en-US" w:eastAsia="zh-CN"/>
        </w:rPr>
        <w:t>林冠仪</w:t>
      </w:r>
    </w:p>
    <w:p>
      <w:pPr>
        <w:tabs>
          <w:tab w:val="left" w:pos="735"/>
          <w:tab w:val="left" w:pos="4680"/>
        </w:tabs>
        <w:adjustRightInd w:val="0"/>
        <w:snapToGrid w:val="0"/>
        <w:spacing w:line="360" w:lineRule="auto"/>
        <w:ind w:firstLine="630" w:firstLineChars="300"/>
        <w:rPr>
          <w:rFonts w:hint="eastAsia" w:ascii="宋体" w:hAnsi="宋体" w:eastAsia="宋体" w:cs="宋体"/>
          <w:color w:val="000000" w:themeColor="text1"/>
          <w:kern w:val="28"/>
          <w:szCs w:val="21"/>
          <w:highlight w:val="none"/>
          <w:lang w:val="en-US" w:eastAsia="zh-CN"/>
        </w:rPr>
      </w:pPr>
      <w:r>
        <w:rPr>
          <w:rFonts w:hint="eastAsia" w:ascii="宋体" w:hAnsi="宋体" w:eastAsia="宋体" w:cs="宋体"/>
          <w:color w:val="000000" w:themeColor="text1"/>
          <w:kern w:val="28"/>
          <w:szCs w:val="21"/>
          <w:highlight w:val="none"/>
        </w:rPr>
        <w:t>联系电话：</w:t>
      </w:r>
      <w:r>
        <w:rPr>
          <w:rFonts w:hint="eastAsia" w:ascii="宋体" w:hAnsi="宋体" w:eastAsia="宋体" w:cs="宋体"/>
          <w:color w:val="000000" w:themeColor="text1"/>
          <w:kern w:val="28"/>
          <w:szCs w:val="21"/>
          <w:highlight w:val="none"/>
          <w:lang w:val="en-US" w:eastAsia="zh-CN"/>
        </w:rPr>
        <w:t>0662-3677019</w:t>
      </w:r>
    </w:p>
    <w:p>
      <w:pPr>
        <w:tabs>
          <w:tab w:val="left" w:pos="735"/>
          <w:tab w:val="left" w:pos="4680"/>
        </w:tabs>
        <w:adjustRightInd w:val="0"/>
        <w:snapToGrid w:val="0"/>
        <w:spacing w:line="360" w:lineRule="auto"/>
        <w:ind w:firstLine="315" w:firstLineChars="150"/>
        <w:rPr>
          <w:rFonts w:hint="eastAsia" w:ascii="宋体" w:hAnsi="宋体" w:eastAsia="宋体" w:cs="宋体"/>
          <w:color w:val="000000" w:themeColor="text1"/>
          <w:kern w:val="28"/>
          <w:szCs w:val="21"/>
          <w:highlight w:val="none"/>
        </w:rPr>
      </w:pPr>
      <w:r>
        <w:rPr>
          <w:rFonts w:hint="eastAsia" w:ascii="宋体" w:hAnsi="宋体" w:eastAsia="宋体" w:cs="宋体"/>
          <w:color w:val="000000" w:themeColor="text1"/>
          <w:kern w:val="28"/>
          <w:szCs w:val="21"/>
          <w:highlight w:val="none"/>
        </w:rPr>
        <w:t>2．</w:t>
      </w:r>
      <w:r>
        <w:rPr>
          <w:rFonts w:hint="eastAsia" w:ascii="宋体" w:hAnsi="宋体" w:eastAsia="宋体" w:cs="宋体"/>
          <w:color w:val="000000" w:themeColor="text1"/>
          <w:highlight w:val="none"/>
        </w:rPr>
        <w:t>代理采购机构联系方式：</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rPr>
        <w:t>名    称：</w:t>
      </w:r>
      <w:r>
        <w:rPr>
          <w:rFonts w:hint="eastAsia" w:ascii="宋体" w:hAnsi="宋体" w:eastAsia="宋体" w:cs="宋体"/>
          <w:color w:val="000000" w:themeColor="text1"/>
          <w:highlight w:val="none"/>
          <w:lang w:eastAsia="zh-CN"/>
        </w:rPr>
        <w:t>广东业信招标有限公司</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rPr>
        <w:t>地    址：</w:t>
      </w:r>
      <w:r>
        <w:rPr>
          <w:rFonts w:hint="eastAsia" w:ascii="宋体" w:hAnsi="宋体" w:eastAsia="宋体" w:cs="宋体"/>
          <w:color w:val="000000" w:themeColor="text1"/>
          <w:highlight w:val="none"/>
          <w:lang w:eastAsia="zh-CN"/>
        </w:rPr>
        <w:t>阳江市江城区猫山四街33号A座2楼</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联 系 人：冯国辉</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联系电话：0662-3167266</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传    真：0662-2669666</w:t>
      </w:r>
    </w:p>
    <w:p>
      <w:pPr>
        <w:tabs>
          <w:tab w:val="left" w:pos="4680"/>
        </w:tabs>
        <w:adjustRightInd w:val="0"/>
        <w:snapToGrid w:val="0"/>
        <w:spacing w:line="360" w:lineRule="auto"/>
        <w:ind w:firstLine="630" w:firstLineChars="300"/>
        <w:rPr>
          <w:rFonts w:hint="eastAsia" w:ascii="宋体" w:hAnsi="宋体" w:eastAsia="宋体" w:cs="宋体"/>
          <w:bCs/>
          <w:color w:val="000000" w:themeColor="text1"/>
          <w:highlight w:val="none"/>
        </w:rPr>
      </w:pPr>
      <w:r>
        <w:rPr>
          <w:rFonts w:hint="eastAsia" w:ascii="宋体" w:hAnsi="宋体" w:eastAsia="宋体" w:cs="宋体"/>
          <w:color w:val="000000" w:themeColor="text1"/>
          <w:highlight w:val="none"/>
        </w:rPr>
        <w:t>网    址：</w:t>
      </w:r>
      <w:r>
        <w:rPr>
          <w:rFonts w:hint="eastAsia" w:ascii="宋体" w:hAnsi="宋体" w:eastAsia="宋体" w:cs="宋体"/>
          <w:bCs/>
          <w:color w:val="000000" w:themeColor="text1"/>
          <w:highlight w:val="none"/>
        </w:rPr>
        <w:t>http://www.yjcg.cc</w:t>
      </w:r>
    </w:p>
    <w:p>
      <w:pPr>
        <w:widowControl/>
        <w:adjustRightInd w:val="0"/>
        <w:snapToGrid w:val="0"/>
        <w:spacing w:line="360" w:lineRule="auto"/>
        <w:rPr>
          <w:rFonts w:hint="eastAsia" w:ascii="宋体" w:hAnsi="宋体" w:eastAsia="宋体" w:cs="宋体"/>
          <w:b/>
          <w:color w:val="000000" w:themeColor="text1"/>
          <w:spacing w:val="20"/>
          <w:szCs w:val="21"/>
          <w:highlight w:val="none"/>
        </w:rPr>
      </w:pPr>
    </w:p>
    <w:p>
      <w:pPr>
        <w:widowControl/>
        <w:tabs>
          <w:tab w:val="left" w:pos="4769"/>
        </w:tabs>
        <w:adjustRightInd w:val="0"/>
        <w:snapToGrid w:val="0"/>
        <w:spacing w:line="360" w:lineRule="auto"/>
        <w:ind w:left="105" w:leftChars="50" w:firstLine="420" w:firstLineChars="200"/>
        <w:jc w:val="right"/>
        <w:rPr>
          <w:rFonts w:hint="eastAsia" w:ascii="宋体" w:hAnsi="宋体" w:eastAsia="宋体" w:cs="宋体"/>
          <w:bCs/>
          <w:color w:val="000000" w:themeColor="text1"/>
          <w:highlight w:val="none"/>
          <w:lang w:eastAsia="zh-CN"/>
        </w:rPr>
      </w:pPr>
      <w:r>
        <w:rPr>
          <w:rFonts w:hint="eastAsia" w:ascii="宋体" w:hAnsi="宋体" w:eastAsia="宋体" w:cs="宋体"/>
          <w:bCs/>
          <w:color w:val="000000" w:themeColor="text1"/>
          <w:highlight w:val="none"/>
          <w:lang w:eastAsia="zh-CN"/>
        </w:rPr>
        <w:t>广东业信招标有限公司</w:t>
      </w:r>
    </w:p>
    <w:p>
      <w:pPr>
        <w:widowControl/>
        <w:tabs>
          <w:tab w:val="left" w:pos="4769"/>
        </w:tabs>
        <w:adjustRightInd w:val="0"/>
        <w:snapToGrid w:val="0"/>
        <w:spacing w:line="360" w:lineRule="auto"/>
        <w:ind w:left="105" w:leftChars="50" w:firstLine="420" w:firstLineChars="200"/>
        <w:jc w:val="right"/>
        <w:rPr>
          <w:rFonts w:hint="eastAsia" w:ascii="宋体" w:hAnsi="宋体" w:eastAsia="宋体" w:cs="宋体"/>
          <w:bCs/>
          <w:color w:val="000000" w:themeColor="text1"/>
          <w:highlight w:val="none"/>
        </w:rPr>
      </w:pPr>
      <w:bookmarkStart w:id="37" w:name="_Toc339020187"/>
      <w:bookmarkStart w:id="38" w:name="_Toc339020049"/>
      <w:bookmarkStart w:id="39" w:name="_Toc349143547"/>
      <w:bookmarkStart w:id="40" w:name="_Toc333238572"/>
      <w:bookmarkStart w:id="41" w:name="_Toc339362258"/>
      <w:bookmarkStart w:id="42" w:name="_Toc342296709"/>
      <w:bookmarkStart w:id="43" w:name="_Toc365985109"/>
      <w:bookmarkStart w:id="44" w:name="_Toc339441045"/>
      <w:bookmarkStart w:id="45" w:name="_Toc332206658"/>
      <w:bookmarkStart w:id="46" w:name="_Toc366072458"/>
      <w:bookmarkStart w:id="47" w:name="_Toc333237613"/>
      <w:bookmarkStart w:id="48" w:name="_Toc336681893"/>
      <w:bookmarkStart w:id="49" w:name="_Toc349127584"/>
      <w:bookmarkStart w:id="50" w:name="_Toc345513763"/>
      <w:bookmarkStart w:id="51" w:name="_Toc333237724"/>
      <w:bookmarkStart w:id="52" w:name="_Toc339019955"/>
      <w:bookmarkStart w:id="53" w:name="_Toc333935279"/>
      <w:bookmarkStart w:id="54" w:name="_Toc337632316"/>
      <w:bookmarkStart w:id="55" w:name="_Toc340507404"/>
      <w:bookmarkStart w:id="56" w:name="_Toc340672831"/>
      <w:bookmarkStart w:id="57" w:name="_Toc342060323"/>
      <w:bookmarkStart w:id="58" w:name="_Toc341348292"/>
      <w:bookmarkStart w:id="59" w:name="_Toc331683995"/>
      <w:bookmarkStart w:id="60" w:name="_Toc331512857"/>
      <w:bookmarkStart w:id="61" w:name="_Toc332270306"/>
      <w:bookmarkStart w:id="62" w:name="_Toc350438703"/>
      <w:bookmarkStart w:id="63" w:name="_Toc340677032"/>
      <w:bookmarkStart w:id="64" w:name="_Toc336681538"/>
      <w:bookmarkStart w:id="65" w:name="_Toc365967003"/>
      <w:bookmarkStart w:id="66" w:name="_Toc350756404"/>
      <w:bookmarkStart w:id="67" w:name="_Toc333935620"/>
      <w:bookmarkStart w:id="68" w:name="_Toc330459946"/>
      <w:bookmarkStart w:id="69" w:name="_Toc339019829"/>
      <w:r>
        <w:rPr>
          <w:rFonts w:hint="eastAsia" w:ascii="宋体" w:hAnsi="宋体" w:eastAsia="宋体" w:cs="宋体"/>
          <w:color w:val="000000" w:themeColor="text1"/>
          <w:kern w:val="2"/>
          <w:sz w:val="21"/>
          <w:szCs w:val="24"/>
          <w:highlight w:val="none"/>
          <w:lang w:val="en-US" w:eastAsia="zh-CN" w:bidi="ar-SA"/>
        </w:rPr>
        <w:t>2021年11月5日</w:t>
      </w:r>
    </w:p>
    <w:p>
      <w:pPr>
        <w:rPr>
          <w:color w:val="000000" w:themeColor="text1"/>
          <w:highlight w:val="none"/>
        </w:rPr>
      </w:pPr>
    </w:p>
    <w:p>
      <w:pPr>
        <w:rPr>
          <w:color w:val="000000" w:themeColor="text1"/>
          <w:highlight w:val="none"/>
        </w:rPr>
      </w:pPr>
    </w:p>
    <w:p>
      <w:pPr>
        <w:rPr>
          <w:color w:val="000000" w:themeColor="text1"/>
          <w:highlight w:val="none"/>
        </w:rPr>
      </w:pPr>
    </w:p>
    <w:p>
      <w:pPr>
        <w:rPr>
          <w:rFonts w:hint="eastAsia"/>
          <w:color w:val="000000" w:themeColor="text1"/>
          <w:highlight w:val="none"/>
        </w:rPr>
      </w:pPr>
      <w:r>
        <w:rPr>
          <w:rFonts w:hint="eastAsia"/>
          <w:color w:val="000000" w:themeColor="text1"/>
          <w:highlight w:val="none"/>
        </w:rPr>
        <w:br w:type="page"/>
      </w:r>
    </w:p>
    <w:p>
      <w:pPr>
        <w:pStyle w:val="4"/>
        <w:numPr>
          <w:ilvl w:val="0"/>
          <w:numId w:val="0"/>
        </w:numPr>
        <w:spacing w:beforeLines="0" w:afterLines="50" w:line="390" w:lineRule="exact"/>
        <w:ind w:left="105" w:leftChars="50" w:firstLine="480" w:firstLineChars="200"/>
        <w:rPr>
          <w:color w:val="000000" w:themeColor="text1"/>
          <w:highlight w:val="none"/>
        </w:rPr>
      </w:pPr>
      <w:bookmarkStart w:id="70" w:name="_Toc23870"/>
      <w:r>
        <w:rPr>
          <w:rFonts w:hint="eastAsia"/>
          <w:color w:val="000000" w:themeColor="text1"/>
          <w:highlight w:val="none"/>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0459949"/>
      <w:bookmarkStart w:id="73" w:name="_Toc333238573"/>
      <w:bookmarkStart w:id="74" w:name="_Toc333935621"/>
      <w:bookmarkStart w:id="75" w:name="_Toc333237725"/>
      <w:bookmarkStart w:id="76" w:name="_Toc333935280"/>
      <w:bookmarkStart w:id="77" w:name="_Toc333237614"/>
      <w:bookmarkStart w:id="78" w:name="_Toc75570886"/>
      <w:r>
        <w:rPr>
          <w:rFonts w:hint="eastAsia"/>
          <w:color w:val="000000" w:themeColor="text1"/>
          <w:highlight w:val="none"/>
        </w:rPr>
        <w:t>采购项目内容</w:t>
      </w:r>
      <w:bookmarkEnd w:id="70"/>
    </w:p>
    <w:bookmarkEnd w:id="72"/>
    <w:bookmarkEnd w:id="73"/>
    <w:bookmarkEnd w:id="74"/>
    <w:bookmarkEnd w:id="75"/>
    <w:bookmarkEnd w:id="76"/>
    <w:bookmarkEnd w:id="77"/>
    <w:bookmarkEnd w:id="78"/>
    <w:p>
      <w:pPr>
        <w:pStyle w:val="5"/>
        <w:numPr>
          <w:ilvl w:val="0"/>
          <w:numId w:val="0"/>
        </w:numPr>
        <w:spacing w:beforeLines="150" w:after="0" w:line="360" w:lineRule="auto"/>
        <w:rPr>
          <w:rFonts w:hint="eastAsia"/>
          <w:color w:val="000000" w:themeColor="text1"/>
          <w:kern w:val="0"/>
          <w:sz w:val="24"/>
          <w:highlight w:val="none"/>
        </w:rPr>
      </w:pPr>
      <w:bookmarkStart w:id="79" w:name="_Toc7688"/>
      <w:bookmarkStart w:id="80" w:name="_Toc342296727"/>
      <w:bookmarkStart w:id="81" w:name="_Toc339020062"/>
      <w:bookmarkStart w:id="82" w:name="_Toc349143556"/>
      <w:bookmarkStart w:id="83" w:name="_Toc331512865"/>
      <w:bookmarkStart w:id="84" w:name="_Toc332270313"/>
      <w:bookmarkStart w:id="85" w:name="_Toc337632325"/>
      <w:bookmarkStart w:id="86" w:name="_Toc350438716"/>
      <w:bookmarkStart w:id="87" w:name="_Toc339362267"/>
      <w:bookmarkStart w:id="88" w:name="_Toc340672836"/>
      <w:bookmarkStart w:id="89" w:name="_Toc333238600"/>
      <w:bookmarkStart w:id="90" w:name="_Toc333237755"/>
      <w:bookmarkStart w:id="91" w:name="_Toc340677037"/>
      <w:bookmarkStart w:id="92" w:name="_Toc349127593"/>
      <w:bookmarkStart w:id="93" w:name="_Toc339020200"/>
      <w:bookmarkStart w:id="94" w:name="_Toc330459952"/>
      <w:bookmarkStart w:id="95" w:name="_Toc339441054"/>
      <w:bookmarkStart w:id="96" w:name="_Toc331684005"/>
      <w:bookmarkStart w:id="97" w:name="_Toc333935654"/>
      <w:bookmarkStart w:id="98" w:name="_Toc339019982"/>
      <w:bookmarkStart w:id="99" w:name="_Toc336681902"/>
      <w:bookmarkStart w:id="100" w:name="_Toc365985146"/>
      <w:bookmarkStart w:id="101" w:name="_Toc345513834"/>
      <w:bookmarkStart w:id="102" w:name="_Toc340507409"/>
      <w:bookmarkStart w:id="103" w:name="_Toc365967040"/>
      <w:bookmarkStart w:id="104" w:name="_Toc342060341"/>
      <w:bookmarkStart w:id="105" w:name="_Toc332206675"/>
      <w:bookmarkStart w:id="106" w:name="_Toc366072495"/>
      <w:bookmarkStart w:id="107" w:name="_Toc333935313"/>
      <w:bookmarkStart w:id="108" w:name="_Toc341348305"/>
      <w:bookmarkStart w:id="109" w:name="_Toc333237644"/>
      <w:bookmarkStart w:id="110" w:name="_Toc339019856"/>
      <w:bookmarkStart w:id="111" w:name="_Toc350756417"/>
      <w:bookmarkStart w:id="112" w:name="_Toc336681547"/>
      <w:r>
        <w:rPr>
          <w:color w:val="000000" w:themeColor="text1"/>
          <w:kern w:val="0"/>
          <w:sz w:val="24"/>
          <w:highlight w:val="none"/>
        </w:rPr>
        <w:t xml:space="preserve">A  </w:t>
      </w:r>
      <w:r>
        <w:rPr>
          <w:rFonts w:hint="eastAsia"/>
          <w:color w:val="000000" w:themeColor="text1"/>
          <w:kern w:val="0"/>
          <w:sz w:val="24"/>
          <w:highlight w:val="none"/>
        </w:rPr>
        <w:t>商务要求</w:t>
      </w:r>
      <w:bookmarkEnd w:id="79"/>
    </w:p>
    <w:p>
      <w:pPr>
        <w:spacing w:line="360" w:lineRule="auto"/>
        <w:jc w:val="center"/>
        <w:rPr>
          <w:rFonts w:ascii="宋体" w:cs="宋体"/>
          <w:b/>
          <w:bCs/>
          <w:color w:val="000000" w:themeColor="text1"/>
          <w:szCs w:val="21"/>
          <w:highlight w:val="none"/>
        </w:rPr>
      </w:pPr>
      <w:r>
        <w:rPr>
          <w:rFonts w:hint="eastAsia" w:ascii="宋体" w:hAnsi="宋体" w:cs="宋体"/>
          <w:b/>
          <w:bCs/>
          <w:color w:val="000000" w:themeColor="text1"/>
          <w:highlight w:val="none"/>
        </w:rPr>
        <w:t>（</w:t>
      </w:r>
      <w:r>
        <w:rPr>
          <w:rFonts w:hint="eastAsia" w:ascii="宋体" w:hAnsi="宋体" w:cs="Tahoma"/>
          <w:b/>
          <w:bCs/>
          <w:color w:val="000000" w:themeColor="text1"/>
          <w:highlight w:val="none"/>
          <w:lang w:val="en-US" w:eastAsia="zh-CN"/>
        </w:rPr>
        <w:t>包组一、包组二</w:t>
      </w:r>
      <w:r>
        <w:rPr>
          <w:rFonts w:hint="eastAsia" w:ascii="宋体" w:hAnsi="宋体" w:cs="宋体"/>
          <w:b/>
          <w:bCs/>
          <w:color w:val="000000" w:themeColor="text1"/>
          <w:highlight w:val="none"/>
        </w:rPr>
        <w:t>）</w:t>
      </w:r>
    </w:p>
    <w:tbl>
      <w:tblPr>
        <w:tblStyle w:val="46"/>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项目</w:t>
            </w:r>
          </w:p>
        </w:tc>
        <w:tc>
          <w:tcPr>
            <w:tcW w:w="680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color w:val="000000" w:themeColor="text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投标人投标资格要求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服务期</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3</w:t>
            </w:r>
          </w:p>
        </w:tc>
        <w:tc>
          <w:tcPr>
            <w:tcW w:w="2552" w:type="dxa"/>
            <w:tcBorders>
              <w:top w:val="single" w:color="auto" w:sz="4" w:space="0"/>
              <w:left w:val="single" w:color="auto" w:sz="4" w:space="0"/>
              <w:right w:val="single" w:color="auto" w:sz="4" w:space="0"/>
            </w:tcBorders>
            <w:vAlign w:val="center"/>
          </w:tcPr>
          <w:p>
            <w:pPr>
              <w:spacing w:line="320" w:lineRule="exact"/>
              <w:jc w:val="center"/>
              <w:rPr>
                <w:b/>
                <w:color w:val="000000" w:themeColor="text1"/>
                <w:highlight w:val="none"/>
              </w:rPr>
            </w:pPr>
            <w:r>
              <w:rPr>
                <w:rFonts w:hint="eastAsia" w:ascii="宋体" w:hAnsi="宋体" w:eastAsia="宋体" w:cs="宋体"/>
                <w:b/>
                <w:bCs/>
                <w:color w:val="000000" w:themeColor="text1"/>
                <w:highlight w:val="none"/>
                <w:lang w:val="en-US" w:eastAsia="zh-CN"/>
              </w:rPr>
              <w:t>服务要求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1.采样地点：抽检地区应以“四重一大”（即重点区域、重点市场、重点品种、重点项目和大型企业）为核心，覆盖本行政区域内的乡镇和行政村，每次任务根据实际工作要求确定具体采样地点。对本行政区域内的食品企业、食品小作坊、农贸市场、单位食堂、商场、超市、便利店等单位生产或经营单位的食品进行抽检；加强对学校等集体食堂等餐饮服务单位的抽检。销售环节应覆盖批发市场、农贸市场、食用农产品零售市场、商场、超市、校园周边以及网络销售等业态，涉及的食品应包括肉制品、乳制品、饮料等；餐饮环节应覆盖机关、学校、托幼机构等食堂，集体用餐配送单位以及中央厨房等业态，重点为学校和托幼机构食堂以及中央厨房、集体用餐配送单位、旅游景区餐饮服务单位等。</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2.时间安排：按照采购人实际需求确定时间；原则上在全年实施均衡分配，并根据当地食品产业现状，调整频次和每月的抽检量，增加对高风险及较高风险食品品种的采样量。应根据食用农产品市场的交易数量和季节特点等按比例调整抽样频次和数量，原则上覆盖每户入场销售者；应每周抽检蔬菜、水果、畜禽肉、水产品、鲜蛋等食用农产品。节令性食品应在节前一个半月开展抽检工作。第四季度抽检应主要抽取元旦春节应节性食品。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3.采样批次：食品及食用农产品抽检共600批次（含食用农产品150批次）。其中包组一300 批，包组二300批。其他要求详细见附件。</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4.采样人员：由中标供应商负责，每个抽样点的抽样人员不少于2人，并且抽样人员具有抽样员证书。采购人将根据抽检性质和要求，决定是否安排执法人员协助抽样，以及执法人员的数量。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5.采样办法：由中标供应商抽样人员按照《食品安全监督抽检和风险监测工作规范》、《食品安全抽样检验管理办法》以及《广东省食品药品监督管理局食品药品抽样检验实施办法》规定的采样方法进行取样和封样。抽样不得预先通知被抽样单位，不得由被抽样单位自行提供样品。确定抽样样品后，填写《食品安全抽样检验抽样单》。抽样样品一式3份，分为检验样品和复检备份样品。检验样品和复检备份样品应以妥善的方式分别单独封样并加贴封条，防止样品被擅自拆封、动用或调换。复检备份样品由承检机构保存。采样人必须在现场认真填写抽样单，填写的信息要完整、准确、字迹工整、清晰，保证样品的来源明确。经双方确认无误后在抽样单上共同签名。采样人应对抽样现场、样品封样前和封样后分别拍摄数码相片。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6.样品运输贮存：中标供应商负责每次检验样品的抽取与运送贮存，对有储藏温度或其他特殊贮存条件等要求的食品样品，应当采取适当措施，保证样品运送安全，满足检验要求，并妥善保管。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7.样品费用：抽检所需检验用样品和复检备份样品，由中标供应商向被抽检人购买，支付购样费用，并索取相关票证。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8.未能抽样处理：因被抽检人停业、结业或无正当理由拒检等原因导致无法按要求进行抽样的，抽样人员应收集有关材料并附上企业现场情况的相关照片，填写《未抽到样品的情况表》报委托方。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9.样品检验：实验室检验设备、检验人员充裕，能满足食品检验的特殊要求，能按时按质完成抽检任务，出具合法有效的检验报告，并对样品检验结果负责。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10.数据上传：中标供应商严格按照规定的时限和规范要求报送抽检数据，并将结果录入“国家食品安全抽样检验信息系统”（简称“国抽系统”）。 </w:t>
            </w:r>
          </w:p>
          <w:p>
            <w:pPr>
              <w:spacing w:line="320" w:lineRule="exact"/>
              <w:rPr>
                <w:color w:val="000000" w:themeColor="text1"/>
                <w:highlight w:val="none"/>
              </w:rPr>
            </w:pPr>
            <w:r>
              <w:rPr>
                <w:rFonts w:hint="eastAsia"/>
                <w:color w:val="000000" w:themeColor="text1"/>
                <w:highlight w:val="none"/>
                <w:lang w:val="en-US" w:eastAsia="zh-CN"/>
              </w:rPr>
              <w:t>11.分析报告：按时提交检验分析报告等。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投标报价包括</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rPr>
            </w:pPr>
            <w:r>
              <w:rPr>
                <w:rFonts w:hint="eastAsia"/>
                <w:color w:val="000000" w:themeColor="text1"/>
                <w:highlight w:val="none"/>
              </w:rPr>
              <w:t>1.应为人民币含税全包价，包括委托检验项目实施过程中发生的全部费用，即购样费、抽样费（协助抽样派出交通车辆的交通费、邮寄票证费用、中标供应商随行抽样人员的人工成本（包括餐饮、食宿）、抽样工具及其损耗费用等）、检验费和税费等。投标人的最终报价在合同执行过程中是固定不变的，不得以任何理由予以变更。</w:t>
            </w:r>
          </w:p>
          <w:p>
            <w:pPr>
              <w:spacing w:line="320" w:lineRule="exact"/>
              <w:rPr>
                <w:rFonts w:hint="eastAsia"/>
                <w:color w:val="000000" w:themeColor="text1"/>
                <w:highlight w:val="none"/>
              </w:rPr>
            </w:pPr>
            <w:r>
              <w:rPr>
                <w:rFonts w:hint="eastAsia"/>
                <w:color w:val="000000" w:themeColor="text1"/>
                <w:highlight w:val="none"/>
              </w:rPr>
              <w:t xml:space="preserve">2.投标总报价包括但不限于：检验品的抽取与运送、分析、检测、报告撰写、报送主管部门审批以及其他伴随服务等相关的全部费用。 </w:t>
            </w:r>
          </w:p>
          <w:p>
            <w:pPr>
              <w:spacing w:line="320" w:lineRule="exact"/>
              <w:rPr>
                <w:color w:val="000000" w:themeColor="text1"/>
                <w:highlight w:val="none"/>
              </w:rPr>
            </w:pPr>
            <w:r>
              <w:rPr>
                <w:rFonts w:hint="eastAsia"/>
                <w:color w:val="000000" w:themeColor="text1"/>
                <w:highlight w:val="none"/>
              </w:rPr>
              <w:t>3.投标人所投报价经中标后，即作为中标单位与采购单位确定该项目检验费的价格，不作任何调整。服务期内，经双方协商同意，可对项目内抽检计划进行适当调整，此时中标单位需按照实际项目重新报价，经采购单位同意后再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合同签订要求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cs="宋体"/>
                <w:color w:val="000000" w:themeColor="text1"/>
                <w:highlight w:val="none"/>
              </w:rPr>
              <w:t>采购合同由中标人与采购人双方签订，签订时间为《中标通知书》发出之日起15日内。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lang w:val="en-US" w:eastAsia="zh-CN"/>
              </w:rPr>
              <w:t>服务</w:t>
            </w:r>
            <w:r>
              <w:rPr>
                <w:rFonts w:hint="eastAsia"/>
                <w:b/>
                <w:color w:val="000000" w:themeColor="text1"/>
                <w:highlight w:val="none"/>
              </w:rPr>
              <w:t>地点</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eastAsia="宋体" w:cs="宋体"/>
                <w:color w:val="000000" w:themeColor="text1"/>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付款方式</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1.中标供应商完成抽检工作任务（含抽检报告及录入系统）后，因采购人需要向政府财政申请工作资金，本项目的付款时间为采购人向政府财政提出支付申请，待资金到位后随即支付的时间（不含财政支付部门审查的时间）。</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2.中标供应商凭以下有效文件与采购人结算：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（1）合同；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（2）中标供应商开具的正式发票；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（3）检测费用单； </w:t>
            </w:r>
          </w:p>
          <w:p>
            <w:pPr>
              <w:spacing w:line="320" w:lineRule="exact"/>
              <w:rPr>
                <w:color w:val="000000" w:themeColor="text1"/>
                <w:highlight w:val="none"/>
              </w:rPr>
            </w:pPr>
            <w:r>
              <w:rPr>
                <w:rFonts w:hint="eastAsia"/>
                <w:color w:val="000000" w:themeColor="text1"/>
                <w:highlight w:val="none"/>
                <w:lang w:val="en-US" w:eastAsia="zh-CN"/>
              </w:rPr>
              <w:t>（4）中标通知书。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8</w:t>
            </w:r>
          </w:p>
        </w:tc>
        <w:tc>
          <w:tcPr>
            <w:tcW w:w="2552" w:type="dxa"/>
            <w:tcBorders>
              <w:top w:val="single" w:color="auto" w:sz="4" w:space="0"/>
              <w:left w:val="single" w:color="auto" w:sz="4" w:space="0"/>
              <w:right w:val="single" w:color="auto" w:sz="4" w:space="0"/>
            </w:tcBorders>
            <w:vAlign w:val="center"/>
          </w:tcPr>
          <w:p>
            <w:pPr>
              <w:spacing w:line="320" w:lineRule="exact"/>
              <w:jc w:val="center"/>
              <w:rPr>
                <w:b/>
                <w:color w:val="000000" w:themeColor="text1"/>
                <w:highlight w:val="none"/>
              </w:rPr>
            </w:pPr>
            <w:r>
              <w:rPr>
                <w:rFonts w:hint="eastAsia" w:ascii="宋体" w:hAnsi="宋体" w:eastAsia="宋体" w:cs="宋体"/>
                <w:b/>
                <w:bCs/>
                <w:color w:val="000000" w:themeColor="text1"/>
                <w:highlight w:val="none"/>
                <w:lang w:val="en-US" w:eastAsia="zh-CN"/>
              </w:rPr>
              <w:t>验收要求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eastAsia="宋体" w:cs="宋体"/>
                <w:color w:val="000000" w:themeColor="text1"/>
                <w:highlight w:val="none"/>
                <w:lang w:val="en-US" w:eastAsia="zh-CN"/>
              </w:rPr>
              <w:t>由采购人组织，按广东省有关规定的规范要求进行验收。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left w:val="single" w:color="auto" w:sz="4" w:space="0"/>
              <w:right w:val="single" w:color="auto" w:sz="4" w:space="0"/>
            </w:tcBorders>
            <w:vAlign w:val="center"/>
          </w:tcPr>
          <w:p>
            <w:pPr>
              <w:spacing w:line="320" w:lineRule="exact"/>
              <w:jc w:val="center"/>
              <w:rPr>
                <w:rFonts w:hint="eastAsia" w:eastAsia="宋体"/>
                <w:color w:val="000000" w:themeColor="text1"/>
                <w:highlight w:val="none"/>
                <w:lang w:val="en-US" w:eastAsia="zh-CN"/>
              </w:rPr>
            </w:pPr>
            <w:r>
              <w:rPr>
                <w:rFonts w:hint="eastAsia"/>
                <w:color w:val="000000" w:themeColor="text1"/>
                <w:highlight w:val="none"/>
                <w:lang w:val="en-US" w:eastAsia="zh-CN"/>
              </w:rPr>
              <w:t>9</w:t>
            </w:r>
          </w:p>
        </w:tc>
        <w:tc>
          <w:tcPr>
            <w:tcW w:w="2552" w:type="dxa"/>
            <w:tcBorders>
              <w:left w:val="single" w:color="auto" w:sz="4" w:space="0"/>
              <w:right w:val="single" w:color="auto" w:sz="4" w:space="0"/>
            </w:tcBorders>
            <w:vAlign w:val="center"/>
          </w:tcPr>
          <w:p>
            <w:pPr>
              <w:spacing w:line="320" w:lineRule="exact"/>
              <w:jc w:val="center"/>
              <w:rPr>
                <w:b/>
                <w:color w:val="000000" w:themeColor="text1"/>
                <w:highlight w:val="none"/>
              </w:rPr>
            </w:pPr>
            <w:r>
              <w:rPr>
                <w:rFonts w:hint="eastAsia" w:ascii="宋体" w:hAnsi="宋体" w:eastAsia="宋体" w:cs="宋体"/>
                <w:b/>
                <w:bCs/>
                <w:color w:val="000000" w:themeColor="text1"/>
                <w:highlight w:val="none"/>
                <w:lang w:val="en-US" w:eastAsia="zh-CN"/>
              </w:rPr>
              <w:t>其他要求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详细的成本清单说明，包括但不限于项目的设备、人员数量及其工作时间，项目人员的工资支出，以及项目实施过程中可能涉及的其他费用（以投标单位的财务报表等资料的原件为准））；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10</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w:t>
            </w:r>
          </w:p>
          <w:p>
            <w:pPr>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（应当以支票、汇票、本票或者金融机构、担保机构出具的保函等非现金</w:t>
            </w:r>
          </w:p>
          <w:p>
            <w:pPr>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形式提交）。</w:t>
            </w:r>
          </w:p>
          <w:p>
            <w:pPr>
              <w:spacing w:line="300" w:lineRule="exact"/>
              <w:jc w:val="center"/>
              <w:rPr>
                <w:rFonts w:ascii="宋体" w:hAnsi="宋体"/>
                <w:color w:val="000000" w:themeColor="text1"/>
                <w:szCs w:val="21"/>
                <w:highlight w:val="none"/>
              </w:rPr>
            </w:pPr>
            <w:r>
              <w:rPr>
                <w:rFonts w:hint="eastAsia" w:ascii="宋体"/>
                <w:b/>
                <w:color w:val="000000" w:themeColor="text1"/>
                <w:highlight w:val="none"/>
              </w:rPr>
              <w:t>提交主体：必须以投标人自身名义提交，</w:t>
            </w:r>
            <w:r>
              <w:rPr>
                <w:rFonts w:hint="eastAsia" w:ascii="宋体" w:hAnsi="宋体"/>
                <w:color w:val="000000" w:themeColor="text1"/>
                <w:szCs w:val="21"/>
                <w:highlight w:val="none"/>
              </w:rPr>
              <w:t>应注明“</w:t>
            </w:r>
            <w:r>
              <w:rPr>
                <w:rFonts w:ascii="宋体" w:hAnsi="宋体"/>
                <w:b/>
                <w:color w:val="000000" w:themeColor="text1"/>
                <w:szCs w:val="21"/>
                <w:highlight w:val="none"/>
              </w:rPr>
              <w:t>（</w:t>
            </w:r>
            <w:r>
              <w:rPr>
                <w:rFonts w:hint="eastAsia" w:ascii="宋体" w:hAnsi="宋体"/>
                <w:b/>
                <w:color w:val="000000" w:themeColor="text1"/>
                <w:szCs w:val="21"/>
                <w:highlight w:val="none"/>
              </w:rPr>
              <w:t>项目编号）投标保证金</w:t>
            </w:r>
            <w:r>
              <w:rPr>
                <w:rFonts w:hint="eastAsia" w:ascii="宋体" w:hAnsi="宋体"/>
                <w:color w:val="000000" w:themeColor="text1"/>
                <w:szCs w:val="21"/>
                <w:highlight w:val="none"/>
              </w:rPr>
              <w:t>”。</w:t>
            </w:r>
          </w:p>
        </w:tc>
        <w:tc>
          <w:tcPr>
            <w:tcW w:w="1871"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保证金数额</w:t>
            </w: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leftChars="0" w:hanging="316" w:hangingChars="150"/>
              <w:jc w:val="left"/>
              <w:rPr>
                <w:rFonts w:ascii="宋体" w:hAnsi="宋体"/>
                <w:b/>
                <w:color w:val="000000" w:themeColor="text1"/>
                <w:szCs w:val="21"/>
                <w:highlight w:val="none"/>
              </w:rPr>
            </w:pPr>
            <w:r>
              <w:rPr>
                <w:rFonts w:hint="eastAsia" w:ascii="宋体" w:hAnsi="宋体" w:cs="宋体"/>
                <w:b/>
                <w:color w:val="000000" w:themeColor="text1"/>
                <w:szCs w:val="21"/>
                <w:highlight w:val="none"/>
              </w:rPr>
              <w:t>包组</w:t>
            </w:r>
            <w:r>
              <w:rPr>
                <w:rFonts w:hint="eastAsia" w:ascii="宋体" w:hAnsi="宋体" w:cs="宋体"/>
                <w:b/>
                <w:color w:val="000000" w:themeColor="text1"/>
                <w:szCs w:val="21"/>
                <w:highlight w:val="none"/>
                <w:lang w:val="en-US" w:eastAsia="zh-CN"/>
              </w:rPr>
              <w:t>一</w:t>
            </w:r>
            <w:r>
              <w:rPr>
                <w:rFonts w:hint="eastAsia" w:ascii="宋体" w:hAnsi="宋体" w:cs="宋体"/>
                <w:b/>
                <w:color w:val="000000" w:themeColor="text1"/>
                <w:szCs w:val="21"/>
                <w:highlight w:val="none"/>
              </w:rPr>
              <w:t>：人民币</w:t>
            </w:r>
            <w:r>
              <w:rPr>
                <w:rFonts w:hint="eastAsia" w:ascii="宋体" w:hAnsi="宋体" w:cs="宋体"/>
                <w:b/>
                <w:color w:val="000000" w:themeColor="text1"/>
                <w:szCs w:val="21"/>
                <w:highlight w:val="none"/>
                <w:lang w:val="en-US" w:eastAsia="zh-CN"/>
              </w:rPr>
              <w:t>叁仟</w:t>
            </w:r>
            <w:r>
              <w:rPr>
                <w:rFonts w:hint="eastAsia" w:ascii="宋体" w:hAnsi="宋体" w:cs="宋体"/>
                <w:b/>
                <w:color w:val="000000" w:themeColor="text1"/>
                <w:szCs w:val="21"/>
                <w:highlight w:val="none"/>
              </w:rPr>
              <w:t>元整（￥</w:t>
            </w:r>
            <w:r>
              <w:rPr>
                <w:rFonts w:hint="eastAsia" w:ascii="宋体" w:hAnsi="宋体" w:cs="宋体"/>
                <w:b/>
                <w:color w:val="000000" w:themeColor="text1"/>
                <w:szCs w:val="21"/>
                <w:highlight w:val="none"/>
                <w:lang w:val="en-US" w:eastAsia="zh-CN"/>
              </w:rPr>
              <w:t>3000</w:t>
            </w:r>
            <w:r>
              <w:rPr>
                <w:rFonts w:ascii="宋体" w:cs="宋体"/>
                <w:b/>
                <w:color w:val="000000" w:themeColor="text1"/>
                <w:szCs w:val="21"/>
                <w:highlight w:val="none"/>
              </w:rPr>
              <w:t>.00</w:t>
            </w:r>
            <w:r>
              <w:rPr>
                <w:rFonts w:hint="eastAsia" w:ascii="宋体" w:hAnsi="宋体" w:cs="宋体"/>
                <w:b/>
                <w:color w:val="000000" w:themeColor="text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b/>
                <w:color w:val="000000" w:themeColor="text1"/>
                <w:highlight w:val="none"/>
              </w:rPr>
            </w:pPr>
          </w:p>
        </w:tc>
        <w:tc>
          <w:tcPr>
            <w:tcW w:w="1871" w:type="dxa"/>
            <w:vMerge w:val="continue"/>
            <w:tcBorders>
              <w:left w:val="single" w:color="auto" w:sz="4" w:space="0"/>
              <w:bottom w:val="single" w:color="auto" w:sz="4" w:space="0"/>
              <w:right w:val="single" w:color="auto" w:sz="4" w:space="0"/>
            </w:tcBorders>
            <w:vAlign w:val="center"/>
          </w:tcPr>
          <w:p>
            <w:pPr>
              <w:snapToGrid w:val="0"/>
              <w:spacing w:line="300" w:lineRule="exact"/>
              <w:jc w:val="center"/>
              <w:rPr>
                <w:rFonts w:hint="eastAsia" w:ascii="宋体" w:hAnsi="宋体"/>
                <w:color w:val="000000" w:themeColor="text1"/>
                <w:szCs w:val="21"/>
                <w:highlight w:val="none"/>
              </w:rPr>
            </w:pP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leftChars="0" w:hanging="316" w:hangingChars="150"/>
              <w:jc w:val="left"/>
              <w:rPr>
                <w:rFonts w:hint="eastAsia" w:ascii="宋体" w:hAnsi="宋体"/>
                <w:b/>
                <w:color w:val="000000" w:themeColor="text1"/>
                <w:szCs w:val="21"/>
                <w:highlight w:val="none"/>
              </w:rPr>
            </w:pPr>
            <w:r>
              <w:rPr>
                <w:rFonts w:hint="eastAsia" w:ascii="宋体" w:hAnsi="宋体" w:cs="宋体"/>
                <w:b/>
                <w:color w:val="000000" w:themeColor="text1"/>
                <w:szCs w:val="21"/>
                <w:highlight w:val="none"/>
              </w:rPr>
              <w:t>包组</w:t>
            </w:r>
            <w:r>
              <w:rPr>
                <w:rFonts w:hint="eastAsia" w:ascii="宋体" w:hAnsi="宋体" w:cs="宋体"/>
                <w:b/>
                <w:color w:val="000000" w:themeColor="text1"/>
                <w:szCs w:val="21"/>
                <w:highlight w:val="none"/>
                <w:lang w:val="en-US" w:eastAsia="zh-CN"/>
              </w:rPr>
              <w:t>二</w:t>
            </w:r>
            <w:r>
              <w:rPr>
                <w:rFonts w:hint="eastAsia" w:ascii="宋体" w:hAnsi="宋体" w:cs="宋体"/>
                <w:b/>
                <w:color w:val="000000" w:themeColor="text1"/>
                <w:szCs w:val="21"/>
                <w:highlight w:val="none"/>
              </w:rPr>
              <w:t>：人民币</w:t>
            </w:r>
            <w:r>
              <w:rPr>
                <w:rFonts w:hint="eastAsia" w:ascii="宋体" w:hAnsi="宋体" w:cs="宋体"/>
                <w:b/>
                <w:color w:val="000000" w:themeColor="text1"/>
                <w:szCs w:val="21"/>
                <w:highlight w:val="none"/>
                <w:lang w:val="en-US" w:eastAsia="zh-CN"/>
              </w:rPr>
              <w:t>叁仟</w:t>
            </w:r>
            <w:r>
              <w:rPr>
                <w:rFonts w:hint="eastAsia" w:ascii="宋体" w:hAnsi="宋体" w:cs="宋体"/>
                <w:b/>
                <w:color w:val="000000" w:themeColor="text1"/>
                <w:szCs w:val="21"/>
                <w:highlight w:val="none"/>
              </w:rPr>
              <w:t>元整（￥</w:t>
            </w:r>
            <w:r>
              <w:rPr>
                <w:rFonts w:hint="eastAsia" w:ascii="宋体" w:hAnsi="宋体" w:cs="宋体"/>
                <w:b/>
                <w:color w:val="000000" w:themeColor="text1"/>
                <w:szCs w:val="21"/>
                <w:highlight w:val="none"/>
                <w:lang w:val="en-US" w:eastAsia="zh-CN"/>
              </w:rPr>
              <w:t>3000</w:t>
            </w:r>
            <w:r>
              <w:rPr>
                <w:rFonts w:ascii="宋体" w:cs="宋体"/>
                <w:b/>
                <w:color w:val="000000" w:themeColor="text1"/>
                <w:szCs w:val="21"/>
                <w:highlight w:val="none"/>
              </w:rPr>
              <w:t>.00</w:t>
            </w:r>
            <w:r>
              <w:rPr>
                <w:rFonts w:hint="eastAsia" w:ascii="宋体" w:hAnsi="宋体" w:cs="宋体"/>
                <w:b/>
                <w:color w:val="000000" w:themeColor="text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b/>
                <w:bCs/>
                <w:color w:val="000000" w:themeColor="text1"/>
                <w:szCs w:val="21"/>
                <w:highlight w:val="none"/>
                <w:lang w:eastAsia="zh-CN"/>
              </w:rPr>
            </w:pPr>
            <w:r>
              <w:rPr>
                <w:rFonts w:hint="eastAsia" w:ascii="宋体" w:hAnsi="宋体"/>
                <w:b/>
                <w:bCs/>
                <w:color w:val="000000" w:themeColor="text1"/>
                <w:szCs w:val="21"/>
                <w:highlight w:val="none"/>
                <w:lang w:eastAsia="zh-CN"/>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b/>
                <w:bCs/>
                <w:color w:val="000000" w:themeColor="text1"/>
                <w:szCs w:val="21"/>
                <w:highlight w:val="none"/>
                <w:lang w:eastAsia="zh-CN"/>
              </w:rPr>
            </w:pPr>
            <w:r>
              <w:rPr>
                <w:rFonts w:hint="eastAsia" w:ascii="宋体" w:hAnsi="宋体" w:eastAsia="宋体"/>
                <w:b/>
                <w:bCs/>
                <w:color w:val="000000" w:themeColor="text1"/>
                <w:szCs w:val="21"/>
                <w:highlight w:val="none"/>
                <w:lang w:eastAsia="zh-CN"/>
              </w:rPr>
              <w:t>80020000016804642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
                <w:bCs/>
                <w:color w:val="000000" w:themeColor="text1"/>
                <w:szCs w:val="21"/>
                <w:highlight w:val="none"/>
                <w:lang w:eastAsia="zh-CN"/>
              </w:rPr>
            </w:pPr>
            <w:r>
              <w:rPr>
                <w:rFonts w:hint="eastAsia" w:ascii="宋体" w:hAnsi="宋体" w:eastAsia="宋体"/>
                <w:b/>
                <w:bCs/>
                <w:color w:val="000000" w:themeColor="text1"/>
                <w:szCs w:val="21"/>
                <w:highlight w:val="none"/>
                <w:lang w:eastAsia="zh-CN"/>
              </w:rPr>
              <w:t>阳江农村商业银行股份有限公司营业部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交纳时间</w:t>
            </w: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bCs/>
                <w:color w:val="000000" w:themeColor="text1"/>
                <w:szCs w:val="21"/>
                <w:highlight w:val="none"/>
              </w:rPr>
            </w:pPr>
            <w:r>
              <w:rPr>
                <w:rFonts w:hint="eastAsia" w:ascii="宋体" w:hAnsi="宋体"/>
                <w:color w:val="000000" w:themeColor="text1"/>
                <w:szCs w:val="21"/>
                <w:highlight w:val="none"/>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11</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中标服务费</w:t>
            </w:r>
          </w:p>
          <w:p>
            <w:pPr>
              <w:spacing w:line="300" w:lineRule="exact"/>
              <w:jc w:val="center"/>
              <w:rPr>
                <w:rFonts w:ascii="宋体" w:hAnsi="宋体"/>
                <w:color w:val="000000" w:themeColor="text1"/>
                <w:szCs w:val="21"/>
                <w:highlight w:val="none"/>
              </w:rPr>
            </w:pPr>
            <w:r>
              <w:rPr>
                <w:rFonts w:hint="eastAsia" w:ascii="宋体" w:hAnsi="宋体"/>
                <w:bCs/>
                <w:color w:val="000000" w:themeColor="text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收费标准：</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Cs/>
                <w:color w:val="000000" w:themeColor="text1"/>
                <w:szCs w:val="21"/>
                <w:highlight w:val="none"/>
              </w:rPr>
              <w:t>根据发改价格[2015]299号文的规定</w:t>
            </w:r>
            <w:r>
              <w:rPr>
                <w:rFonts w:hint="eastAsia" w:ascii="宋体" w:hAnsi="宋体"/>
                <w:color w:val="000000" w:themeColor="text1"/>
                <w:szCs w:val="21"/>
                <w:highlight w:val="none"/>
              </w:rPr>
              <w:t>，招标代理服务费实行市场调节价。各包组</w:t>
            </w:r>
            <w:r>
              <w:rPr>
                <w:rFonts w:hint="eastAsia" w:ascii="宋体" w:hAnsi="宋体"/>
                <w:color w:val="000000" w:themeColor="text1"/>
                <w:szCs w:val="21"/>
                <w:highlight w:val="none"/>
                <w:lang w:val="en-US" w:eastAsia="zh-CN"/>
              </w:rPr>
              <w:t>中标</w:t>
            </w:r>
            <w:r>
              <w:rPr>
                <w:rFonts w:hint="eastAsia" w:ascii="宋体" w:hAnsi="宋体"/>
                <w:color w:val="000000" w:themeColor="text1"/>
                <w:szCs w:val="21"/>
                <w:highlight w:val="none"/>
              </w:rPr>
              <w:t>供应商分别在领取《</w:t>
            </w:r>
            <w:r>
              <w:rPr>
                <w:rFonts w:hint="eastAsia" w:ascii="宋体" w:hAnsi="宋体"/>
                <w:color w:val="000000" w:themeColor="text1"/>
                <w:szCs w:val="21"/>
                <w:highlight w:val="none"/>
                <w:lang w:val="en-US" w:eastAsia="zh-CN"/>
              </w:rPr>
              <w:t>中标</w:t>
            </w:r>
            <w:r>
              <w:rPr>
                <w:rFonts w:hint="eastAsia" w:ascii="宋体" w:hAnsi="宋体"/>
                <w:color w:val="000000" w:themeColor="text1"/>
                <w:szCs w:val="21"/>
                <w:highlight w:val="none"/>
              </w:rPr>
              <w:t>通知书》时应一次性交纳招标代理服务费</w:t>
            </w:r>
            <w:r>
              <w:rPr>
                <w:rFonts w:hint="eastAsia" w:ascii="宋体" w:hAnsi="宋体"/>
                <w:color w:val="000000" w:themeColor="text1"/>
                <w:szCs w:val="21"/>
                <w:highlight w:val="none"/>
                <w:lang w:val="en-US" w:eastAsia="zh-CN"/>
              </w:rPr>
              <w:t>柒</w:t>
            </w:r>
            <w:r>
              <w:rPr>
                <w:rFonts w:hint="eastAsia" w:ascii="宋体" w:hAnsi="宋体"/>
                <w:color w:val="000000" w:themeColor="text1"/>
                <w:szCs w:val="21"/>
                <w:highlight w:val="none"/>
              </w:rPr>
              <w:t>仟元整（￥</w:t>
            </w:r>
            <w:r>
              <w:rPr>
                <w:rFonts w:hint="eastAsia" w:ascii="宋体" w:hAnsi="宋体"/>
                <w:color w:val="000000" w:themeColor="text1"/>
                <w:szCs w:val="21"/>
                <w:highlight w:val="none"/>
                <w:lang w:val="en-US" w:eastAsia="zh-CN"/>
              </w:rPr>
              <w:t>7</w:t>
            </w:r>
            <w:r>
              <w:rPr>
                <w:rFonts w:hint="eastAsia" w:ascii="宋体" w:hAnsi="宋体"/>
                <w:color w:val="000000" w:themeColor="text1"/>
                <w:szCs w:val="21"/>
                <w:highlight w:val="none"/>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Cs/>
                <w:color w:val="000000" w:themeColor="text1"/>
                <w:szCs w:val="21"/>
                <w:highlight w:val="none"/>
                <w:lang w:eastAsia="zh-CN"/>
              </w:rPr>
            </w:pPr>
            <w:r>
              <w:rPr>
                <w:rFonts w:hint="eastAsia" w:ascii="宋体" w:hAnsi="宋体"/>
                <w:b/>
                <w:bCs/>
                <w:color w:val="000000" w:themeColor="text1"/>
                <w:szCs w:val="21"/>
                <w:highlight w:val="none"/>
                <w:lang w:eastAsia="zh-CN"/>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Cs/>
                <w:color w:val="000000" w:themeColor="text1"/>
                <w:szCs w:val="21"/>
                <w:highlight w:val="none"/>
                <w:lang w:eastAsia="zh-CN"/>
              </w:rPr>
            </w:pPr>
            <w:r>
              <w:rPr>
                <w:rFonts w:hint="eastAsia" w:ascii="宋体" w:hAnsi="宋体"/>
                <w:b/>
                <w:bCs/>
                <w:color w:val="000000" w:themeColor="text1"/>
                <w:szCs w:val="21"/>
                <w:highlight w:val="none"/>
                <w:lang w:eastAsia="zh-CN"/>
              </w:rPr>
              <w:t>44546601040029205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Cs/>
                <w:color w:val="000000" w:themeColor="text1"/>
                <w:szCs w:val="21"/>
                <w:highlight w:val="none"/>
                <w:lang w:eastAsia="zh-CN"/>
              </w:rPr>
            </w:pPr>
            <w:r>
              <w:rPr>
                <w:rFonts w:hint="eastAsia" w:ascii="宋体" w:hAnsi="宋体"/>
                <w:b/>
                <w:bCs/>
                <w:color w:val="000000" w:themeColor="text1"/>
                <w:szCs w:val="21"/>
                <w:highlight w:val="none"/>
                <w:lang w:eastAsia="zh-CN"/>
              </w:rPr>
              <w:t>中国农业银行股份有限公司阳江江城支行</w:t>
            </w:r>
          </w:p>
        </w:tc>
      </w:tr>
    </w:tbl>
    <w:p>
      <w:pPr>
        <w:adjustRightInd w:val="0"/>
        <w:snapToGrid w:val="0"/>
        <w:spacing w:line="360" w:lineRule="auto"/>
        <w:rPr>
          <w:b/>
          <w:color w:val="000000" w:themeColor="text1"/>
          <w:szCs w:val="2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pStyle w:val="5"/>
        <w:numPr>
          <w:ilvl w:val="0"/>
          <w:numId w:val="0"/>
        </w:numPr>
        <w:spacing w:beforeLines="150" w:after="0" w:line="360" w:lineRule="auto"/>
        <w:rPr>
          <w:color w:val="000000" w:themeColor="text1"/>
          <w:kern w:val="0"/>
          <w:sz w:val="24"/>
          <w:highlight w:val="none"/>
        </w:rPr>
      </w:pPr>
      <w:bookmarkStart w:id="113" w:name="_Toc25774"/>
      <w:r>
        <w:rPr>
          <w:rFonts w:hint="eastAsia"/>
          <w:color w:val="000000" w:themeColor="text1"/>
          <w:kern w:val="0"/>
          <w:sz w:val="24"/>
          <w:highlight w:val="none"/>
        </w:rPr>
        <w:t>B  技术要求</w:t>
      </w:r>
      <w:bookmarkEnd w:id="113"/>
    </w:p>
    <w:p>
      <w:pPr>
        <w:spacing w:line="360" w:lineRule="auto"/>
        <w:rPr>
          <w:color w:val="000000" w:themeColor="text1"/>
          <w:highlight w:val="none"/>
        </w:rPr>
      </w:pPr>
      <w:r>
        <w:rPr>
          <w:rFonts w:hint="eastAsia"/>
          <w:b/>
          <w:bCs/>
          <w:color w:val="000000" w:themeColor="text1"/>
          <w:highlight w:val="none"/>
        </w:rPr>
        <w:t>一、</w:t>
      </w:r>
      <w:r>
        <w:rPr>
          <w:b/>
          <w:bCs/>
          <w:color w:val="000000" w:themeColor="text1"/>
          <w:highlight w:val="none"/>
        </w:rPr>
        <w:t>服务内容</w:t>
      </w:r>
      <w:r>
        <w:rPr>
          <w:color w:val="000000" w:themeColor="text1"/>
          <w:highlight w:val="none"/>
        </w:rPr>
        <w:t xml:space="preserve"> </w:t>
      </w:r>
    </w:p>
    <w:p>
      <w:pPr>
        <w:spacing w:line="360" w:lineRule="auto"/>
        <w:ind w:firstLine="420" w:firstLineChars="200"/>
        <w:rPr>
          <w:color w:val="000000" w:themeColor="text1"/>
          <w:highlight w:val="none"/>
        </w:rPr>
      </w:pPr>
      <w:r>
        <w:rPr>
          <w:color w:val="000000" w:themeColor="text1"/>
          <w:highlight w:val="none"/>
        </w:rPr>
        <w:t>包</w:t>
      </w:r>
      <w:r>
        <w:rPr>
          <w:rFonts w:hint="eastAsia"/>
          <w:color w:val="000000" w:themeColor="text1"/>
          <w:highlight w:val="none"/>
          <w:lang w:val="en-US" w:eastAsia="zh-CN"/>
        </w:rPr>
        <w:t>组</w:t>
      </w:r>
      <w:r>
        <w:rPr>
          <w:color w:val="000000" w:themeColor="text1"/>
          <w:highlight w:val="none"/>
        </w:rPr>
        <w:t>一详见附件中的表1；包</w:t>
      </w:r>
      <w:r>
        <w:rPr>
          <w:rFonts w:hint="eastAsia"/>
          <w:color w:val="000000" w:themeColor="text1"/>
          <w:highlight w:val="none"/>
          <w:lang w:val="en-US" w:eastAsia="zh-CN"/>
        </w:rPr>
        <w:t>组</w:t>
      </w:r>
      <w:r>
        <w:rPr>
          <w:color w:val="000000" w:themeColor="text1"/>
          <w:highlight w:val="none"/>
        </w:rPr>
        <w:t xml:space="preserve">二详见附件中的表2。 </w:t>
      </w:r>
    </w:p>
    <w:p>
      <w:pPr>
        <w:spacing w:line="360" w:lineRule="auto"/>
        <w:rPr>
          <w:color w:val="000000" w:themeColor="text1"/>
          <w:highlight w:val="none"/>
        </w:rPr>
      </w:pPr>
      <w:r>
        <w:rPr>
          <w:rFonts w:hint="eastAsia"/>
          <w:b/>
          <w:bCs/>
          <w:color w:val="000000" w:themeColor="text1"/>
          <w:highlight w:val="none"/>
        </w:rPr>
        <w:t>二、</w:t>
      </w:r>
      <w:r>
        <w:rPr>
          <w:b/>
          <w:bCs/>
          <w:color w:val="000000" w:themeColor="text1"/>
          <w:highlight w:val="none"/>
        </w:rPr>
        <w:t>检验工作的实施</w:t>
      </w:r>
      <w:r>
        <w:rPr>
          <w:color w:val="000000" w:themeColor="text1"/>
          <w:highlight w:val="none"/>
        </w:rPr>
        <w:t xml:space="preserve"> </w:t>
      </w:r>
    </w:p>
    <w:p>
      <w:pPr>
        <w:spacing w:line="360" w:lineRule="auto"/>
        <w:ind w:firstLine="420" w:firstLineChars="200"/>
        <w:rPr>
          <w:color w:val="000000" w:themeColor="text1"/>
          <w:highlight w:val="none"/>
        </w:rPr>
      </w:pPr>
      <w:r>
        <w:rPr>
          <w:color w:val="000000" w:themeColor="text1"/>
          <w:highlight w:val="none"/>
        </w:rPr>
        <w:t xml:space="preserve">1.检验依据：食品检验应当采用食品安全国家标准；没有国家标准的，应当采用行业标准、备案的食品安全地方标准；没有国家标准、行业标准和地方标准的，应当采用依法备案的企业标准作为对该企业食品抽检的判定依据；对目前暂未有判定依据的项目应出具检测数值、检测方法介绍、结果分析和处理建议。 </w:t>
      </w:r>
    </w:p>
    <w:p>
      <w:pPr>
        <w:spacing w:line="360" w:lineRule="auto"/>
        <w:ind w:firstLine="420" w:firstLineChars="200"/>
        <w:rPr>
          <w:color w:val="000000" w:themeColor="text1"/>
          <w:highlight w:val="none"/>
        </w:rPr>
      </w:pPr>
      <w:r>
        <w:rPr>
          <w:color w:val="000000" w:themeColor="text1"/>
          <w:highlight w:val="none"/>
        </w:rPr>
        <w:t xml:space="preserve">2.检验工作的实施要求：检验依据及判定依据：依照 GB 2763-2019《食品安全国家标准食品中农药最大残留限量》、农业农村部250号公告、GB 31650-2019《食品安全国家标准食品中兽药最大残留限量》等相关食品安全国家标准判定，对没有食品安全国家标准的，可按照地方标准、食品卫生标准、食品质量标准和有关食品的行业标准，食品安全地方标准，企业标准、产品标签明示值或国家明文规定的限量值及国家指定的特定检验方法等进行检验、判定。 </w:t>
      </w:r>
    </w:p>
    <w:p>
      <w:pPr>
        <w:spacing w:line="360" w:lineRule="auto"/>
        <w:ind w:firstLine="420" w:firstLineChars="200"/>
        <w:rPr>
          <w:color w:val="000000" w:themeColor="text1"/>
          <w:highlight w:val="none"/>
        </w:rPr>
      </w:pPr>
      <w:r>
        <w:rPr>
          <w:rFonts w:hint="eastAsia"/>
          <w:color w:val="000000" w:themeColor="text1"/>
          <w:highlight w:val="none"/>
        </w:rPr>
        <w:t>3.</w:t>
      </w:r>
      <w:r>
        <w:rPr>
          <w:color w:val="000000" w:themeColor="text1"/>
          <w:highlight w:val="none"/>
        </w:rPr>
        <w:t xml:space="preserve">检验结果的处理 </w:t>
      </w:r>
    </w:p>
    <w:p>
      <w:pPr>
        <w:spacing w:line="360" w:lineRule="auto"/>
        <w:ind w:firstLine="420" w:firstLineChars="200"/>
        <w:rPr>
          <w:color w:val="000000" w:themeColor="text1"/>
          <w:highlight w:val="none"/>
        </w:rPr>
      </w:pPr>
      <w:r>
        <w:rPr>
          <w:rFonts w:hint="eastAsia"/>
          <w:color w:val="000000" w:themeColor="text1"/>
          <w:highlight w:val="none"/>
          <w:lang w:val="en-US" w:eastAsia="zh-CN"/>
        </w:rPr>
        <w:t>1）</w:t>
      </w:r>
      <w:r>
        <w:rPr>
          <w:color w:val="000000" w:themeColor="text1"/>
          <w:highlight w:val="none"/>
        </w:rPr>
        <w:t>检验结论的出具：检验项目全部符合相应依据的法律法规或标准要求的，检验结论为：“经抽样检验，所检项目符合××××要求”；检验项目有不符合相应依据的法律法规或标准要求的，检验结论为：“经抽样检验，××项目不符合××××要求，检验结论为不合格”。</w:t>
      </w:r>
    </w:p>
    <w:p>
      <w:pPr>
        <w:spacing w:line="360" w:lineRule="auto"/>
        <w:ind w:firstLine="420" w:firstLineChars="200"/>
        <w:rPr>
          <w:color w:val="000000" w:themeColor="text1"/>
          <w:highlight w:val="none"/>
        </w:rPr>
      </w:pPr>
      <w:r>
        <w:rPr>
          <w:rFonts w:hint="eastAsia"/>
          <w:color w:val="000000" w:themeColor="text1"/>
          <w:highlight w:val="none"/>
          <w:lang w:val="en-US" w:eastAsia="zh-CN"/>
        </w:rPr>
        <w:t>2）</w:t>
      </w:r>
      <w:r>
        <w:rPr>
          <w:color w:val="000000" w:themeColor="text1"/>
          <w:highlight w:val="none"/>
        </w:rPr>
        <w:t>检验报告的提供：</w:t>
      </w:r>
      <w:r>
        <w:rPr>
          <w:rFonts w:hint="eastAsia"/>
          <w:color w:val="000000" w:themeColor="text1"/>
          <w:highlight w:val="none"/>
          <w:lang w:eastAsia="zh-CN"/>
        </w:rPr>
        <w:t>中标供应商</w:t>
      </w:r>
      <w:r>
        <w:rPr>
          <w:color w:val="000000" w:themeColor="text1"/>
          <w:highlight w:val="none"/>
        </w:rPr>
        <w:t xml:space="preserve">须在 20 个工作日内出具检验报告，检验工作中发现的食品安全问题和有关检验报告及时呈报授检单位。发现不合格样品或问题样品中含有非食用物质或其他可能存在较高或急性健康风险的，应当在确认检验结果后24小时之内报告。 </w:t>
      </w:r>
    </w:p>
    <w:p>
      <w:pPr>
        <w:spacing w:line="360" w:lineRule="auto"/>
        <w:ind w:firstLine="420" w:firstLineChars="200"/>
        <w:rPr>
          <w:color w:val="000000" w:themeColor="text1"/>
          <w:highlight w:val="none"/>
        </w:rPr>
      </w:pPr>
      <w:r>
        <w:rPr>
          <w:rFonts w:hint="eastAsia"/>
          <w:color w:val="000000" w:themeColor="text1"/>
          <w:highlight w:val="none"/>
          <w:lang w:val="en-US" w:eastAsia="zh-CN"/>
        </w:rPr>
        <w:t>3）</w:t>
      </w:r>
      <w:r>
        <w:rPr>
          <w:color w:val="000000" w:themeColor="text1"/>
          <w:highlight w:val="none"/>
        </w:rPr>
        <w:t>检验结果的送达、告知：由</w:t>
      </w:r>
      <w:r>
        <w:rPr>
          <w:rFonts w:hint="eastAsia"/>
          <w:color w:val="000000" w:themeColor="text1"/>
          <w:highlight w:val="none"/>
          <w:lang w:eastAsia="zh-CN"/>
        </w:rPr>
        <w:t>中标供应商</w:t>
      </w:r>
      <w:r>
        <w:rPr>
          <w:color w:val="000000" w:themeColor="text1"/>
          <w:highlight w:val="none"/>
        </w:rPr>
        <w:t>负责，检验完毕后，</w:t>
      </w:r>
      <w:r>
        <w:rPr>
          <w:rFonts w:hint="eastAsia"/>
          <w:color w:val="000000" w:themeColor="text1"/>
          <w:highlight w:val="none"/>
          <w:lang w:eastAsia="zh-CN"/>
        </w:rPr>
        <w:t>中标供应商</w:t>
      </w:r>
      <w:r>
        <w:rPr>
          <w:color w:val="000000" w:themeColor="text1"/>
          <w:highlight w:val="none"/>
        </w:rPr>
        <w:t>应当出具检验报告，并按要求及时送达。</w:t>
      </w:r>
      <w:r>
        <w:rPr>
          <w:rFonts w:hint="eastAsia"/>
          <w:color w:val="000000" w:themeColor="text1"/>
          <w:highlight w:val="none"/>
          <w:lang w:eastAsia="zh-CN"/>
        </w:rPr>
        <w:t>中标供应商</w:t>
      </w:r>
      <w:r>
        <w:rPr>
          <w:color w:val="000000" w:themeColor="text1"/>
          <w:highlight w:val="none"/>
        </w:rPr>
        <w:t>应当在检验结论做出后 3 个工作日内，将一式二份检验报告报送至采购人。如不合格样品标称的食品生产者在</w:t>
      </w:r>
      <w:r>
        <w:rPr>
          <w:rFonts w:hint="eastAsia"/>
          <w:color w:val="000000" w:themeColor="text1"/>
          <w:highlight w:val="none"/>
        </w:rPr>
        <w:t>江城</w:t>
      </w:r>
      <w:r>
        <w:rPr>
          <w:color w:val="000000" w:themeColor="text1"/>
          <w:highlight w:val="none"/>
        </w:rPr>
        <w:t>区管辖范围内的，必须提供一式四份检验报告，</w:t>
      </w:r>
      <w:r>
        <w:rPr>
          <w:rFonts w:hint="eastAsia"/>
          <w:color w:val="000000" w:themeColor="text1"/>
          <w:highlight w:val="none"/>
          <w:lang w:eastAsia="zh-CN"/>
        </w:rPr>
        <w:t>中标供应商</w:t>
      </w:r>
      <w:r>
        <w:rPr>
          <w:color w:val="000000" w:themeColor="text1"/>
          <w:highlight w:val="none"/>
        </w:rPr>
        <w:t xml:space="preserve">应保存邮件详情单，以备查询。 </w:t>
      </w:r>
    </w:p>
    <w:p>
      <w:pPr>
        <w:spacing w:line="360" w:lineRule="auto"/>
        <w:ind w:firstLine="420" w:firstLineChars="200"/>
        <w:rPr>
          <w:color w:val="000000" w:themeColor="text1"/>
          <w:highlight w:val="none"/>
        </w:rPr>
      </w:pPr>
      <w:r>
        <w:rPr>
          <w:rFonts w:hint="eastAsia"/>
          <w:color w:val="000000" w:themeColor="text1"/>
          <w:highlight w:val="none"/>
          <w:lang w:val="en-US" w:eastAsia="zh-CN"/>
        </w:rPr>
        <w:t>4）</w:t>
      </w:r>
      <w:r>
        <w:rPr>
          <w:color w:val="000000" w:themeColor="text1"/>
          <w:highlight w:val="none"/>
        </w:rPr>
        <w:t>检验结果的分析评估报告：对检验结果判定为不合格的，</w:t>
      </w:r>
      <w:r>
        <w:rPr>
          <w:rFonts w:hint="eastAsia"/>
          <w:color w:val="000000" w:themeColor="text1"/>
          <w:highlight w:val="none"/>
          <w:lang w:eastAsia="zh-CN"/>
        </w:rPr>
        <w:t>中标供应商</w:t>
      </w:r>
      <w:r>
        <w:rPr>
          <w:color w:val="000000" w:themeColor="text1"/>
          <w:highlight w:val="none"/>
        </w:rPr>
        <w:t xml:space="preserve">要对不合格项目进行原因及危害性分析评估，并出具分析评估报告，提出下一步检测意见和建议。 </w:t>
      </w:r>
    </w:p>
    <w:p>
      <w:pPr>
        <w:spacing w:line="360" w:lineRule="auto"/>
        <w:ind w:firstLine="420" w:firstLineChars="200"/>
        <w:rPr>
          <w:color w:val="000000" w:themeColor="text1"/>
          <w:highlight w:val="none"/>
        </w:rPr>
      </w:pPr>
      <w:r>
        <w:rPr>
          <w:color w:val="000000" w:themeColor="text1"/>
          <w:highlight w:val="none"/>
        </w:rPr>
        <w:t xml:space="preserve">4.对样本异议的处理： </w:t>
      </w:r>
    </w:p>
    <w:p>
      <w:pPr>
        <w:spacing w:line="360" w:lineRule="auto"/>
        <w:ind w:firstLine="420" w:firstLineChars="200"/>
        <w:rPr>
          <w:color w:val="000000" w:themeColor="text1"/>
          <w:highlight w:val="none"/>
        </w:rPr>
      </w:pPr>
      <w:r>
        <w:rPr>
          <w:rFonts w:hint="eastAsia"/>
          <w:color w:val="000000" w:themeColor="text1"/>
          <w:highlight w:val="none"/>
          <w:lang w:val="en-US" w:eastAsia="zh-CN"/>
        </w:rPr>
        <w:t>1）</w:t>
      </w:r>
      <w:r>
        <w:rPr>
          <w:color w:val="000000" w:themeColor="text1"/>
          <w:highlight w:val="none"/>
        </w:rPr>
        <w:t>委托方接受被抽检人或标称的生产企业（进口商）关于对抽样程序、检验判定依据有异议的《异议申请书》后依法组织调查，</w:t>
      </w:r>
      <w:r>
        <w:rPr>
          <w:rFonts w:hint="eastAsia"/>
          <w:color w:val="000000" w:themeColor="text1"/>
          <w:highlight w:val="none"/>
          <w:lang w:eastAsia="zh-CN"/>
        </w:rPr>
        <w:t>中标供应商</w:t>
      </w:r>
      <w:r>
        <w:rPr>
          <w:color w:val="000000" w:themeColor="text1"/>
          <w:highlight w:val="none"/>
        </w:rPr>
        <w:t xml:space="preserve">应按委托方要求在 5 日内提交书面答复。 </w:t>
      </w:r>
    </w:p>
    <w:p>
      <w:pPr>
        <w:spacing w:line="360" w:lineRule="auto"/>
        <w:ind w:firstLine="420" w:firstLineChars="200"/>
        <w:rPr>
          <w:rFonts w:ascii="宋体" w:hAnsi="宋体"/>
          <w:color w:val="000000" w:themeColor="text1"/>
          <w:szCs w:val="21"/>
          <w:highlight w:val="none"/>
        </w:rPr>
      </w:pPr>
      <w:r>
        <w:rPr>
          <w:rFonts w:hint="eastAsia"/>
          <w:color w:val="000000" w:themeColor="text1"/>
          <w:highlight w:val="none"/>
          <w:lang w:val="en-US" w:eastAsia="zh-CN"/>
        </w:rPr>
        <w:t>2）</w:t>
      </w:r>
      <w:r>
        <w:rPr>
          <w:color w:val="000000" w:themeColor="text1"/>
          <w:highlight w:val="none"/>
        </w:rPr>
        <w:t>委托方同意被抽检人或标称的生产企业（进口商）复检申请后，在已公告的复检机构名录中随机确定复检机构进行复检,复检机构与初检机构不得为同一机构。逾期未提出申请的，视为承认检验结果。私自拆封、调换或者毁损备份样品的，视为放弃复检。检验结果报告后，剩余样品或同批样品不进行微生物项目的复检，检验项目不具有重现性的不进行复检，样品已过保质期的不复检。检出致病菌时，保留菌种一个月。</w:t>
      </w:r>
      <w:r>
        <w:rPr>
          <w:rFonts w:hint="eastAsia"/>
          <w:color w:val="000000" w:themeColor="text1"/>
          <w:highlight w:val="none"/>
          <w:lang w:eastAsia="zh-CN"/>
        </w:rPr>
        <w:t>中标供应商</w:t>
      </w:r>
      <w:r>
        <w:rPr>
          <w:color w:val="000000" w:themeColor="text1"/>
          <w:highlight w:val="none"/>
        </w:rPr>
        <w:t>要配合委托方开展复检。 复检结果为最终结果。复检结果表明合格的，复检费用由抽</w:t>
      </w:r>
      <w:r>
        <w:rPr>
          <w:rFonts w:ascii="宋体" w:hAnsi="宋体" w:cs="宋体"/>
          <w:color w:val="000000" w:themeColor="text1"/>
          <w:szCs w:val="21"/>
          <w:highlight w:val="none"/>
        </w:rPr>
        <w:t>样</w:t>
      </w:r>
      <w:r>
        <w:rPr>
          <w:rFonts w:ascii="宋体" w:hAnsi="宋体"/>
          <w:color w:val="000000" w:themeColor="text1"/>
          <w:szCs w:val="21"/>
          <w:highlight w:val="none"/>
        </w:rPr>
        <w:t>检</w:t>
      </w:r>
      <w:r>
        <w:rPr>
          <w:rFonts w:ascii="宋体" w:hAnsi="宋体" w:cs="宋体"/>
          <w:color w:val="000000" w:themeColor="text1"/>
          <w:szCs w:val="21"/>
          <w:highlight w:val="none"/>
        </w:rPr>
        <w:t>验</w:t>
      </w:r>
      <w:r>
        <w:rPr>
          <w:rFonts w:ascii="宋体" w:hAnsi="宋体"/>
          <w:color w:val="000000" w:themeColor="text1"/>
          <w:szCs w:val="21"/>
          <w:highlight w:val="none"/>
        </w:rPr>
        <w:t>的</w:t>
      </w:r>
      <w:r>
        <w:rPr>
          <w:rFonts w:ascii="宋体" w:hAnsi="宋体" w:cs="宋体"/>
          <w:color w:val="000000" w:themeColor="text1"/>
          <w:szCs w:val="21"/>
          <w:highlight w:val="none"/>
        </w:rPr>
        <w:t>部门承担；复</w:t>
      </w:r>
      <w:r>
        <w:rPr>
          <w:rFonts w:ascii="宋体" w:hAnsi="宋体"/>
          <w:color w:val="000000" w:themeColor="text1"/>
          <w:szCs w:val="21"/>
          <w:highlight w:val="none"/>
        </w:rPr>
        <w:t>检</w:t>
      </w:r>
      <w:r>
        <w:rPr>
          <w:rFonts w:ascii="宋体" w:hAnsi="宋体" w:cs="宋体"/>
          <w:color w:val="000000" w:themeColor="text1"/>
          <w:szCs w:val="21"/>
          <w:highlight w:val="none"/>
        </w:rPr>
        <w:t>结论表明不</w:t>
      </w:r>
      <w:r>
        <w:rPr>
          <w:rFonts w:ascii="宋体" w:hAnsi="宋体"/>
          <w:color w:val="000000" w:themeColor="text1"/>
          <w:szCs w:val="21"/>
          <w:highlight w:val="none"/>
        </w:rPr>
        <w:t>合格的，</w:t>
      </w:r>
      <w:r>
        <w:rPr>
          <w:rFonts w:ascii="宋体" w:hAnsi="宋体" w:cs="宋体"/>
          <w:color w:val="000000" w:themeColor="text1"/>
          <w:szCs w:val="21"/>
          <w:highlight w:val="none"/>
        </w:rPr>
        <w:t>复</w:t>
      </w:r>
      <w:r>
        <w:rPr>
          <w:rFonts w:ascii="宋体" w:hAnsi="宋体"/>
          <w:color w:val="000000" w:themeColor="text1"/>
          <w:szCs w:val="21"/>
          <w:highlight w:val="none"/>
        </w:rPr>
        <w:t>检</w:t>
      </w:r>
      <w:r>
        <w:rPr>
          <w:rFonts w:ascii="宋体" w:hAnsi="宋体" w:cs="宋体"/>
          <w:color w:val="000000" w:themeColor="text1"/>
          <w:szCs w:val="21"/>
          <w:highlight w:val="none"/>
        </w:rPr>
        <w:t>费</w:t>
      </w:r>
      <w:r>
        <w:rPr>
          <w:rFonts w:ascii="宋体" w:hAnsi="宋体"/>
          <w:color w:val="000000" w:themeColor="text1"/>
          <w:szCs w:val="21"/>
          <w:highlight w:val="none"/>
        </w:rPr>
        <w:t>用</w:t>
      </w:r>
      <w:r>
        <w:rPr>
          <w:rFonts w:ascii="宋体" w:hAnsi="宋体" w:cs="宋体"/>
          <w:color w:val="000000" w:themeColor="text1"/>
          <w:szCs w:val="21"/>
          <w:highlight w:val="none"/>
        </w:rPr>
        <w:t>由要求复</w:t>
      </w:r>
      <w:r>
        <w:rPr>
          <w:rFonts w:ascii="宋体" w:hAnsi="宋体"/>
          <w:color w:val="000000" w:themeColor="text1"/>
          <w:szCs w:val="21"/>
          <w:highlight w:val="none"/>
        </w:rPr>
        <w:t>检</w:t>
      </w:r>
      <w:r>
        <w:rPr>
          <w:rFonts w:ascii="宋体" w:hAnsi="宋体" w:cs="宋体"/>
          <w:color w:val="000000" w:themeColor="text1"/>
          <w:szCs w:val="21"/>
          <w:highlight w:val="none"/>
        </w:rPr>
        <w:t>申请人</w:t>
      </w:r>
      <w:r>
        <w:rPr>
          <w:rFonts w:ascii="宋体" w:hAnsi="宋体"/>
          <w:color w:val="000000" w:themeColor="text1"/>
          <w:szCs w:val="21"/>
          <w:highlight w:val="none"/>
        </w:rPr>
        <w:t>或</w:t>
      </w:r>
      <w:r>
        <w:rPr>
          <w:rFonts w:ascii="宋体" w:hAnsi="宋体" w:cs="宋体"/>
          <w:color w:val="000000" w:themeColor="text1"/>
          <w:szCs w:val="21"/>
          <w:highlight w:val="none"/>
        </w:rPr>
        <w:t>单位承担</w:t>
      </w:r>
      <w:r>
        <w:rPr>
          <w:rFonts w:ascii="宋体" w:hAnsi="宋体"/>
          <w:color w:val="000000" w:themeColor="text1"/>
          <w:szCs w:val="21"/>
          <w:highlight w:val="none"/>
        </w:rPr>
        <w:t>。</w:t>
      </w:r>
      <w:r>
        <w:rPr>
          <w:rFonts w:ascii="宋体" w:hAnsi="宋体" w:cs="宋体"/>
          <w:color w:val="000000" w:themeColor="text1"/>
          <w:szCs w:val="21"/>
          <w:highlight w:val="none"/>
        </w:rPr>
        <w:t xml:space="preserve"> </w:t>
      </w:r>
    </w:p>
    <w:p>
      <w:pPr>
        <w:spacing w:line="360" w:lineRule="auto"/>
        <w:rPr>
          <w:b/>
          <w:bCs/>
          <w:color w:val="000000" w:themeColor="text1"/>
          <w:highlight w:val="none"/>
        </w:rPr>
      </w:pPr>
      <w:r>
        <w:rPr>
          <w:rFonts w:hint="eastAsia"/>
          <w:b/>
          <w:bCs/>
          <w:color w:val="000000" w:themeColor="text1"/>
          <w:highlight w:val="none"/>
        </w:rPr>
        <w:t>三</w:t>
      </w:r>
      <w:r>
        <w:rPr>
          <w:b/>
          <w:bCs/>
          <w:color w:val="000000" w:themeColor="text1"/>
          <w:highlight w:val="none"/>
        </w:rPr>
        <w:t xml:space="preserve">、应急工作的实施 </w:t>
      </w:r>
    </w:p>
    <w:p>
      <w:pPr>
        <w:spacing w:line="360" w:lineRule="auto"/>
        <w:ind w:firstLine="420" w:firstLineChars="200"/>
        <w:rPr>
          <w:color w:val="000000" w:themeColor="text1"/>
          <w:highlight w:val="none"/>
        </w:rPr>
      </w:pPr>
      <w:r>
        <w:rPr>
          <w:color w:val="000000" w:themeColor="text1"/>
          <w:highlight w:val="none"/>
        </w:rPr>
        <w:t>1.根据委托方需求，在应急检验处理情况下，由双方主要负责人（或授权有关人员）协商临时检验方案，</w:t>
      </w:r>
      <w:r>
        <w:rPr>
          <w:rFonts w:hint="eastAsia"/>
          <w:color w:val="000000" w:themeColor="text1"/>
          <w:highlight w:val="none"/>
          <w:lang w:eastAsia="zh-CN"/>
        </w:rPr>
        <w:t>中标供应商</w:t>
      </w:r>
      <w:r>
        <w:rPr>
          <w:color w:val="000000" w:themeColor="text1"/>
          <w:highlight w:val="none"/>
        </w:rPr>
        <w:t>应积极配合委托方开展应急情况检验，同时，视情况需要，如委托方要对外发布有关食品等的安全信息，或处理食品等的安全事宜时，</w:t>
      </w:r>
      <w:r>
        <w:rPr>
          <w:rFonts w:hint="eastAsia"/>
          <w:color w:val="000000" w:themeColor="text1"/>
          <w:highlight w:val="none"/>
          <w:lang w:eastAsia="zh-CN"/>
        </w:rPr>
        <w:t>中标供应商</w:t>
      </w:r>
      <w:r>
        <w:rPr>
          <w:color w:val="000000" w:themeColor="text1"/>
          <w:highlight w:val="none"/>
        </w:rPr>
        <w:t>必须提供食品等专家予以支持。应急检验结果原则上从抽样之日起 3 日内由</w:t>
      </w:r>
      <w:r>
        <w:rPr>
          <w:rFonts w:hint="eastAsia"/>
          <w:color w:val="000000" w:themeColor="text1"/>
          <w:highlight w:val="none"/>
          <w:lang w:eastAsia="zh-CN"/>
        </w:rPr>
        <w:t>中标供应商</w:t>
      </w:r>
      <w:r>
        <w:rPr>
          <w:color w:val="000000" w:themeColor="text1"/>
          <w:highlight w:val="none"/>
        </w:rPr>
        <w:t xml:space="preserve">书面报委托方（满足标准方法规定检验时限的前提下）。 </w:t>
      </w:r>
    </w:p>
    <w:p>
      <w:pPr>
        <w:spacing w:line="360" w:lineRule="auto"/>
        <w:ind w:firstLine="420" w:firstLineChars="200"/>
        <w:rPr>
          <w:color w:val="000000" w:themeColor="text1"/>
          <w:highlight w:val="none"/>
        </w:rPr>
      </w:pPr>
      <w:r>
        <w:rPr>
          <w:color w:val="000000" w:themeColor="text1"/>
          <w:highlight w:val="none"/>
        </w:rPr>
        <w:t>2.如遇食品安全突发事件，但委托方已支付完毕全部合同费用，且未完成下一年度招标工作时，</w:t>
      </w:r>
      <w:r>
        <w:rPr>
          <w:rFonts w:hint="eastAsia"/>
          <w:color w:val="000000" w:themeColor="text1"/>
          <w:highlight w:val="none"/>
          <w:lang w:eastAsia="zh-CN"/>
        </w:rPr>
        <w:t>中标供应商</w:t>
      </w:r>
      <w:r>
        <w:rPr>
          <w:color w:val="000000" w:themeColor="text1"/>
          <w:highlight w:val="none"/>
        </w:rPr>
        <w:t>仍应按照上述要求积极配合委托方开展应急情况检验。检验费用由</w:t>
      </w:r>
      <w:r>
        <w:rPr>
          <w:rFonts w:hint="eastAsia"/>
          <w:color w:val="000000" w:themeColor="text1"/>
          <w:highlight w:val="none"/>
          <w:lang w:eastAsia="zh-CN"/>
        </w:rPr>
        <w:t>中标供应商</w:t>
      </w:r>
      <w:r>
        <w:rPr>
          <w:color w:val="000000" w:themeColor="text1"/>
          <w:highlight w:val="none"/>
        </w:rPr>
        <w:t xml:space="preserve">进行报价，委托方审核签订合同。 </w:t>
      </w:r>
    </w:p>
    <w:p>
      <w:pPr>
        <w:spacing w:line="360" w:lineRule="auto"/>
        <w:rPr>
          <w:color w:val="000000" w:themeColor="text1"/>
          <w:highlight w:val="none"/>
        </w:rPr>
      </w:pPr>
      <w:r>
        <w:rPr>
          <w:rFonts w:hint="eastAsia"/>
          <w:b/>
          <w:bCs/>
          <w:color w:val="000000" w:themeColor="text1"/>
          <w:highlight w:val="none"/>
        </w:rPr>
        <w:t>四、</w:t>
      </w:r>
      <w:r>
        <w:rPr>
          <w:b/>
          <w:bCs/>
          <w:color w:val="000000" w:themeColor="text1"/>
          <w:highlight w:val="none"/>
        </w:rPr>
        <w:t>日常技术支撑服务</w:t>
      </w:r>
      <w:r>
        <w:rPr>
          <w:color w:val="000000" w:themeColor="text1"/>
          <w:highlight w:val="none"/>
        </w:rPr>
        <w:t xml:space="preserve"> </w:t>
      </w:r>
    </w:p>
    <w:p>
      <w:pPr>
        <w:spacing w:line="360" w:lineRule="auto"/>
        <w:ind w:firstLine="420" w:firstLineChars="200"/>
        <w:rPr>
          <w:rFonts w:ascii="宋体" w:hAnsi="宋体"/>
          <w:color w:val="000000" w:themeColor="text1"/>
          <w:szCs w:val="21"/>
          <w:highlight w:val="none"/>
        </w:rPr>
      </w:pPr>
      <w:r>
        <w:rPr>
          <w:color w:val="000000" w:themeColor="text1"/>
          <w:highlight w:val="none"/>
        </w:rPr>
        <w:t>承检方需在日常的食品快速检测工作、委托方食品抽样、检验人员的仪器使用上给予提供咨询、</w:t>
      </w:r>
      <w:r>
        <w:rPr>
          <w:rFonts w:ascii="宋体" w:hAnsi="宋体"/>
          <w:color w:val="000000" w:themeColor="text1"/>
          <w:szCs w:val="21"/>
          <w:highlight w:val="none"/>
        </w:rPr>
        <w:t>技术</w:t>
      </w:r>
      <w:r>
        <w:rPr>
          <w:rFonts w:ascii="宋体" w:hAnsi="宋体" w:cs="宋体"/>
          <w:color w:val="000000" w:themeColor="text1"/>
          <w:szCs w:val="21"/>
          <w:highlight w:val="none"/>
        </w:rPr>
        <w:t>指导和培训</w:t>
      </w:r>
      <w:r>
        <w:rPr>
          <w:rFonts w:ascii="宋体" w:hAnsi="宋体"/>
          <w:color w:val="000000" w:themeColor="text1"/>
          <w:szCs w:val="21"/>
          <w:highlight w:val="none"/>
        </w:rPr>
        <w:t>服务。</w:t>
      </w:r>
      <w:r>
        <w:rPr>
          <w:rFonts w:ascii="宋体" w:hAnsi="宋体" w:cs="宋体"/>
          <w:color w:val="000000" w:themeColor="text1"/>
          <w:szCs w:val="21"/>
          <w:highlight w:val="none"/>
        </w:rPr>
        <w:t xml:space="preserve"> </w:t>
      </w:r>
    </w:p>
    <w:p>
      <w:pPr>
        <w:spacing w:before="156" w:beforeLines="50" w:line="360" w:lineRule="auto"/>
        <w:rPr>
          <w:rFonts w:ascii="宋体" w:hAnsi="宋体"/>
          <w:color w:val="000000" w:themeColor="text1"/>
          <w:szCs w:val="21"/>
          <w:highlight w:val="none"/>
        </w:rPr>
      </w:pPr>
      <w:r>
        <w:rPr>
          <w:rFonts w:ascii="宋体" w:hAnsi="宋体" w:cs="宋体"/>
          <w:color w:val="000000" w:themeColor="text1"/>
          <w:szCs w:val="21"/>
          <w:highlight w:val="none"/>
        </w:rPr>
        <w:t>附</w:t>
      </w:r>
      <w:r>
        <w:rPr>
          <w:rFonts w:ascii="宋体" w:hAnsi="宋体"/>
          <w:color w:val="000000" w:themeColor="text1"/>
          <w:szCs w:val="21"/>
          <w:highlight w:val="none"/>
        </w:rPr>
        <w:t>：</w:t>
      </w:r>
      <w:r>
        <w:rPr>
          <w:rFonts w:ascii="宋体" w:hAnsi="宋体" w:cs="宋体"/>
          <w:color w:val="000000" w:themeColor="text1"/>
          <w:szCs w:val="21"/>
          <w:highlight w:val="none"/>
        </w:rPr>
        <w:t xml:space="preserve"> </w:t>
      </w:r>
    </w:p>
    <w:p>
      <w:pPr>
        <w:widowControl/>
        <w:numPr>
          <w:ilvl w:val="0"/>
          <w:numId w:val="0"/>
        </w:numPr>
        <w:spacing w:before="156" w:beforeLines="50" w:line="360" w:lineRule="auto"/>
        <w:jc w:val="left"/>
        <w:rPr>
          <w:rFonts w:ascii="宋体" w:hAnsi="宋体"/>
          <w:color w:val="000000" w:themeColor="text1"/>
          <w:szCs w:val="21"/>
          <w:highlight w:val="none"/>
        </w:rPr>
      </w:pPr>
      <w:r>
        <w:rPr>
          <w:rFonts w:hint="eastAsia" w:ascii="宋体" w:hAnsi="宋体" w:cs="宋体"/>
          <w:color w:val="000000" w:themeColor="text1"/>
          <w:szCs w:val="21"/>
          <w:highlight w:val="none"/>
          <w:lang w:eastAsia="zh-CN"/>
        </w:rPr>
        <w:t>（</w:t>
      </w:r>
      <w:r>
        <w:rPr>
          <w:rFonts w:hint="eastAsia" w:ascii="宋体" w:hAnsi="宋体" w:cs="宋体"/>
          <w:color w:val="000000" w:themeColor="text1"/>
          <w:szCs w:val="21"/>
          <w:highlight w:val="none"/>
          <w:lang w:val="en-US" w:eastAsia="zh-CN"/>
        </w:rPr>
        <w:t>1</w:t>
      </w:r>
      <w:r>
        <w:rPr>
          <w:rFonts w:hint="eastAsia" w:ascii="宋体" w:hAnsi="宋体" w:cs="宋体"/>
          <w:color w:val="000000" w:themeColor="text1"/>
          <w:szCs w:val="21"/>
          <w:highlight w:val="none"/>
          <w:lang w:eastAsia="zh-CN"/>
        </w:rPr>
        <w:t>）</w:t>
      </w:r>
      <w:r>
        <w:rPr>
          <w:rFonts w:ascii="宋体" w:hAnsi="宋体" w:cs="宋体"/>
          <w:color w:val="000000" w:themeColor="text1"/>
          <w:szCs w:val="21"/>
          <w:highlight w:val="none"/>
        </w:rPr>
        <w:t>表</w:t>
      </w:r>
      <w:r>
        <w:rPr>
          <w:rFonts w:hint="eastAsia" w:ascii="宋体" w:hAnsi="宋体" w:cs="宋体"/>
          <w:color w:val="000000" w:themeColor="text1"/>
          <w:szCs w:val="21"/>
          <w:highlight w:val="none"/>
        </w:rPr>
        <w:t>一、</w:t>
      </w:r>
      <w:r>
        <w:rPr>
          <w:rFonts w:ascii="宋体" w:hAnsi="宋体" w:cs="宋体"/>
          <w:color w:val="000000" w:themeColor="text1"/>
          <w:szCs w:val="21"/>
          <w:highlight w:val="none"/>
        </w:rPr>
        <w:t>包组一</w:t>
      </w:r>
      <w:r>
        <w:rPr>
          <w:rFonts w:hint="eastAsia"/>
          <w:color w:val="000000" w:themeColor="text1"/>
          <w:highlight w:val="none"/>
        </w:rPr>
        <w:t>2021年阳江市江城区食品安全抽检</w:t>
      </w:r>
      <w:r>
        <w:rPr>
          <w:rFonts w:ascii="宋体" w:hAnsi="宋体" w:cs="宋体"/>
          <w:color w:val="000000" w:themeColor="text1"/>
          <w:highlight w:val="none"/>
        </w:rPr>
        <w:t>（300批）</w:t>
      </w:r>
    </w:p>
    <w:p>
      <w:pPr>
        <w:widowControl/>
        <w:numPr>
          <w:ilvl w:val="0"/>
          <w:numId w:val="0"/>
        </w:numPr>
        <w:spacing w:before="156" w:beforeLines="50" w:line="360" w:lineRule="auto"/>
        <w:jc w:val="left"/>
        <w:rPr>
          <w:rFonts w:ascii="宋体" w:hAnsi="宋体"/>
          <w:color w:val="000000" w:themeColor="text1"/>
          <w:szCs w:val="21"/>
          <w:highlight w:val="none"/>
        </w:rPr>
      </w:pPr>
      <w:r>
        <w:rPr>
          <w:rFonts w:hint="eastAsia" w:ascii="宋体" w:hAnsi="宋体" w:cs="宋体"/>
          <w:color w:val="000000" w:themeColor="text1"/>
          <w:szCs w:val="21"/>
          <w:highlight w:val="none"/>
          <w:lang w:eastAsia="zh-CN"/>
        </w:rPr>
        <w:t>（</w:t>
      </w:r>
      <w:r>
        <w:rPr>
          <w:rFonts w:hint="eastAsia" w:ascii="宋体" w:hAnsi="宋体" w:cs="宋体"/>
          <w:color w:val="000000" w:themeColor="text1"/>
          <w:szCs w:val="21"/>
          <w:highlight w:val="none"/>
          <w:lang w:val="en-US" w:eastAsia="zh-CN"/>
        </w:rPr>
        <w:t>1</w:t>
      </w:r>
      <w:r>
        <w:rPr>
          <w:rFonts w:hint="eastAsia" w:ascii="宋体" w:hAnsi="宋体" w:cs="宋体"/>
          <w:color w:val="000000" w:themeColor="text1"/>
          <w:szCs w:val="21"/>
          <w:highlight w:val="none"/>
          <w:lang w:eastAsia="zh-CN"/>
        </w:rPr>
        <w:t>）</w:t>
      </w:r>
      <w:r>
        <w:rPr>
          <w:rFonts w:ascii="宋体" w:hAnsi="宋体" w:cs="宋体"/>
          <w:color w:val="000000" w:themeColor="text1"/>
          <w:szCs w:val="21"/>
          <w:highlight w:val="none"/>
        </w:rPr>
        <w:t>表</w:t>
      </w:r>
      <w:r>
        <w:rPr>
          <w:rFonts w:hint="eastAsia" w:ascii="宋体" w:hAnsi="宋体" w:cs="宋体"/>
          <w:color w:val="000000" w:themeColor="text1"/>
          <w:szCs w:val="21"/>
          <w:highlight w:val="none"/>
        </w:rPr>
        <w:t>二</w:t>
      </w:r>
      <w:r>
        <w:rPr>
          <w:rFonts w:ascii="宋体" w:hAnsi="宋体" w:cs="宋体"/>
          <w:color w:val="000000" w:themeColor="text1"/>
          <w:szCs w:val="21"/>
          <w:highlight w:val="none"/>
        </w:rPr>
        <w:t>、包组二</w:t>
      </w:r>
      <w:r>
        <w:rPr>
          <w:rFonts w:hint="eastAsia"/>
          <w:color w:val="000000" w:themeColor="text1"/>
          <w:highlight w:val="none"/>
        </w:rPr>
        <w:t>2021年阳江市江城区食品安全抽检</w:t>
      </w:r>
      <w:r>
        <w:rPr>
          <w:rFonts w:ascii="宋体" w:hAnsi="宋体" w:cs="宋体"/>
          <w:color w:val="000000" w:themeColor="text1"/>
          <w:highlight w:val="none"/>
        </w:rPr>
        <w:t>（300批）</w:t>
      </w:r>
    </w:p>
    <w:p>
      <w:pPr>
        <w:pStyle w:val="2"/>
        <w:ind w:left="0" w:leftChars="0" w:firstLine="0" w:firstLineChars="0"/>
        <w:jc w:val="left"/>
        <w:rPr>
          <w:rFonts w:hint="default"/>
          <w:color w:val="000000" w:themeColor="text1"/>
          <w:highlight w:val="none"/>
          <w:lang w:val="en-US" w:eastAsia="zh-CN"/>
        </w:rPr>
        <w:sectPr>
          <w:pgSz w:w="11906" w:h="16838"/>
          <w:pgMar w:top="1440" w:right="1417" w:bottom="1440" w:left="1417" w:header="851" w:footer="992" w:gutter="0"/>
          <w:pgNumType w:fmt="decimal"/>
          <w:cols w:space="425" w:num="1"/>
          <w:docGrid w:type="lines" w:linePitch="312" w:charSpace="0"/>
        </w:sectPr>
      </w:pPr>
    </w:p>
    <w:p>
      <w:pPr>
        <w:ind w:left="100" w:right="482"/>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表一、包组一2021年阳江市江城区食品安全抽检任务（300批）  </w:t>
      </w:r>
    </w:p>
    <w:tbl>
      <w:tblPr>
        <w:tblStyle w:val="46"/>
        <w:tblW w:w="0" w:type="auto"/>
        <w:jc w:val="center"/>
        <w:tblLayout w:type="fixed"/>
        <w:tblCellMar>
          <w:top w:w="0" w:type="dxa"/>
          <w:left w:w="0" w:type="dxa"/>
          <w:bottom w:w="0" w:type="dxa"/>
          <w:right w:w="0" w:type="dxa"/>
        </w:tblCellMar>
      </w:tblPr>
      <w:tblGrid>
        <w:gridCol w:w="2199"/>
        <w:gridCol w:w="1251"/>
        <w:gridCol w:w="6254"/>
      </w:tblGrid>
      <w:tr>
        <w:tblPrEx>
          <w:tblCellMar>
            <w:top w:w="0" w:type="dxa"/>
            <w:left w:w="0" w:type="dxa"/>
            <w:bottom w:w="0" w:type="dxa"/>
            <w:right w:w="0" w:type="dxa"/>
          </w:tblCellMar>
        </w:tblPrEx>
        <w:trPr>
          <w:trHeight w:val="440" w:hRule="atLeast"/>
          <w:jc w:val="center"/>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任务类别</w:t>
            </w:r>
          </w:p>
        </w:tc>
        <w:tc>
          <w:tcPr>
            <w:tcW w:w="125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批次</w:t>
            </w:r>
          </w:p>
        </w:tc>
        <w:tc>
          <w:tcPr>
            <w:tcW w:w="62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备注</w:t>
            </w:r>
          </w:p>
        </w:tc>
      </w:tr>
      <w:tr>
        <w:tblPrEx>
          <w:tblCellMar>
            <w:top w:w="0" w:type="dxa"/>
            <w:left w:w="0" w:type="dxa"/>
            <w:bottom w:w="0" w:type="dxa"/>
            <w:right w:w="0" w:type="dxa"/>
          </w:tblCellMar>
        </w:tblPrEx>
        <w:trPr>
          <w:trHeight w:val="440" w:hRule="atLeast"/>
          <w:jc w:val="center"/>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区本级食品抽检计划</w:t>
            </w:r>
          </w:p>
        </w:tc>
        <w:tc>
          <w:tcPr>
            <w:tcW w:w="125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250</w:t>
            </w:r>
          </w:p>
        </w:tc>
        <w:tc>
          <w:tcPr>
            <w:tcW w:w="62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p>
        </w:tc>
      </w:tr>
      <w:tr>
        <w:tblPrEx>
          <w:tblCellMar>
            <w:top w:w="0" w:type="dxa"/>
            <w:left w:w="0" w:type="dxa"/>
            <w:bottom w:w="0" w:type="dxa"/>
            <w:right w:w="0" w:type="dxa"/>
          </w:tblCellMar>
        </w:tblPrEx>
        <w:trPr>
          <w:trHeight w:val="440" w:hRule="atLeast"/>
          <w:jc w:val="center"/>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食品安全应急专项</w:t>
            </w:r>
          </w:p>
        </w:tc>
        <w:tc>
          <w:tcPr>
            <w:tcW w:w="125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50</w:t>
            </w:r>
          </w:p>
        </w:tc>
        <w:tc>
          <w:tcPr>
            <w:tcW w:w="62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食品安全应急专项抽检50批次，主要应对突发、应急食品安全事件等，抽检食品品种、监督项目、具体批次等由委托方根据工作需要确定，</w:t>
            </w:r>
            <w:r>
              <w:rPr>
                <w:rFonts w:hint="eastAsia" w:ascii="宋体" w:hAnsi="宋体" w:cs="宋体"/>
                <w:color w:val="000000" w:themeColor="text1"/>
                <w:sz w:val="21"/>
                <w:szCs w:val="21"/>
                <w:highlight w:val="none"/>
                <w:lang w:eastAsia="zh-CN"/>
              </w:rPr>
              <w:t>中标供应商</w:t>
            </w:r>
            <w:r>
              <w:rPr>
                <w:rFonts w:hint="eastAsia" w:ascii="宋体" w:hAnsi="宋体" w:eastAsia="宋体" w:cs="宋体"/>
                <w:color w:val="000000" w:themeColor="text1"/>
                <w:sz w:val="21"/>
                <w:szCs w:val="21"/>
                <w:highlight w:val="none"/>
              </w:rPr>
              <w:t>按照委托方的要求按时完成食品安全应急专项合计50批次的抽检工作。</w:t>
            </w:r>
          </w:p>
        </w:tc>
      </w:tr>
      <w:tr>
        <w:tblPrEx>
          <w:tblCellMar>
            <w:top w:w="0" w:type="dxa"/>
            <w:left w:w="0" w:type="dxa"/>
            <w:bottom w:w="0" w:type="dxa"/>
            <w:right w:w="0" w:type="dxa"/>
          </w:tblCellMar>
        </w:tblPrEx>
        <w:trPr>
          <w:trHeight w:val="440" w:hRule="atLeast"/>
          <w:jc w:val="center"/>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125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300</w:t>
            </w:r>
          </w:p>
        </w:tc>
        <w:tc>
          <w:tcPr>
            <w:tcW w:w="62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p>
        </w:tc>
      </w:tr>
    </w:tbl>
    <w:p>
      <w:pPr>
        <w:ind w:left="100" w:right="482"/>
        <w:jc w:val="center"/>
        <w:rPr>
          <w:rFonts w:hint="eastAsia" w:ascii="宋体" w:hAnsi="宋体" w:eastAsia="宋体" w:cs="宋体"/>
          <w:color w:val="000000" w:themeColor="text1"/>
          <w:sz w:val="21"/>
          <w:szCs w:val="21"/>
          <w:highlight w:val="none"/>
        </w:rPr>
      </w:pPr>
    </w:p>
    <w:p>
      <w:pPr>
        <w:bidi w:val="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表1.1  2021年阳江市江城区食品安全抽检任务（250批）（区本级食品抽检计划）</w:t>
      </w:r>
    </w:p>
    <w:tbl>
      <w:tblPr>
        <w:tblStyle w:val="46"/>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102"/>
        <w:gridCol w:w="1166"/>
        <w:gridCol w:w="1134"/>
        <w:gridCol w:w="3364"/>
        <w:gridCol w:w="709"/>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序号</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食品大类（一级）</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食品亚类（二级）</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食品品种（三级）</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食品细类（四级）</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监督项目</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批次</w:t>
            </w: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粮食加工品</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大米</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大米</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大米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总汞（以Hg计）、无机砷（以As计）、铅（以Pb计）、铬（以Cr计）、镉（以Cd计）、黄曲霉毒素B</w:t>
            </w:r>
            <w:r>
              <w:rPr>
                <w:rFonts w:hint="eastAsia" w:ascii="宋体" w:hAnsi="宋体" w:eastAsia="宋体" w:cs="宋体"/>
                <w:color w:val="000000" w:themeColor="text1"/>
                <w:sz w:val="21"/>
                <w:szCs w:val="21"/>
                <w:highlight w:val="none"/>
                <w:vertAlign w:val="subscript"/>
              </w:rPr>
              <w:t>1</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小麦粉</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小麦粉</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通用小麦粉、专用小麦粉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铅（以Pb计）、镉（以Cd计）、玉米赤霉烯酮、脱氧雪腐镰刀菌烯醇、黄曲霉毒素B1、苯并[a]芘、过氧化苯甲酰、滑石粉、二氧化钛、赭曲霉毒素A</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其他粮食加工品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谷物碾磨加工品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玉米粉、玉米片、玉米渣</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铅（以Pb计）、总砷（以As计）、铬（以Cr计）、镉（以Cd计）、黄曲霉毒素B1、脱氧雪腐镰刀菌烯醇、赭曲霉毒素A、玉米赤霉烯酮</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米粉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铅（以Pb计）、铬（以Cr计）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其他谷物碾磨加工品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铅（以Pb计）、总砷（以As计）、铬（以Cr计）、赭曲霉毒素A</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谷物粉类制成品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生湿面制品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铅（以Pb计）、苯甲酸及其钠盐（以苯甲酸计）、山梨酸及其钾盐（以山梨酸计）、脱氢乙酸及其钠盐（以脱氢乙酸计）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发酵面制品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铅（以Pb计）、苯甲酸及其钠盐（以苯甲酸计）、山梨酸及其钾盐（以山梨酸计）、脱氢乙酸及其钠盐（以脱氢乙酸计）、沙门氏菌、金黄色葡萄球菌、大肠菌群、菌落总数</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其他粮食加工品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谷物粉类制成品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米粉制品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铅（以Pb计）、苯甲酸及其钠盐（以苯甲酸计）、山梨酸及其钾盐（以山梨酸计）、脱氢乙酸及其钠盐（以脱氢乙酸计）、二氧化硫残留量、沙门氏菌、金黄色葡萄球菌、大肠菌群、菌落总数</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其他谷物粉类制成品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铅（以Pb计）、黄曲霉毒素B</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、苯甲酸及其钠盐（以苯甲酸计）、山梨酸及其钾盐（以山梨酸计）、沙门氏菌、金黄色葡萄球菌、大肠菌群、菌落总数</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食用油、油脂及其制品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食用植物油（含煎炸用油）</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食用植物油（半精炼、全精炼）</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花生油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酸值/酸价、过氧化值、总砷（以As计）、铅（以Pb计）、黄曲霉毒素B</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、苯并[a]芘、溶剂残留量、丁基羟基茴香醚(BHA)、二丁基羟基甲苯(BHT)、特丁基对苯二酚(TBHQ)</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玉米油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酸值/酸价、过氧化值、总砷（以As计）、铅（以Pb计）、黄曲霉毒素B</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、苯并[a]芘、溶剂残留量、丁基羟基茴香醚(BHA)、二丁基羟基甲苯(BHT)、特丁基对苯二酚(TBHQ)</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芝麻油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酸值/酸价、过氧化值、总砷（以As计）、铅（以Pb计）、苯并[a]芘、溶剂残留量、丁基羟基茴香醚(BHA)、二丁基羟基甲苯(BHT)、特丁基对苯二酚(TBHQ)、乙基麦芽酚</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橄榄油、油橄榄果渣油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酸值/酸价、过氧化值、总砷（以As计）、铅（以Pb计）、苯并[a]芘、溶剂残留量、丁基羟基茴香醚(BHA)、二丁基羟基甲苯(BHT)、特丁基对苯二酚(TBHQ)</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菜籽油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酸值/酸价、过氧化值、总砷（以As计）、铅（以Pb计）、苯并[a]芘、溶剂残留量、丁基羟基茴香醚(BHA)、二丁基羟基甲苯(BHT)、特丁基对苯二酚(TBHQ)、乙基麦芽酚</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大豆油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酸值/酸价、过氧化值、总砷（以As计）、铅（以Pb计）、苯并[a]芘、溶剂残留量、丁基羟基茴香醚(BHA)、二丁基羟基甲苯(BHT)、特丁基对苯二酚(TBHQ)</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预制肉制品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调理肉制品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调理肉制品（非速冻）</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铅（以Pb计）、氯霉素</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腌腊肉制品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腌腊肉制品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过氧化值（以脂肪计）、铅（以Pb计）、总砷（以As计）、氯霉素、亚硝酸盐（以亚硝酸钠计）、苯甲酸及其钠盐（以苯甲酸计）、山梨酸及其钾盐（以山梨酸计）、胭脂红、N-二甲基亚硝胺</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熟肉制品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亚硝酸盐（以亚硝酸钠计）、苯甲酸及其钠盐（以苯甲酸计）、山梨酸及其钾盐（以山梨酸计）、脱氢乙酸及其钠盐(以脱氢乙酸计)、大肠菌群</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酱卤肉制品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酱卤肉制品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熟肉干制品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熟肉干制品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氯霉素、苯甲酸及其钠盐（以苯甲酸计）、山梨酸及其钾盐（以山梨酸计）、菌落总数、大肠菌群、沙门氏菌、金黄色葡萄球菌、单核细胞增生李斯特氏菌、大肠埃希氏菌O157:H7</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熏烧烤肉制品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熏烧烤肉制品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苯并[a]芘、N-二甲基亚硝胺、亚硝酸盐（以亚硝酸钠计）、菌落总数、大肠菌群、单核细胞增生李斯特氏菌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熏煮香肠火腿制品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熏煮香肠火腿制品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氯霉素、亚硝酸盐（以亚硝酸钠计）、苯甲酸及其钠盐（以苯甲酸计）、山梨酸及其钾盐（以山梨酸计）、脱氢乙酸及其钠盐（以脱氢乙酸计）、防腐剂混合使用时各自用量占其最大使用量的比例之和、糖精钠（以糖精计）、菌落总数、大肠菌群、单核细胞增生李斯特氏菌、大肠埃希氏菌O157:H7</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饮料</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饮料</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果、蔬汁饮料</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果、蔬汁饮料</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展青霉素、苯甲酸及其钠盐(以苯甲酸计)、山梨酸及其钾盐(以山梨酸计)、脱氢乙酸及其钠盐(以脱氢乙酸计)、纳他霉素、防腐剂混合使用时各自用量占其最大使用量的比例之和、糖精钠(以糖精计)、安赛蜜、甜蜜素(以环己基氨基磺酸计)、菌落总数、大肠菌群、霉菌、酵母、金黄色葡萄球菌、沙门氏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蛋白饮料</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蛋白饮料</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蛋白质、三聚氰胺、糖精钠(以糖精计)、甜蜜素(以环己基氨基磺酸计)、菌落总数、大肠菌群、霉菌、酵母、金黄色葡萄球菌、沙门氏菌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茶饮料</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茶饮料</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茶多酚、咖啡因、甜蜜素(以环己基氨基磺酸计)、菌落总数、金黄色葡萄球菌、沙门氏菌、商业无菌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碳酸饮料(汽水)</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碳酸饮料(汽水)</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二氧化碳气容量、苯甲酸及其钠盐（以苯甲酸计）、山梨酸及其钾盐（以山梨酸计）、防腐剂混合使用时各自用量占其最大使用量的比例之和、甜蜜素（以环己基氨基磺酸计）、菌落总数、大肠菌群、霉菌、酵母</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乳制品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乳制品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液体乳</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巴氏杀菌乳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蛋白质、酸度、三聚氰胺、菌落总数、大肠菌群、金黄色葡萄球菌、沙门氏菌、钙（根据标签确定是否检测）</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灭菌乳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蛋白质、非脂乳固体、酸度、脂肪、三聚氰胺、商业无菌、钙（根据标签确定是否检测）</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脂肪、蛋白质、酸度、三聚氰胺、山梨酸及其钾盐（以山梨酸计）、大肠菌群、酵母、霉菌、金黄色葡萄球菌、沙门氏菌、脱氢乙酸及其钠盐（以脱氢乙酸计）、乳酸菌数、钙（根据标签确定是否检测）</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调制乳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白质、三聚氰胺、菌落总数、大肠菌群、商业无菌、钙（根据标签确定是否检测）</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乳粉</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全脂乳粉、脱脂乳粉、部分脱脂乳粉、调制乳粉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白质、三聚氰胺、菌落总数、大肠菌群、黄曲霉毒素M1、钙（根据标签确定是否检测）</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奶片、奶条等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三聚氰胺、糖精钠、阿斯巴甜、根据标签检测（蛋白质、钙）</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稀奶油、奶油和无水奶油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酸度、三聚氰胺、金黄色葡萄球菌、沙门氏菌、霉菌、商业无菌、菌落总数、大肠菌群、根据标签检测（蛋白质、钙）</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速冻食品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速冻其他食品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速冻谷物食品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玉米等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铅（以Pb计）、黄曲霉毒素B1</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速冻调理肉制品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过氧化值（以脂肪计）、铅（以Pb计）、铬（以Cr计）、氯霉素、胭脂红</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速冻水产制品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速冻水产制品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过氧化值（以脂肪计）、苯甲酸及其钠盐（以苯甲酸计）、山梨酸及其钾盐（以山梨酸计）、N-二甲基亚硝胺</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方便食品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方便食品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方便面</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油炸面、非油炸面、方便米粉（米线）、方便粉丝</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过氧化值（以脂肪计）、菌落总数、大肠菌群、沙门氏菌、金黄色葡萄球菌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调味面制品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调味面制品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过氧化值（以脂肪计）、糖精钠（以糖精计）、苯甲酸及其钠盐（以苯甲酸计）、山梨酸及其钾盐（以山梨酸计）、脱氢乙酸及其钠盐（以脱氢乙酸计）、菌落总数、大肠菌群、霉菌、沙门氏菌、金黄色葡萄球菌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其他方便食品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方便粥、方便盒饭、冷面及其他熟制方便食品等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黄曲霉毒素B1、苯甲酸及其钠盐（以苯甲酸计）、山梨酸及其钾盐（以山梨酸计）、糖精钠（以糖精计）、菌落总数、大肠菌群、霉菌、沙门氏菌、金黄色葡萄球菌、铅（以Pb计）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薯类和膨化食品</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薯类和膨化食品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膨化食品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含油型膨化食品和非含油型膨化食品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水分、酸价（以脂肪计）、过氧化值（以脂肪计）、糖精钠（以糖精计）、苯甲酸及其钠盐（以苯甲酸计）、山梨酸及其钾盐（以山梨酸计）、铅（以Pb计）、黄曲霉毒素B1、沙门氏菌、金黄色葡萄球菌、菌落总数、大肠菌群</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酒类</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蒸馏酒</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白酒</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白酒、白酒(液态）、白酒（原酒）</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酒精度、铅（以Pb计）、甲醇、氰化物（以HCN计）、糖精钠（以糖精计）、甜蜜素（以环己基氨基磺酸计）、三氯蔗糖</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发酵酒</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黄酒</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黄酒</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酒精度、铅（以Pb计）、苯甲酸及其钠盐（以苯甲酸计）、山梨酸及其钾盐（以山梨酸计）、糖精钠（以糖精计）、甜蜜素（以环己基氨基磺酸计）、三氯蔗糖</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葡萄酒</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葡萄酒</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精度、铅（以Pb计）、赭曲霉毒素A、甲醇、苯甲酸及其钠盐（以苯甲酸计）、山梨酸及其钾盐（以山梨酸计）、脱氢乙酸及其钠盐（以脱氢乙酸计）、纳他霉素、二氧化硫残留量、糖精钠（以糖精计）、甜蜜素（以环己基氨基磺酸计）、三氯蔗糖</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果酒</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果酒</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酒精度、铅（以Pb计）、展青霉素、二氧化硫残留量、糖精钠（以糖精计）、三氯蔗糖</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水产制品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水产制品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干制水产品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藻类干制品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铅（以Pb计）、菌落总数、大肠菌群、沙门氏菌、金黄色葡萄球菌、副溶血性弧菌、霉菌</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预制动物性水产干制品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镉（以Cd计）、N-二甲基亚硝胺、苯甲酸及其钠盐（以苯甲酸计）、山梨酸及其钾盐（以山梨酸计）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盐渍水产品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盐渍鱼</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过氧化值（以脂肪计）、组胺、镉（以Cd计）、N-二甲基亚硝胺、苯甲酸及其钠盐（以苯甲酸计）、山梨酸及其钾盐（以山梨酸计）</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盐渍藻</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其他盐渍水产品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N-二甲基亚硝胺、苯甲酸及其钠盐（以苯甲酸计）、山梨酸及其钾盐（以山梨酸计）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鱼糜制品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预制鱼糜制品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挥发性盐基氮、N-二甲基亚硝胺、苯甲酸及其钠盐（以苯甲酸计）、山梨酸及其钾盐（以山梨酸计）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熟制动物性水产制品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熟制动物性水产制品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镉（以Cd计）、N-二甲基亚硝胺、苯并[a]芘、苯甲酸及其钠盐（以苯甲酸计）、山梨酸及其钾盐（以山梨酸计）、糖精钠（以糖精计）、沙门氏菌、金黄色葡萄球菌、副溶血性弧菌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生食水产品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生食动物性水产品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挥发性盐基氮、镉（以Cd计）、N-二甲基亚硝胺、苯并[a]芘、苯甲酸及其钠盐（以苯甲酸计）、山梨酸及其钾盐（以山梨酸计）、铝的残留量（以即食海蜇中Al计）、菌落总数、大肠菌群、沙门氏菌、金黄色葡萄球菌、副溶血性弧菌、吸虫囊蚴、线虫幼虫、绦虫裂头蚴</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11</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淀粉及淀粉制品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淀粉及淀粉制品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淀粉制品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粉丝粉条</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铅（以Pb计）、铝的残留量（干样品，以Al计）、二氧化硫残留量、菌落总数、大肠菌群、金黄色葡萄球菌、沙门氏菌</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其他淀粉制品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铅（以Pb计）、铝的残留量（干样品，以Al计）、菌落总数、大肠菌群、金黄色葡萄球菌、沙门氏菌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13</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特殊膳食食品</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婴幼儿辅助食品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婴幼儿谷类辅助食品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婴幼儿谷物辅助食品、婴幼儿高蛋白谷物辅助食品、婴幼儿生制类谷物辅助食品、婴幼儿饼干或其他婴幼儿谷物辅助食品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能量、蛋白质、脂肪、不溶性膳食纤维、黄曲霉毒素B1、铅（以Pb计）、镉（以Cd计）、无机砷（以As计）、锡（以Sn计）、硝酸盐（以NaNO3计）、亚硝酸盐（以NaNO2计）、脲酶活性定性测定、菌落总数、大肠菌群、沙门氏菌</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婴幼儿辅助食品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婴幼儿罐装辅助食品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泥（糊）状罐装食品、颗粒状罐装食品、汁类罐装食品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铅（以Pb计）、无机砷（以As计）、总汞（以Hg计）、锡（以Sn计）、蛋白质、脂肪、总钠、硝酸盐（以NaNO3计）、亚硝酸盐（以NaNO2计）、商业无菌、霉菌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营养补充品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营养补充品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辅食营养素补充食品、辅食营养素补充片、辅食营养素撒剂</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蛋白质、黄曲霉毒素M</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、黄曲霉毒素B</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、铅（以Pb计）、总砷（以As计）、硝酸盐（以NaNO</w:t>
            </w:r>
            <w:r>
              <w:rPr>
                <w:rFonts w:hint="eastAsia" w:ascii="宋体" w:hAnsi="宋体" w:eastAsia="宋体" w:cs="宋体"/>
                <w:color w:val="000000" w:themeColor="text1"/>
                <w:sz w:val="21"/>
                <w:szCs w:val="21"/>
                <w:highlight w:val="none"/>
                <w:vertAlign w:val="subscript"/>
              </w:rPr>
              <w:t>3</w:t>
            </w:r>
            <w:r>
              <w:rPr>
                <w:rFonts w:hint="eastAsia" w:ascii="宋体" w:hAnsi="宋体" w:eastAsia="宋体" w:cs="宋体"/>
                <w:color w:val="000000" w:themeColor="text1"/>
                <w:sz w:val="21"/>
                <w:szCs w:val="21"/>
                <w:highlight w:val="none"/>
              </w:rPr>
              <w:t>计）、亚硝酸盐（以NaNO</w:t>
            </w:r>
            <w:r>
              <w:rPr>
                <w:rFonts w:hint="eastAsia" w:ascii="宋体" w:hAnsi="宋体" w:eastAsia="宋体" w:cs="宋体"/>
                <w:color w:val="000000" w:themeColor="text1"/>
                <w:sz w:val="21"/>
                <w:szCs w:val="21"/>
                <w:highlight w:val="none"/>
                <w:vertAlign w:val="subscript"/>
              </w:rPr>
              <w:t>2</w:t>
            </w:r>
            <w:r>
              <w:rPr>
                <w:rFonts w:hint="eastAsia" w:ascii="宋体" w:hAnsi="宋体" w:eastAsia="宋体" w:cs="宋体"/>
                <w:color w:val="000000" w:themeColor="text1"/>
                <w:sz w:val="21"/>
                <w:szCs w:val="21"/>
                <w:highlight w:val="none"/>
              </w:rPr>
              <w:t>计）、脲酶活性定性、菌落总数、大肠菌群、沙门氏菌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孕妇及乳母营养补充食品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铁、维生素A、维生素D、叶酸、维生素B12、钙、镁、锌、硒、维生素E、维生素K、维生素B1、维生素B2、维生素B6、烟酸（烟酰胺）、泛酸、胆碱、生物素、维生素C、二十二碳六烯酸、脲酶活性定性、铅（以Pb计）、总砷（以As计）、硝酸盐（以NaNO3计）、亚硝酸盐（以NaNO2计）、黄曲霉毒素M1、黄曲霉毒素B1、大肠菌群、沙门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食盐</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食盐</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食盐</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食盐</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氯化钠、氯化钾、碘（以I计）、钡（以Ba计）、铅（以Pb计）、总砷（以As计）、镉（以Cd计）、总汞（以Hg计）、亚硝酸盐、亚铁氰化钾（以亚铁氰根计）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15</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餐饮食品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米面及其制品(自制）</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小麦粉制品(自制)</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发酵面制品(自制)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苯甲酸及其钠盐（以苯甲酸计)、山梨酸及其钾盐(以山梨酸计)、脱氢乙酸及其钠盐（以脱氢乙酸计）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油炸面制品(自制）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铝的残留量(干样品，以A1计）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肉制品(自制）</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熟肉制品(自制）</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酱卤肉制品、肉灌肠、其他熟肉(自制)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胭脂红、糖精钠、脱氢乙酸及其钠盐(以脱氢乙酸计)、苯甲酸及其钠盐（以苯甲酸计)、山梨酸及其钾盐（以山梨酸计）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肉冻、皮冻、灌汤包、小笼包（自制）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铬（以Cr计）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复合调味料（自制）</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半固态调味料（自制）</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火锅调味料(底料、蘸料）(自制)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罂粟碱、吗啡、可待因、那可丁、蒂巴因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饮料（自制）</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饮料（自制）</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果蔬汁等饮料（自制）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脱氢乙酸（限果蔬汁饮料）、苯甲酸及其钠盐（以苯甲酸计）、山梨酸及其钾盐（以山梨酸计）、糖精钠（以糖精计）、铅（以Pb计）</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其他饮料(自制）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苯甲酸及其钠盐（以苯甲酸计）、山梨酸及其钾盐（以山梨酸计）、糖精钠（以糖精计）、铅（以Pb计）、氯苯那敏（仅限凉茶）、对乙酰氨基酚（仅限凉茶）</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其他餐饮食品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淀粉制品（餐饮）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粉丝、粉条（餐饮）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铅（以Pb计）、苯甲酸及其钠盐（以苯甲酸计）、山梨酸及其钾盐（以山梨酸计）、脱氢乙酸及其钠盐（以脱氢乙酸计）、二氧化硫残留量、铝的残留量（干样品，以Al计）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其他餐饮食品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焙烤食品（餐饮）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糕点（（餐饮单位自制））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铝的残留量（干样品，以Al计）、苯甲酸及其钠盐（以苯甲酸计）、山梨酸及其钾盐（以山梨酸计）、糖精钠（以糖精计）、脱氢乙酸及其钠盐（以脱氢乙酸计）、防腐剂混合使用时各自用量占其最大使用量比例之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蔬菜制品（餐饮）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酱腌菜（餐饮）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苯甲酸及其钠盐（以苯甲酸计）、  山梨酸及其钾盐（以山梨酸计）、  糖精钠（以糖精计）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畜肉（餐饮）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克伦特罗、莱克多巴胺、沙丁胺醇、氯霉素、恩诺沙星（以恩诺沙星与环丙沙星之和计）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禽肉（餐饮）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恩诺沙星（以恩诺沙星与环丙沙星之和计）、氯霉素、五氯酚酸钠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水产及其制品（餐饮）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淡水鱼（餐饮）</w:t>
            </w:r>
          </w:p>
        </w:tc>
        <w:tc>
          <w:tcPr>
            <w:tcW w:w="33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孔雀石绿（孔雀石绿及隐色孔雀石绿残留量之和）、氯霉素、呋喃唑酮代谢物、呋喃它酮代谢物、呋喃西林代谢物、呋喃妥因代谢物，磺胺类（总量）、氧氟沙星</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海水鱼（餐饮）</w:t>
            </w:r>
          </w:p>
        </w:tc>
        <w:tc>
          <w:tcPr>
            <w:tcW w:w="33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生食动物性 水产品（餐 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挥发性盐基氮、镉、吸虫囊蚴、线虫幼虫、绦虫裂头蚴、铝的残留量（干以即食海蜇中Al计）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其他水产品及其制品（餐饮）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孔雀石绿（孔雀石绿及隐色孔雀石绿残留量之和）、氯霉素、呋喃唑酮代谢物、呋喃它酮代谢物、呋喃西林代谢物、呋喃妥因代谢物</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其他餐饮食品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凉菜类（餐饮）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凉拌菜（餐饮）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金黄色葡萄球菌</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食用油、油脂及其制品（餐饮)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煎炸过程用油（限餐饮店)</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酸价、极性组分、游离棉酚</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其他餐饮食品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寿司（餐饮）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沙门氏菌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其他熟肉制品（餐饮）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沙门氏菌、单核细胞增生李斯特氏菌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坚果及籽类食品（餐饮）</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坚果及籽类食品(餐饮）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花生及花生制品（餐饮）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黄曲霉毒素B</w:t>
            </w:r>
            <w:r>
              <w:rPr>
                <w:rFonts w:hint="eastAsia" w:ascii="宋体" w:hAnsi="宋体" w:eastAsia="宋体" w:cs="宋体"/>
                <w:color w:val="000000" w:themeColor="text1"/>
                <w:sz w:val="21"/>
                <w:szCs w:val="21"/>
                <w:highlight w:val="none"/>
                <w:vertAlign w:val="subscript"/>
              </w:rPr>
              <w:t>1</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餐饮具</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复用餐饮具</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复用餐饮具</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游离性余氯、阴离子合成洗涤剂（以十二烷基苯磺酸钠计）、大肠菌群、沙门氏菌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71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250</w:t>
            </w: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bl>
    <w:p>
      <w:pPr>
        <w:autoSpaceDN w:val="0"/>
        <w:jc w:val="center"/>
        <w:textAlignment w:val="center"/>
        <w:rPr>
          <w:color w:val="000000" w:themeColor="text1"/>
          <w:highlight w:val="none"/>
        </w:rPr>
      </w:pPr>
    </w:p>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color w:val="000000" w:themeColor="text1"/>
          <w:highlight w:val="none"/>
        </w:rPr>
      </w:pPr>
      <w:r>
        <w:rPr>
          <w:rFonts w:ascii="宋体" w:hAnsi="宋体" w:cs="宋体"/>
          <w:color w:val="000000" w:themeColor="text1"/>
          <w:highlight w:val="none"/>
        </w:rPr>
        <w:t xml:space="preserve">表1.2  </w:t>
      </w:r>
      <w:r>
        <w:rPr>
          <w:rFonts w:hint="eastAsia"/>
          <w:color w:val="000000" w:themeColor="text1"/>
          <w:highlight w:val="none"/>
        </w:rPr>
        <w:t>2021年阳江市江城区食品安全抽检任务（50</w:t>
      </w:r>
      <w:r>
        <w:rPr>
          <w:color w:val="000000" w:themeColor="text1"/>
          <w:highlight w:val="none"/>
        </w:rPr>
        <w:t>批</w:t>
      </w:r>
      <w:r>
        <w:rPr>
          <w:rFonts w:hint="eastAsia"/>
          <w:color w:val="000000" w:themeColor="text1"/>
          <w:highlight w:val="none"/>
        </w:rPr>
        <w:t>）（</w:t>
      </w:r>
      <w:r>
        <w:rPr>
          <w:color w:val="000000" w:themeColor="text1"/>
          <w:highlight w:val="none"/>
        </w:rPr>
        <w:t>食品安全应急专项</w:t>
      </w:r>
      <w:r>
        <w:rPr>
          <w:rFonts w:hint="eastAsia"/>
          <w:color w:val="000000" w:themeColor="text1"/>
          <w:highlight w:val="none"/>
        </w:rPr>
        <w:t>）</w:t>
      </w:r>
    </w:p>
    <w:p>
      <w:pPr>
        <w:keepNext w:val="0"/>
        <w:keepLines w:val="0"/>
        <w:pageBreakBefore w:val="0"/>
        <w:widowControl w:val="0"/>
        <w:kinsoku/>
        <w:wordWrap/>
        <w:overflowPunct/>
        <w:topLinePunct w:val="0"/>
        <w:autoSpaceDE/>
        <w:bidi w:val="0"/>
        <w:adjustRightInd/>
        <w:snapToGrid/>
        <w:spacing w:line="380" w:lineRule="exact"/>
        <w:ind w:right="482" w:firstLine="420" w:firstLineChars="200"/>
        <w:jc w:val="left"/>
        <w:rPr>
          <w:rFonts w:hint="eastAsia" w:ascii="宋体" w:hAnsi="宋体" w:cs="宋体"/>
          <w:color w:val="000000" w:themeColor="text1"/>
          <w:highlight w:val="none"/>
        </w:rPr>
      </w:pPr>
      <w:r>
        <w:rPr>
          <w:rFonts w:hint="eastAsia"/>
          <w:color w:val="000000" w:themeColor="text1"/>
          <w:highlight w:val="none"/>
        </w:rPr>
        <w:t>2021年阳江市江城区食品安全应急专项抽检50批次，主要应对突发、应急食品安全事件等，抽检食品品种、监督项目、具体批次等由委托方根据工作需要确定，</w:t>
      </w:r>
      <w:r>
        <w:rPr>
          <w:rFonts w:hint="eastAsia"/>
          <w:color w:val="000000" w:themeColor="text1"/>
          <w:highlight w:val="none"/>
          <w:lang w:eastAsia="zh-CN"/>
        </w:rPr>
        <w:t>中标供应商</w:t>
      </w:r>
      <w:r>
        <w:rPr>
          <w:rFonts w:hint="eastAsia"/>
          <w:color w:val="000000" w:themeColor="text1"/>
          <w:highlight w:val="none"/>
        </w:rPr>
        <w:t>按照委托方的要求按时完成食品安全应急专项合计50批次的抽检工作。</w:t>
      </w:r>
    </w:p>
    <w:p>
      <w:pPr>
        <w:ind w:left="100" w:right="482"/>
        <w:jc w:val="center"/>
        <w:rPr>
          <w:rFonts w:ascii="宋体" w:hAnsi="宋体" w:cs="宋体"/>
          <w:color w:val="000000" w:themeColor="text1"/>
          <w:highlight w:val="none"/>
        </w:rPr>
      </w:pPr>
    </w:p>
    <w:p>
      <w:pPr>
        <w:ind w:left="100" w:right="482"/>
        <w:jc w:val="left"/>
        <w:rPr>
          <w:rFonts w:ascii="宋体" w:hAnsi="宋体" w:cs="宋体"/>
          <w:color w:val="000000" w:themeColor="text1"/>
          <w:highlight w:val="none"/>
        </w:rPr>
      </w:pPr>
      <w:r>
        <w:rPr>
          <w:rFonts w:ascii="宋体" w:hAnsi="宋体" w:cs="宋体"/>
          <w:color w:val="000000" w:themeColor="text1"/>
          <w:highlight w:val="none"/>
        </w:rPr>
        <w:br w:type="page"/>
      </w:r>
      <w:r>
        <w:rPr>
          <w:rFonts w:ascii="宋体" w:hAnsi="宋体" w:cs="宋体"/>
          <w:color w:val="000000" w:themeColor="text1"/>
          <w:highlight w:val="none"/>
        </w:rPr>
        <w:t>表</w:t>
      </w:r>
      <w:r>
        <w:rPr>
          <w:rFonts w:hint="eastAsia" w:ascii="宋体" w:hAnsi="宋体" w:cs="宋体"/>
          <w:color w:val="000000" w:themeColor="text1"/>
          <w:highlight w:val="none"/>
        </w:rPr>
        <w:t>二、</w:t>
      </w:r>
      <w:r>
        <w:rPr>
          <w:rFonts w:ascii="宋体" w:hAnsi="宋体" w:cs="宋体"/>
          <w:color w:val="000000" w:themeColor="text1"/>
          <w:highlight w:val="none"/>
        </w:rPr>
        <w:t>包组</w:t>
      </w:r>
      <w:r>
        <w:rPr>
          <w:rFonts w:hint="eastAsia" w:ascii="宋体" w:hAnsi="宋体" w:cs="宋体"/>
          <w:color w:val="000000" w:themeColor="text1"/>
          <w:highlight w:val="none"/>
        </w:rPr>
        <w:t>二</w:t>
      </w:r>
      <w:r>
        <w:rPr>
          <w:rFonts w:hint="eastAsia"/>
          <w:color w:val="000000" w:themeColor="text1"/>
          <w:highlight w:val="none"/>
        </w:rPr>
        <w:t>2021年阳江市江城区食品安全抽检任务</w:t>
      </w:r>
      <w:r>
        <w:rPr>
          <w:rFonts w:ascii="宋体" w:hAnsi="宋体" w:cs="宋体"/>
          <w:color w:val="000000" w:themeColor="text1"/>
          <w:highlight w:val="none"/>
        </w:rPr>
        <w:t xml:space="preserve">（300批） </w:t>
      </w:r>
    </w:p>
    <w:tbl>
      <w:tblPr>
        <w:tblStyle w:val="46"/>
        <w:tblW w:w="0" w:type="auto"/>
        <w:jc w:val="center"/>
        <w:tblLayout w:type="fixed"/>
        <w:tblCellMar>
          <w:top w:w="0" w:type="dxa"/>
          <w:left w:w="0" w:type="dxa"/>
          <w:bottom w:w="0" w:type="dxa"/>
          <w:right w:w="0" w:type="dxa"/>
        </w:tblCellMar>
      </w:tblPr>
      <w:tblGrid>
        <w:gridCol w:w="6539"/>
        <w:gridCol w:w="2550"/>
      </w:tblGrid>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任务类别</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批次</w:t>
            </w:r>
          </w:p>
        </w:tc>
      </w:tr>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ind w:firstLine="640"/>
              <w:jc w:val="left"/>
              <w:rPr>
                <w:color w:val="000000" w:themeColor="text1"/>
                <w:highlight w:val="none"/>
              </w:rPr>
            </w:pPr>
            <w:r>
              <w:rPr>
                <w:color w:val="000000" w:themeColor="text1"/>
                <w:highlight w:val="none"/>
              </w:rPr>
              <w:t>校园周边食品安全专项</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100</w:t>
            </w:r>
          </w:p>
        </w:tc>
      </w:tr>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ind w:firstLine="640"/>
              <w:jc w:val="left"/>
              <w:rPr>
                <w:color w:val="000000" w:themeColor="text1"/>
                <w:highlight w:val="none"/>
              </w:rPr>
            </w:pPr>
            <w:r>
              <w:rPr>
                <w:rFonts w:hint="eastAsia"/>
                <w:color w:val="000000" w:themeColor="text1"/>
                <w:highlight w:val="none"/>
              </w:rPr>
              <w:t>食用农产品专项</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rFonts w:hint="eastAsia"/>
                <w:color w:val="000000" w:themeColor="text1"/>
                <w:highlight w:val="none"/>
              </w:rPr>
              <w:t>150</w:t>
            </w:r>
          </w:p>
        </w:tc>
      </w:tr>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ind w:firstLine="640"/>
              <w:jc w:val="left"/>
              <w:rPr>
                <w:color w:val="000000" w:themeColor="text1"/>
                <w:highlight w:val="none"/>
              </w:rPr>
            </w:pPr>
            <w:r>
              <w:rPr>
                <w:rFonts w:hint="eastAsia"/>
                <w:color w:val="000000" w:themeColor="text1"/>
                <w:highlight w:val="none"/>
              </w:rPr>
              <w:t>网络经营</w:t>
            </w:r>
            <w:r>
              <w:rPr>
                <w:color w:val="000000" w:themeColor="text1"/>
                <w:highlight w:val="none"/>
              </w:rPr>
              <w:t>食品安全专项</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50</w:t>
            </w:r>
          </w:p>
        </w:tc>
      </w:tr>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合计</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rFonts w:hint="eastAsia"/>
                <w:color w:val="000000" w:themeColor="text1"/>
                <w:highlight w:val="none"/>
              </w:rPr>
              <w:t>300</w:t>
            </w:r>
          </w:p>
        </w:tc>
      </w:tr>
    </w:tbl>
    <w:p>
      <w:pPr>
        <w:ind w:left="100" w:right="482"/>
        <w:jc w:val="center"/>
        <w:rPr>
          <w:rFonts w:ascii="宋体" w:hAnsi="宋体" w:cs="宋体"/>
          <w:color w:val="000000" w:themeColor="text1"/>
          <w:highlight w:val="none"/>
        </w:rPr>
      </w:pPr>
    </w:p>
    <w:p>
      <w:pPr>
        <w:autoSpaceDN w:val="0"/>
        <w:jc w:val="left"/>
        <w:textAlignment w:val="center"/>
        <w:rPr>
          <w:color w:val="000000" w:themeColor="text1"/>
          <w:highlight w:val="none"/>
        </w:rPr>
      </w:pPr>
      <w:r>
        <w:rPr>
          <w:rFonts w:ascii="宋体" w:hAnsi="宋体" w:cs="宋体"/>
          <w:color w:val="000000" w:themeColor="text1"/>
          <w:highlight w:val="none"/>
        </w:rPr>
        <w:t xml:space="preserve">表2.1  </w:t>
      </w:r>
      <w:r>
        <w:rPr>
          <w:rFonts w:hint="eastAsia"/>
          <w:color w:val="000000" w:themeColor="text1"/>
          <w:highlight w:val="none"/>
        </w:rPr>
        <w:t>2021年阳江市江城区食品安全抽检任务（100批）（</w:t>
      </w:r>
      <w:r>
        <w:rPr>
          <w:color w:val="000000" w:themeColor="text1"/>
          <w:highlight w:val="none"/>
        </w:rPr>
        <w:t>校园周边食品安全专项</w:t>
      </w:r>
      <w:r>
        <w:rPr>
          <w:rFonts w:hint="eastAsia"/>
          <w:color w:val="000000" w:themeColor="text1"/>
          <w:highlight w:val="none"/>
        </w:rPr>
        <w:t>）</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134"/>
        <w:gridCol w:w="1134"/>
        <w:gridCol w:w="1134"/>
        <w:gridCol w:w="3364"/>
        <w:gridCol w:w="709"/>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17" w:type="dxa"/>
            <w:noWrap w:val="0"/>
            <w:vAlign w:val="center"/>
          </w:tcPr>
          <w:p>
            <w:pPr>
              <w:spacing w:line="260" w:lineRule="exact"/>
              <w:rPr>
                <w:rFonts w:ascii="宋体" w:hAnsi="宋体"/>
                <w:b/>
                <w:bCs/>
                <w:color w:val="000000" w:themeColor="text1"/>
                <w:szCs w:val="21"/>
                <w:highlight w:val="none"/>
              </w:rPr>
            </w:pPr>
            <w:r>
              <w:rPr>
                <w:rFonts w:hint="eastAsia" w:ascii="宋体" w:hAnsi="宋体"/>
                <w:b/>
                <w:bCs/>
                <w:color w:val="000000" w:themeColor="text1"/>
                <w:szCs w:val="21"/>
                <w:highlight w:val="none"/>
              </w:rPr>
              <w:t>序号</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食品大类（一级）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食品亚类（二级）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食品品种（三级）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食品细类（四级）</w:t>
            </w:r>
          </w:p>
        </w:tc>
        <w:tc>
          <w:tcPr>
            <w:tcW w:w="3364"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监督项目</w:t>
            </w:r>
          </w:p>
        </w:tc>
        <w:tc>
          <w:tcPr>
            <w:tcW w:w="709"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批次</w:t>
            </w:r>
          </w:p>
        </w:tc>
        <w:tc>
          <w:tcPr>
            <w:tcW w:w="747"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饼干</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饼干</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饼干</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饼干</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酸价（以脂肪计）、过氧化值（以脂肪计）、铅（以Pb计）、苯甲酸及其钠盐（以苯甲酸计）、山梨酸及其钾盐（以山梨酸计）、糖精钠（以糖精计）、甜蜜素、丁基羟基茴香醚（BHA）、二丁基羟基甲苯(BHT)、特丁基对苯二酚（TBHQ）、铝的残留量（干样品，以Al计）、脱氢乙酸及其钠盐（以脱氢乙酸计）、菌落总数、大肠菌群、金黄色葡萄球菌、霉菌、防腐剂混合使用时各自用量占其最大使用量的比例之和</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restart"/>
            <w:noWrap w:val="0"/>
            <w:vAlign w:val="center"/>
          </w:tcPr>
          <w:p>
            <w:pPr>
              <w:spacing w:line="260" w:lineRule="exact"/>
              <w:rPr>
                <w:rFonts w:hint="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2</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糖果制品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糖果制品(含巧克力及制品)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糖果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糖果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铅（以Pb计）、糖精钠（以糖精计）、菌落总数、合成着色剂（赤藓红、酸性红、苋菜红、新红、胭脂红、柠檬黄、日落黄、亮蓝）、大肠菌群、匹可硫酸钠、育亨宾</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果冻</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果冻</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铅（以Pb计）、山梨酸及其钾盐（以山梨酸计）、苯甲酸及其钠盐（以苯甲酸计）、糖精钠（以糖精计）、三氯蔗糖、阿力甜、阿斯巴甜、甜蜜素（以环己基氨基磺酸计）、菌落总数、大肠菌群、霉菌、酵母</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3</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薯类和膨化食品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薯类和膨化食品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膨化食品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含油型膨化食品和非含油型膨化食品</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酸价（以脂肪计）、过氧化值（以脂肪计）、糖精钠（以糖精计）、苯甲酸及其钠盐（以苯甲酸计）、山梨酸及其钾盐（以山梨酸计）、铅（以Pb计）、黄曲霉毒素B1、菌落总数 、大肠菌群、沙门氏菌、金黄色葡萄球菌</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4</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炒货食品及坚果制品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炒货食品及坚果制品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炒货食品及坚果制品（烘炒类、油炸类、其他类）</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其他炒货食品及坚果制品</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酸价（以脂肪计）、过氧化值（以脂肪计）、铅（以Pb计）、黄曲霉毒素B1、糖精钠（以糖精计）、甜蜜素（以环己基氨基磺酸计）、大肠菌群、霉菌、沙门氏菌</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1134"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水果制品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水果制品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蜜饯</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蜜饯类、凉果类、果脯类、话化类、果糕类</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苯甲酸及其钠盐（以苯甲酸计）、山梨酸及其钾盐（以山梨酸计）、脱氢乙酸及其钠盐（以脱氢乙酸计）、防腐剂混合使用时各自用量占其最大使用量的比例之和、糖精钠（以糖精计）、合成着色剂（赤藓红、苋菜红、新红、胭脂红、柠檬黄、日落黄、亮蓝）、相同色泽着色剂混合使用时各自 用量占其最大使用量的比例之和、甜蜜素（以环己基氨基磺酸计）、二氧化硫残留量、乙二胺四乙酸二钠、菌落总数、大肠菌群、霉菌、沙门氏菌、金黄色葡萄球菌</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6</w:t>
            </w:r>
          </w:p>
        </w:tc>
        <w:tc>
          <w:tcPr>
            <w:tcW w:w="1134"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方便食品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方面食品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调味面制品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调味面制品</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过氧化值（以脂肪计）、糖精钠（以糖精计）、苯甲酸及其钠盐（以苯甲酸计）、山梨酸及其钾盐（以山梨酸计）、脱氢乙酸及其钠盐（以脱氢乙酸计）、菌落总数、大肠菌群、霉菌、沙门氏菌、金黄色葡萄球菌、三氯蔗糖</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7</w:t>
            </w:r>
          </w:p>
        </w:tc>
        <w:tc>
          <w:tcPr>
            <w:tcW w:w="1134"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饮料</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饮料</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蛋白饮料</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蛋白饮料</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蛋白质、三聚氰胺、糖精钠（以糖精计）、甜蜜素（以环己基氨基磺酸计）、菌落总数、大肠菌群、霉菌、酵母、金黄色葡萄球菌、沙门氏菌 、苯甲酸及其钠盐（以苯甲酸计）、山梨酸及其钾盐（以山梨酸计）、脱氢乙酸及其钠盐（以脱氢乙酸计）、防腐剂混合使用时各自用量占其最大使用量的比例之和</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果、蔬汁饮料</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果、蔬汁饮料</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合成着色剂（赤藓红、酸性红、苋菜红、新红、胭脂红、柠檬黄、日落黄、亮蓝）、铅（以Pb计）、展青霉素、糖精钠（以糖精计）、甜蜜素（以环己基氨基磺酸计）、安赛蜜、菌落总数、大肠菌群、霉菌、酵母、金黄色葡萄球菌、沙门氏菌、苯甲酸及其钠盐（以苯甲酸计）、山梨酸及其钾盐（以山梨酸计）、脱氢乙酸及其钠盐（以脱氢乙酸计）、纳他霉素、防腐剂混合使用时各自用量占其最大使用量的比例之和</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8</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食用油及其制品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食用植物油</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食用植物油（半精炼、全精炼）</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其他食用植物油（半精炼、全精炼）</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酸值/酸价、过氧化值、溶剂残留量、总砷（以As计）、铅（以Pb计）、苯并[a]芘、丁基羟基茴香醚（BHA）、二丁基羟基甲苯（BHT）、特丁基对苯二酚（TBHQ）</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9</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粮食加工品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大米</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大米</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大米</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总汞（以Hg计）、无机砷（以As计）、铅（以Pb计）、铬（以Cr计）、镉（以Cd计）、黄曲霉毒素B1</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餐饮食品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米面及其制品(自制)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小麦粉制品(自制)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发酵面制品(自制)</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苯甲酸及其钠盐（以苯甲酸计）、山梨酸及其钾盐（以山梨酸计）、糖精钠（以糖精计）、丙酸及其钠盐、富马酸二甲酯、铝的残留量(干样品,以Al计)</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饮料（自制）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饮料（自制）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其他饮料(自制）</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苯甲酸及其钠盐（以苯甲酸计）、山梨酸及其钾盐（以山梨酸计）、糖精钠（以糖精计）、铅（以Pb计）、氯苯那敏（仅限凉茶）、对乙酰氨基酚（仅限凉茶）</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餐饮具</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餐饮具</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餐馆用餐饮具（一次性餐饮具)</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铝的残留量（干样品，以Al计）、苯甲酸及其钠盐（以苯甲酸计）、山梨酸及其钾盐（以山梨酸计）、甜蜜素（以环己基氨基磺酸计）、糖精钠（以糖精计）、脱氢乙酸及其钠盐（以脱氢乙酸计）、防腐剂混合使用时各自用量占其最大使用量比例之和、富马酸二甲酯、过氧化值、酸价（以脂肪计）</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复用餐饮具</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复用餐饮具</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苯甲酸及其钠盐（以苯甲酸计)、山梨酸及其钾盐（以山梨酸计)、脱氢乙酸及其钠盐（以脱氢乙酸计）、糖精钠（以糖精计）、防腐剂混合使用时各自用量占其最大使用量比例之和、过氧化值（以脂肪计）、酸价（以脂肪计）</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717" w:type="dxa"/>
            <w:gridSpan w:val="6"/>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合计</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100</w:t>
            </w:r>
          </w:p>
        </w:tc>
        <w:tc>
          <w:tcPr>
            <w:tcW w:w="747" w:type="dxa"/>
            <w:noWrap w:val="0"/>
            <w:vAlign w:val="center"/>
          </w:tcPr>
          <w:p>
            <w:pPr>
              <w:spacing w:line="260" w:lineRule="exact"/>
              <w:rPr>
                <w:color w:val="000000" w:themeColor="text1"/>
                <w:highlight w:val="none"/>
              </w:rPr>
            </w:pPr>
          </w:p>
        </w:tc>
      </w:tr>
    </w:tbl>
    <w:p>
      <w:pPr>
        <w:autoSpaceDN w:val="0"/>
        <w:jc w:val="center"/>
        <w:textAlignment w:val="center"/>
        <w:rPr>
          <w:color w:val="000000" w:themeColor="text1"/>
          <w:highlight w:val="none"/>
        </w:rPr>
      </w:pPr>
    </w:p>
    <w:p>
      <w:pPr>
        <w:autoSpaceDN w:val="0"/>
        <w:jc w:val="left"/>
        <w:textAlignment w:val="center"/>
        <w:rPr>
          <w:color w:val="000000" w:themeColor="text1"/>
          <w:highlight w:val="none"/>
        </w:rPr>
      </w:pPr>
      <w:r>
        <w:rPr>
          <w:rFonts w:ascii="宋体" w:hAnsi="宋体" w:cs="宋体"/>
          <w:color w:val="000000" w:themeColor="text1"/>
          <w:highlight w:val="none"/>
        </w:rPr>
        <w:t xml:space="preserve">表2.2  </w:t>
      </w:r>
      <w:r>
        <w:rPr>
          <w:rFonts w:hint="eastAsia"/>
          <w:color w:val="000000" w:themeColor="text1"/>
          <w:highlight w:val="none"/>
        </w:rPr>
        <w:t>2021年阳江市江城区食品安全抽检任务（150批）（食用农产品专项</w:t>
      </w:r>
      <w:r>
        <w:rPr>
          <w:color w:val="000000" w:themeColor="text1"/>
          <w:highlight w:val="none"/>
        </w:rPr>
        <w:t>专项</w:t>
      </w:r>
      <w:r>
        <w:rPr>
          <w:rFonts w:hint="eastAsia"/>
          <w:color w:val="000000" w:themeColor="text1"/>
          <w:highlight w:val="none"/>
        </w:rPr>
        <w:t>）</w:t>
      </w:r>
    </w:p>
    <w:tbl>
      <w:tblPr>
        <w:tblStyle w:val="46"/>
        <w:tblpPr w:leftFromText="180" w:rightFromText="180" w:vertAnchor="text" w:horzAnchor="page" w:tblpX="1065" w:tblpY="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134"/>
        <w:gridCol w:w="1134"/>
        <w:gridCol w:w="1134"/>
        <w:gridCol w:w="3364"/>
        <w:gridCol w:w="709"/>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序号</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食品大类（一级）</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食品亚类（二级）</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食品品种（三级）</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食品细类（四级）</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监督项目</w:t>
            </w:r>
          </w:p>
        </w:tc>
        <w:tc>
          <w:tcPr>
            <w:tcW w:w="709"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批次</w:t>
            </w:r>
          </w:p>
        </w:tc>
        <w:tc>
          <w:tcPr>
            <w:tcW w:w="747" w:type="dxa"/>
            <w:noWrap w:val="0"/>
            <w:vAlign w:val="center"/>
          </w:tcPr>
          <w:p>
            <w:pPr>
              <w:spacing w:line="260" w:lineRule="exact"/>
              <w:rPr>
                <w:rFonts w:hint="eastAsia"/>
                <w:color w:val="000000" w:themeColor="text1"/>
                <w:highlight w:val="none"/>
              </w:rPr>
            </w:pPr>
            <w:r>
              <w:rPr>
                <w:rFonts w:hint="eastAsia" w:ascii="宋体" w:hAnsi="宋体"/>
                <w:b/>
                <w:bCs/>
                <w:color w:val="000000" w:themeColor="text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食用农产品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蔬菜</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芸薹属类蔬菜</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结球甘蓝</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铅（以Pb计）镉（以Cd计）氧乐果，氟虫腈，阿维菌素，甲胺磷，甲基异柳磷</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restart"/>
            <w:noWrap w:val="0"/>
            <w:vAlign w:val="center"/>
          </w:tcPr>
          <w:p>
            <w:pPr>
              <w:spacing w:line="260" w:lineRule="exact"/>
              <w:rPr>
                <w:rFonts w:hint="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花椰菜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铅（以Pb计），镉（以Cd计），氟虫腈，水胺硫磷，毒死蜱，敌百虫</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菜薹/菜心</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氧乐果， 氟虫腈，氯氰菊酯和高效氯氰菊酯，镉（以Cd计），氟虫腈，甲拌磷</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芥蓝</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氧乐果，氟虫腈，氯氰菊酯和高效氯氰菊酯，甲基异柳磷</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叶菜类蔬菜</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菠菜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毒死蜱、氟虫腈、阿维菌素、氧乐果、甲氰菊酯、百菌清</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芹菜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仿宋_GB2312" w:hAnsi="仿宋_GB2312" w:eastAsia="仿宋_GB2312" w:cs="仿宋_GB2312"/>
                <w:color w:val="000000" w:themeColor="text1"/>
                <w:szCs w:val="21"/>
                <w:highlight w:val="none"/>
              </w:rPr>
              <w:t>甲拌磷、毒死蜱、氧乐果、克百威、氟虫腈</w:t>
            </w:r>
            <w:r>
              <w:rPr>
                <w:rFonts w:hint="eastAsia" w:ascii="仿宋_GB2312" w:hAnsi="仿宋_GB2312" w:cs="仿宋_GB2312"/>
                <w:color w:val="000000" w:themeColor="text1"/>
                <w:szCs w:val="21"/>
                <w:highlight w:val="none"/>
              </w:rPr>
              <w:t>、</w:t>
            </w:r>
            <w:r>
              <w:rPr>
                <w:rFonts w:hint="eastAsia" w:ascii="仿宋_GB2312" w:hAnsi="仿宋_GB2312" w:eastAsia="仿宋_GB2312" w:cs="仿宋_GB2312"/>
                <w:color w:val="000000" w:themeColor="text1"/>
                <w:szCs w:val="21"/>
                <w:highlight w:val="none"/>
              </w:rPr>
              <w:t>辛硫磷、五氯硝基苯、甲萘威、阿维菌素</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普通白菜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毒死蜱、啶虫脒、氟虫腈、阿维菌素、氧乐果、甲氰菊酯、百菌清、阿维菌素</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油麦菜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氟虫腈、氧乐果、克百威、氯氰菊酯和高效氯氰菊酯、</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茄果类蔬菜</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茄子</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镉（以Cd计）、氧乐果、克百威、水胺硫磷、甲氰菊酯</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瓜类蔬菜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黄瓜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铅（以Pb计），镉（以Cd计），毒死蜱，克百威，氟虫腈，水胺硫磷，氧乐果</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苦瓜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克百威，氟虫腈，氯氟氰菊酯和高效氯氟氰菊酯，氧乐果</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节瓜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氧乐果，克百威，氟虫腈，氯氰菊酯和高效氯氰菊酯</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豆类蔬菜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豇豆</w:t>
            </w:r>
          </w:p>
        </w:tc>
        <w:tc>
          <w:tcPr>
            <w:tcW w:w="3364" w:type="dxa"/>
            <w:noWrap w:val="0"/>
            <w:vAlign w:val="center"/>
          </w:tcPr>
          <w:p>
            <w:pPr>
              <w:pStyle w:val="2"/>
              <w:ind w:left="0" w:leftChars="0" w:firstLine="0" w:firstLineChars="0"/>
              <w:rPr>
                <w:rFonts w:hint="eastAsia" w:ascii="宋体" w:hAnsi="宋体"/>
                <w:color w:val="000000" w:themeColor="text1"/>
                <w:szCs w:val="21"/>
                <w:highlight w:val="none"/>
              </w:rPr>
            </w:pPr>
            <w:r>
              <w:rPr>
                <w:rFonts w:hint="eastAsia" w:ascii="宋体" w:hAnsi="宋体"/>
                <w:color w:val="000000" w:themeColor="text1"/>
                <w:szCs w:val="21"/>
                <w:highlight w:val="none"/>
              </w:rPr>
              <w:t>克百威、氧乐果、三唑磷、灭多威、灭蝇胺、甲氨基阿维菌素苯甲酸盐、吡唑醚菌酯、甲霜灵、噻虫嗪</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豆芽</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豆芽</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4-氯苯氧乙酸钠（以4-氯苯氧乙酸计）、6-苄基腺嘌呤（6-BA）、亚硫酸盐（以SO</w:t>
            </w:r>
            <w:r>
              <w:rPr>
                <w:rFonts w:ascii="Cambria Math" w:hAnsi="Cambria Math" w:cs="Cambria Math"/>
                <w:color w:val="000000" w:themeColor="text1"/>
                <w:szCs w:val="21"/>
                <w:highlight w:val="none"/>
              </w:rPr>
              <w:t>₂</w:t>
            </w:r>
            <w:r>
              <w:rPr>
                <w:rFonts w:hint="eastAsia" w:ascii="宋体" w:hAnsi="宋体"/>
                <w:color w:val="000000" w:themeColor="text1"/>
                <w:szCs w:val="21"/>
                <w:highlight w:val="none"/>
              </w:rPr>
              <w:t>计）、铅（以Pb计）、总汞（以Hg计）、铬（以Cr计）</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s="微软雅黑"/>
                <w:color w:val="000000" w:themeColor="text1"/>
                <w:szCs w:val="21"/>
                <w:highlight w:val="none"/>
              </w:rPr>
              <w:t>鱗</w:t>
            </w:r>
            <w:r>
              <w:rPr>
                <w:rFonts w:hint="eastAsia" w:ascii="宋体" w:hAnsi="宋体" w:cs="仿宋_GB2312"/>
                <w:color w:val="000000" w:themeColor="text1"/>
                <w:szCs w:val="21"/>
                <w:highlight w:val="none"/>
              </w:rPr>
              <w:t>茎类蔬菜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韭菜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仿宋_GB2312" w:hAnsi="仿宋_GB2312" w:eastAsia="仿宋_GB2312" w:cs="仿宋_GB2312"/>
                <w:color w:val="000000" w:themeColor="text1"/>
                <w:szCs w:val="21"/>
                <w:highlight w:val="none"/>
              </w:rPr>
              <w:t>毒死蜱、甲拌磷、克百威、乙酰甲胺磷</w:t>
            </w:r>
            <w:r>
              <w:rPr>
                <w:rFonts w:hint="eastAsia" w:ascii="仿宋_GB2312" w:hAnsi="仿宋_GB2312" w:cs="仿宋_GB2312"/>
                <w:color w:val="000000" w:themeColor="text1"/>
                <w:szCs w:val="21"/>
                <w:highlight w:val="none"/>
              </w:rPr>
              <w:t>、</w:t>
            </w:r>
            <w:r>
              <w:rPr>
                <w:rFonts w:hint="eastAsia" w:ascii="仿宋_GB2312" w:hAnsi="仿宋_GB2312" w:eastAsia="仿宋_GB2312" w:cs="仿宋_GB2312"/>
                <w:color w:val="000000" w:themeColor="text1"/>
                <w:szCs w:val="21"/>
                <w:highlight w:val="none"/>
              </w:rPr>
              <w:t>腐霉利、异菌脲、苯醚甲环唑、二甲戊乐灵、咪鲜胺、阿维菌素、啶虫脒、辛硫磷、氯氟氰菊酯、多效唑、氯氰菊酯</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畜禽肉及副产品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畜肉</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猪肉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磺胺类（总量）、恩诺沙星、氯霉素、沙丁胺醇、克伦特罗、莱克多巴胺、金刚烷胺、五氯酚酸钠（以五氯酚计）</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4</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牛肉</w:t>
            </w:r>
          </w:p>
        </w:tc>
        <w:tc>
          <w:tcPr>
            <w:tcW w:w="3364" w:type="dxa"/>
            <w:noWrap w:val="0"/>
            <w:vAlign w:val="center"/>
          </w:tcPr>
          <w:p>
            <w:pPr>
              <w:pStyle w:val="2"/>
              <w:ind w:left="0" w:leftChars="0" w:firstLine="0" w:firstLineChars="0"/>
              <w:rPr>
                <w:rFonts w:hint="eastAsia" w:ascii="宋体" w:hAnsi="宋体"/>
                <w:color w:val="000000" w:themeColor="text1"/>
                <w:szCs w:val="21"/>
                <w:highlight w:val="none"/>
              </w:rPr>
            </w:pPr>
            <w:r>
              <w:rPr>
                <w:rFonts w:hint="eastAsia" w:ascii="宋体" w:hAnsi="宋体"/>
                <w:color w:val="000000" w:themeColor="text1"/>
                <w:szCs w:val="21"/>
                <w:highlight w:val="none"/>
              </w:rPr>
              <w:t>克伦特罗、沙丁胺醇、肾上腺素、阿托品</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8</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羊肉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克伦特罗、沙丁胺醇、肾上腺素、阿托品</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8</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禽肉</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鸡肉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甲氧苄啶、磺胺类（总量）、恩诺沙星、五氯酚酸钠（以五氯酚计）、挥发性盐基氮、氯霉素、金刚烷胺</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禽肉</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乌鸡</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氧氟沙星、氯霉素、金刚烷胺、恩诺沙星、环丙沙星、氟苯尼考</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水产品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淡水产品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淡水鱼（重点品种：泥鳅、黄鳝、鳊鱼、大口黑鲈、鲶鱼、鲫鱼、乌鳢等）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恩诺沙星、孔雀石绿、硝基呋喃类、氯霉素、甲硝唑、呋喃西林代谢物、磺胺类（总量）</w:t>
            </w:r>
          </w:p>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氧氟沙星、环丙沙星</w:t>
            </w:r>
          </w:p>
        </w:tc>
        <w:tc>
          <w:tcPr>
            <w:tcW w:w="709"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淡水虾</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恩诺沙星、五氯酚酸钠（以五氯酚计）、呋喃唑酮代谢物、呋喃妥因代谢物、孔雀石绿、氯霉素</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海水产品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海水鱼（重点品种：多宝鱼、大黄鱼、海鲈鱼等）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恩诺沙星、硝基呋喃类、氯霉素、孔雀石绿、镉（以Cd计）、土霉素/金霉素/四环素（组合含量）、氧氟沙星、环丙沙星</w:t>
            </w:r>
          </w:p>
        </w:tc>
        <w:tc>
          <w:tcPr>
            <w:tcW w:w="709"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海水虾（重点品种：虾蛄、基围虾等）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镉（以Cd计）、呋喃唑酮代谢物、恩诺沙星、土霉素/金霉素/四环素（组合含量）、氯霉素、呋喃妥因代谢物、孔雀石绿、五氯酚酸钠（以五氯酚计）</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海水蟹（重点品种：梭子蟹等）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镉（以Cd计）、氯霉素、孔雀石绿、呋喃它酮代谢物、呋喃妥因代谢物、五氯酚酸钠（以五氯酚计）</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贝类</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贝类（重点品种：花蛤、花螺等）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氯霉素、恩诺沙星、镉（以Cd计）、氟苯尼考、呋喃西林代谢物、呋喃唑酮代谢物、孔雀石绿</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其他水产品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其他水产品（重点品种：牛蛙）</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恩诺沙星、镉（以Cd计）、呋喃唑酮代谢物、呋喃西林代谢物、氯霉素、孔雀石绿</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水果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热带和亚热带水果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香蕉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吡虫啉、腈苯唑、噻虫嗪、嘧菌酯、吡唑醚菌酯</w:t>
            </w:r>
          </w:p>
        </w:tc>
        <w:tc>
          <w:tcPr>
            <w:tcW w:w="709"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柑橘类水果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柑、橘</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丙溴磷、苯醚甲环唑、噻菌灵、哒螨灵、</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橙</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丙溴磷、氧乐果、多菌灵、杀虫脒</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浆果和其他小型水果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草莓</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烯酰吗啉、氧乐果、敌敌畏、多菌灵</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猕猴桃</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氯吡脲、多菌灵、敌敌畏、氧乐果</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鲜蛋</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鲜蛋</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鸡蛋</w:t>
            </w:r>
          </w:p>
        </w:tc>
        <w:tc>
          <w:tcPr>
            <w:tcW w:w="3364" w:type="dxa"/>
            <w:noWrap w:val="0"/>
            <w:vAlign w:val="center"/>
          </w:tcPr>
          <w:p>
            <w:pPr>
              <w:pStyle w:val="2"/>
              <w:ind w:left="0" w:leftChars="0" w:firstLine="0" w:firstLineChars="0"/>
              <w:rPr>
                <w:rFonts w:hint="eastAsia" w:ascii="宋体" w:hAnsi="宋体"/>
                <w:color w:val="000000" w:themeColor="text1"/>
                <w:szCs w:val="21"/>
                <w:highlight w:val="none"/>
              </w:rPr>
            </w:pPr>
            <w:r>
              <w:rPr>
                <w:rFonts w:hint="eastAsia" w:ascii="宋体" w:hAnsi="宋体"/>
                <w:color w:val="000000" w:themeColor="text1"/>
                <w:szCs w:val="21"/>
                <w:highlight w:val="none"/>
              </w:rPr>
              <w:t>金刚烷胺、氧氟沙星、恩诺沙星、环丙沙星、氟苯尼考（氟苯尼考胺）、磺胺类（总量）</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717" w:type="dxa"/>
            <w:gridSpan w:val="6"/>
            <w:noWrap w:val="0"/>
            <w:vAlign w:val="center"/>
          </w:tcPr>
          <w:p>
            <w:pPr>
              <w:pStyle w:val="2"/>
              <w:ind w:left="0" w:leftChars="0" w:firstLine="0" w:firstLineChars="0"/>
              <w:jc w:val="center"/>
              <w:rPr>
                <w:rFonts w:hint="eastAsia" w:ascii="宋体" w:hAnsi="宋体"/>
                <w:color w:val="000000" w:themeColor="text1"/>
                <w:szCs w:val="21"/>
                <w:highlight w:val="none"/>
              </w:rPr>
            </w:pPr>
            <w:r>
              <w:rPr>
                <w:rFonts w:hint="eastAsia" w:ascii="宋体" w:hAnsi="宋体"/>
                <w:color w:val="000000" w:themeColor="text1"/>
                <w:szCs w:val="21"/>
                <w:highlight w:val="none"/>
              </w:rPr>
              <w:t>合计</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150</w:t>
            </w:r>
          </w:p>
        </w:tc>
        <w:tc>
          <w:tcPr>
            <w:tcW w:w="747" w:type="dxa"/>
            <w:noWrap w:val="0"/>
            <w:vAlign w:val="center"/>
          </w:tcPr>
          <w:p>
            <w:pPr>
              <w:spacing w:line="260" w:lineRule="exact"/>
              <w:rPr>
                <w:color w:val="000000" w:themeColor="text1"/>
                <w:highlight w:val="none"/>
              </w:rPr>
            </w:pPr>
          </w:p>
        </w:tc>
      </w:tr>
    </w:tbl>
    <w:p>
      <w:pPr>
        <w:autoSpaceDN w:val="0"/>
        <w:jc w:val="left"/>
        <w:textAlignment w:val="center"/>
        <w:rPr>
          <w:rFonts w:ascii="宋体" w:hAnsi="宋体" w:cs="宋体"/>
          <w:color w:val="000000" w:themeColor="text1"/>
          <w:highlight w:val="none"/>
        </w:rPr>
      </w:pPr>
    </w:p>
    <w:p>
      <w:pPr>
        <w:autoSpaceDN w:val="0"/>
        <w:jc w:val="left"/>
        <w:textAlignment w:val="center"/>
        <w:rPr>
          <w:color w:val="000000" w:themeColor="text1"/>
          <w:highlight w:val="none"/>
        </w:rPr>
      </w:pPr>
      <w:r>
        <w:rPr>
          <w:rFonts w:ascii="宋体" w:hAnsi="宋体" w:cs="宋体"/>
          <w:color w:val="000000" w:themeColor="text1"/>
          <w:highlight w:val="none"/>
        </w:rPr>
        <w:t>表2.</w:t>
      </w:r>
      <w:r>
        <w:rPr>
          <w:rFonts w:hint="eastAsia" w:ascii="宋体" w:hAnsi="宋体" w:cs="宋体"/>
          <w:color w:val="000000" w:themeColor="text1"/>
          <w:highlight w:val="none"/>
        </w:rPr>
        <w:t>3</w:t>
      </w:r>
      <w:r>
        <w:rPr>
          <w:rFonts w:ascii="宋体" w:hAnsi="宋体" w:cs="宋体"/>
          <w:color w:val="000000" w:themeColor="text1"/>
          <w:highlight w:val="none"/>
        </w:rPr>
        <w:t xml:space="preserve">  </w:t>
      </w:r>
      <w:r>
        <w:rPr>
          <w:rFonts w:hint="eastAsia"/>
          <w:color w:val="000000" w:themeColor="text1"/>
          <w:highlight w:val="none"/>
        </w:rPr>
        <w:t>2021年阳江市江城区食品安全抽检任务（50批）（网络经营</w:t>
      </w:r>
      <w:r>
        <w:rPr>
          <w:color w:val="000000" w:themeColor="text1"/>
          <w:highlight w:val="none"/>
        </w:rPr>
        <w:t>食品安全专项</w:t>
      </w:r>
      <w:r>
        <w:rPr>
          <w:rFonts w:hint="eastAsia"/>
          <w:color w:val="000000" w:themeColor="text1"/>
          <w:highlight w:val="none"/>
        </w:rPr>
        <w:t>）</w:t>
      </w:r>
    </w:p>
    <w:tbl>
      <w:tblPr>
        <w:tblStyle w:val="46"/>
        <w:tblW w:w="10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34"/>
        <w:gridCol w:w="1134"/>
        <w:gridCol w:w="1134"/>
        <w:gridCol w:w="1134"/>
        <w:gridCol w:w="3514"/>
        <w:gridCol w:w="731"/>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noWrap w:val="0"/>
            <w:vAlign w:val="center"/>
          </w:tcPr>
          <w:p>
            <w:pPr>
              <w:spacing w:line="260" w:lineRule="exact"/>
              <w:rPr>
                <w:rFonts w:ascii="宋体" w:hAnsi="宋体"/>
                <w:b/>
                <w:bCs/>
                <w:color w:val="000000" w:themeColor="text1"/>
                <w:szCs w:val="21"/>
                <w:highlight w:val="none"/>
              </w:rPr>
            </w:pPr>
            <w:r>
              <w:rPr>
                <w:rFonts w:hint="eastAsia" w:ascii="宋体" w:hAnsi="宋体"/>
                <w:b/>
                <w:bCs/>
                <w:color w:val="000000" w:themeColor="text1"/>
                <w:szCs w:val="21"/>
                <w:highlight w:val="none"/>
              </w:rPr>
              <w:t>序号</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食品大类（一级）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食品亚类（二级）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食品品种（三级）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食品细类（四级）</w:t>
            </w:r>
          </w:p>
        </w:tc>
        <w:tc>
          <w:tcPr>
            <w:tcW w:w="3514"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监督项目</w:t>
            </w:r>
          </w:p>
        </w:tc>
        <w:tc>
          <w:tcPr>
            <w:tcW w:w="731"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批次</w:t>
            </w:r>
          </w:p>
        </w:tc>
        <w:tc>
          <w:tcPr>
            <w:tcW w:w="692"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餐饮食品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米面及其制品(自制)</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小麦粉制品(自制)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发酵面制品(自制)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苯甲酸及其钠盐（以苯甲酸计）、山梨酸及其钾盐（以山梨酸计）、糖精钠（以糖精计）、铝的残留量(干样品,以Al计)</w:t>
            </w:r>
          </w:p>
        </w:tc>
        <w:tc>
          <w:tcPr>
            <w:tcW w:w="731"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25</w:t>
            </w:r>
          </w:p>
        </w:tc>
        <w:tc>
          <w:tcPr>
            <w:tcW w:w="692" w:type="dxa"/>
            <w:vMerge w:val="restart"/>
            <w:noWrap w:val="0"/>
            <w:vAlign w:val="center"/>
          </w:tcPr>
          <w:p>
            <w:pPr>
              <w:spacing w:line="260" w:lineRule="exact"/>
              <w:rPr>
                <w:rFonts w:hint="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油炸面制品(自制)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铝的残留量（干样品，以Al计）</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生湿面制品（餐饮)</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生湿面制品（餐饮)</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铅（以Pb计）、苯甲酸及其钠盐（以苯甲酸计）、山梨酸及其钾盐（以山梨酸计）、脱氢乙酸及其钠 盐（以脱氢乙酸计）、铝的残留量（干样品，以Al计）</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米粉制品（餐饮)</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米粉制品（餐饮)</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铅（以Pb计）、苯甲酸及其钠盐（以苯甲酸计）、山梨酸及其钾盐（以山梨酸计）、脱氢乙酸及其钠盐（以脱氢乙酸计）、二氧化硫残留量、菌落总数、大肠埃希氏菌、沙门氏菌、金黄色葡萄球菌、蜡样芽孢杆菌</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肉制品(自制)</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熟肉制品(自制)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酱卤肉制品、肉灌肠、其他熟肉(自制)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胭脂红、苯甲酸及其钠盐（以苯甲酸计）、山梨酸及其钾盐（以山梨酸计）、糖精钠（以糖精计）、脱氢乙酸及其钠盐（以脱氢乙酸计）、金黄色葡萄球菌</w:t>
            </w:r>
          </w:p>
        </w:tc>
        <w:tc>
          <w:tcPr>
            <w:tcW w:w="731"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肉冻、皮冻(自制)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铬（以Cr计）</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其他餐饮食品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其他餐饮食品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寿司（餐饮）</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金黄色葡萄球菌、沙门氏菌</w:t>
            </w:r>
          </w:p>
        </w:tc>
        <w:tc>
          <w:tcPr>
            <w:tcW w:w="731"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20</w:t>
            </w: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凉拌菜（餐饮）</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凉拌菜（餐饮）</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金黄色葡萄球菌、沙门氏菌</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焙烤食品（餐饮）</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糕点（餐饮单位自制）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铝的残留量（干样品，以Al计）、苯甲酸及其钠盐（以苯甲酸计）、山梨酸及其钾盐（以山梨酸计）、甜蜜素（以环己基氨基磺酸计）、糖精钠（以糖精计）、脱氢乙酸及其钠盐（以脱氢乙酸计）、防腐剂混合使用时各自用量占其最大使用量比例之和、富马酸二甲酯、过氧化值、酸价（以脂肪计）</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700" w:type="dxa"/>
            <w:gridSpan w:val="6"/>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合计</w:t>
            </w:r>
          </w:p>
        </w:tc>
        <w:tc>
          <w:tcPr>
            <w:tcW w:w="731"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50</w:t>
            </w:r>
          </w:p>
        </w:tc>
        <w:tc>
          <w:tcPr>
            <w:tcW w:w="692" w:type="dxa"/>
            <w:noWrap w:val="0"/>
            <w:vAlign w:val="center"/>
          </w:tcPr>
          <w:p>
            <w:pPr>
              <w:spacing w:line="260" w:lineRule="exact"/>
              <w:rPr>
                <w:rFonts w:hint="eastAsia"/>
                <w:color w:val="000000" w:themeColor="text1"/>
                <w:highlight w:val="none"/>
              </w:rPr>
            </w:pPr>
            <w:r>
              <w:rPr>
                <w:rFonts w:hint="eastAsia"/>
                <w:color w:val="000000" w:themeColor="text1"/>
                <w:highlight w:val="none"/>
              </w:rPr>
              <w:t>　</w:t>
            </w:r>
          </w:p>
        </w:tc>
      </w:tr>
    </w:tbl>
    <w:p>
      <w:pPr>
        <w:pStyle w:val="6"/>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rFonts w:hint="eastAsia"/>
          <w:color w:val="000000" w:themeColor="text1"/>
          <w:highlight w:val="none"/>
        </w:rPr>
      </w:pPr>
      <w:r>
        <w:rPr>
          <w:rFonts w:hint="eastAsia"/>
          <w:color w:val="000000" w:themeColor="text1"/>
          <w:highlight w:val="none"/>
        </w:rPr>
        <w:br w:type="page"/>
      </w:r>
    </w:p>
    <w:p>
      <w:pPr>
        <w:pStyle w:val="4"/>
        <w:numPr>
          <w:ilvl w:val="0"/>
          <w:numId w:val="0"/>
        </w:numPr>
        <w:spacing w:beforeLines="0" w:line="240" w:lineRule="auto"/>
        <w:rPr>
          <w:color w:val="000000" w:themeColor="text1"/>
          <w:highlight w:val="none"/>
        </w:rPr>
      </w:pPr>
      <w:bookmarkStart w:id="114" w:name="_Toc23520"/>
      <w:r>
        <w:rPr>
          <w:rFonts w:hint="eastAsia"/>
          <w:color w:val="000000" w:themeColor="text1"/>
          <w:highlight w:val="none"/>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p>
    <w:p>
      <w:pPr>
        <w:pStyle w:val="5"/>
        <w:numPr>
          <w:ilvl w:val="0"/>
          <w:numId w:val="0"/>
        </w:numPr>
        <w:rPr>
          <w:rFonts w:hint="eastAsia"/>
          <w:color w:val="000000" w:themeColor="text1"/>
          <w:szCs w:val="21"/>
          <w:highlight w:val="none"/>
        </w:rPr>
      </w:pPr>
      <w:bookmarkStart w:id="115" w:name="_Toc456648358"/>
      <w:bookmarkStart w:id="116" w:name="_Toc434832495"/>
      <w:bookmarkStart w:id="117" w:name="_Toc8778"/>
      <w:bookmarkStart w:id="118" w:name="_Toc456272919"/>
      <w:r>
        <w:rPr>
          <w:rFonts w:hint="eastAsia"/>
          <w:color w:val="000000" w:themeColor="text1"/>
          <w:szCs w:val="21"/>
          <w:highlight w:val="none"/>
        </w:rPr>
        <w:t>投标人须知前附表</w:t>
      </w:r>
      <w:bookmarkEnd w:id="115"/>
      <w:bookmarkEnd w:id="116"/>
      <w:bookmarkEnd w:id="117"/>
      <w:bookmarkEnd w:id="118"/>
    </w:p>
    <w:tbl>
      <w:tblPr>
        <w:tblStyle w:val="46"/>
        <w:tblW w:w="9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ascii="宋体" w:hAnsi="宋体"/>
                <w:color w:val="000000" w:themeColor="text1"/>
                <w:szCs w:val="21"/>
                <w:highlight w:val="none"/>
                <w:lang w:val="en-GB"/>
              </w:rPr>
            </w:pPr>
            <w:r>
              <w:rPr>
                <w:rFonts w:hint="eastAsia"/>
                <w:color w:val="000000" w:themeColor="text1"/>
                <w:highlight w:val="none"/>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bCs/>
                <w:color w:val="000000" w:themeColor="text1"/>
                <w:highlight w:val="none"/>
              </w:rPr>
              <w:t>评标委员会</w:t>
            </w:r>
            <w:r>
              <w:rPr>
                <w:rFonts w:hint="eastAsia" w:ascii="宋体"/>
                <w:bCs/>
                <w:color w:val="000000" w:themeColor="text1"/>
                <w:highlight w:val="none"/>
                <w:lang w:val="en-US" w:eastAsia="zh-CN"/>
              </w:rPr>
              <w:t>根据政府采购相关法律法规组成</w:t>
            </w:r>
            <w:r>
              <w:rPr>
                <w:rFonts w:hint="eastAsia" w:ascii="宋体"/>
                <w:bCs/>
                <w:color w:val="000000" w:themeColor="text1"/>
                <w:highlight w:val="none"/>
              </w:rPr>
              <w:t>，评审专家根据相关法律法规及法律程序</w:t>
            </w:r>
            <w:r>
              <w:rPr>
                <w:rFonts w:hint="eastAsia" w:ascii="宋体"/>
                <w:bCs/>
                <w:color w:val="000000" w:themeColor="text1"/>
                <w:highlight w:val="none"/>
                <w:lang w:eastAsia="zh-CN"/>
              </w:rPr>
              <w:t>，</w:t>
            </w:r>
            <w:r>
              <w:rPr>
                <w:rFonts w:hint="eastAsia" w:ascii="宋体"/>
                <w:bCs/>
                <w:color w:val="000000" w:themeColor="text1"/>
                <w:highlight w:val="none"/>
              </w:rPr>
              <w:t>依据本次采购活动的特点和需要在政府指定的专家库中随机抽取产生,</w:t>
            </w:r>
            <w:r>
              <w:rPr>
                <w:rFonts w:hint="eastAsia" w:ascii="宋体"/>
                <w:b/>
                <w:bCs/>
                <w:color w:val="000000" w:themeColor="text1"/>
                <w:highlight w:val="none"/>
              </w:rPr>
              <w:t>专家数量共</w:t>
            </w:r>
            <w:r>
              <w:rPr>
                <w:rFonts w:hint="eastAsia" w:ascii="宋体"/>
                <w:b/>
                <w:bCs/>
                <w:color w:val="000000" w:themeColor="text1"/>
                <w:highlight w:val="none"/>
                <w:u w:val="single"/>
              </w:rPr>
              <w:t xml:space="preserve"> 5</w:t>
            </w:r>
            <w:r>
              <w:rPr>
                <w:rFonts w:ascii="宋体"/>
                <w:b/>
                <w:bCs/>
                <w:color w:val="000000" w:themeColor="text1"/>
                <w:highlight w:val="none"/>
                <w:u w:val="single"/>
              </w:rPr>
              <w:t xml:space="preserve"> </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投标资料数量和封装</w:t>
            </w:r>
            <w:r>
              <w:rPr>
                <w:rFonts w:hint="eastAsia" w:ascii="宋体" w:hAnsi="宋体"/>
                <w:color w:val="000000" w:themeColor="text1"/>
                <w:szCs w:val="21"/>
                <w:highlight w:val="none"/>
                <w:lang w:val="en-US" w:eastAsia="zh-CN"/>
              </w:rPr>
              <w:t>要求</w:t>
            </w:r>
          </w:p>
        </w:tc>
        <w:tc>
          <w:tcPr>
            <w:tcW w:w="1587" w:type="dxa"/>
            <w:vMerge w:val="restart"/>
            <w:tcBorders>
              <w:top w:val="single" w:color="auto" w:sz="4" w:space="0"/>
              <w:left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both"/>
              <w:rPr>
                <w:rFonts w:hint="eastAsia"/>
                <w:color w:val="000000" w:themeColor="text1"/>
                <w:highlight w:val="none"/>
                <w:lang w:eastAsia="zh-CN"/>
              </w:rPr>
            </w:pPr>
            <w:r>
              <w:rPr>
                <w:rFonts w:hint="eastAsia" w:ascii="宋体" w:hAnsi="宋体"/>
                <w:b/>
                <w:bCs/>
                <w:color w:val="000000" w:themeColor="text1"/>
                <w:szCs w:val="21"/>
                <w:highlight w:val="none"/>
                <w:lang w:val="en-US" w:eastAsia="zh-CN"/>
              </w:rPr>
              <w:t>共提供4份</w:t>
            </w:r>
            <w:r>
              <w:rPr>
                <w:rFonts w:hint="eastAsia" w:ascii="宋体" w:hAnsi="宋体"/>
                <w:b/>
                <w:bCs/>
                <w:color w:val="000000" w:themeColor="text1"/>
                <w:szCs w:val="21"/>
                <w:highlight w:val="none"/>
              </w:rPr>
              <w:t>投标</w:t>
            </w:r>
            <w:r>
              <w:rPr>
                <w:rFonts w:hint="eastAsia" w:ascii="宋体" w:hAnsi="宋体"/>
                <w:b/>
                <w:bCs/>
                <w:color w:val="000000" w:themeColor="text1"/>
                <w:szCs w:val="21"/>
                <w:highlight w:val="none"/>
                <w:lang w:val="en-US" w:eastAsia="zh-CN"/>
              </w:rPr>
              <w:t>资料，分别封装：</w:t>
            </w:r>
            <w:r>
              <w:rPr>
                <w:rFonts w:hint="eastAsia" w:ascii="宋体" w:hAnsi="宋体"/>
                <w:b/>
                <w:bCs/>
                <w:color w:val="000000" w:themeColor="text1"/>
                <w:szCs w:val="21"/>
                <w:highlight w:val="none"/>
                <w:lang w:val="en-US" w:eastAsia="zh-CN"/>
              </w:rPr>
              <w:br w:type="textWrapping"/>
            </w:r>
          </w:p>
          <w:p>
            <w:pPr>
              <w:keepNext w:val="0"/>
              <w:keepLines w:val="0"/>
              <w:pageBreakBefore w:val="0"/>
              <w:numPr>
                <w:ilvl w:val="0"/>
                <w:numId w:val="0"/>
              </w:numPr>
              <w:tabs>
                <w:tab w:val="left" w:pos="528"/>
                <w:tab w:val="left" w:pos="783"/>
              </w:tabs>
              <w:kinsoku/>
              <w:wordWrap/>
              <w:overflowPunct/>
              <w:topLinePunct w:val="0"/>
              <w:bidi w:val="0"/>
              <w:snapToGrid/>
              <w:spacing w:line="400" w:lineRule="exact"/>
              <w:jc w:val="center"/>
              <w:rPr>
                <w:rFonts w:ascii="宋体" w:hAnsi="宋体"/>
                <w:b/>
                <w:color w:val="000000" w:themeColor="text1"/>
                <w:szCs w:val="21"/>
                <w:highlight w:val="none"/>
                <w:shd w:val="pct10" w:color="auto" w:fill="FFFFFF"/>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1、</w:t>
            </w:r>
            <w:r>
              <w:rPr>
                <w:rFonts w:hint="eastAsia" w:ascii="宋体" w:hAnsi="宋体"/>
                <w:b/>
                <w:bCs/>
                <w:color w:val="000000" w:themeColor="text1"/>
                <w:szCs w:val="21"/>
                <w:highlight w:val="none"/>
              </w:rPr>
              <w:t>资格审查文件</w:t>
            </w:r>
            <w:r>
              <w:rPr>
                <w:rFonts w:hint="eastAsia" w:ascii="宋体" w:hAnsi="宋体"/>
                <w:b/>
                <w:bCs/>
                <w:color w:val="000000" w:themeColor="text1"/>
                <w:szCs w:val="21"/>
                <w:highlight w:val="none"/>
                <w:lang w:eastAsia="zh-CN"/>
              </w:rPr>
              <w:t>。</w:t>
            </w:r>
            <w:r>
              <w:rPr>
                <w:rFonts w:hint="eastAsia"/>
                <w:color w:val="000000" w:themeColor="text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2、</w:t>
            </w:r>
            <w:r>
              <w:rPr>
                <w:rFonts w:hint="eastAsia" w:ascii="宋体" w:hAnsi="宋体"/>
                <w:b/>
                <w:bCs/>
                <w:color w:val="000000" w:themeColor="text1"/>
                <w:szCs w:val="21"/>
                <w:highlight w:val="none"/>
              </w:rPr>
              <w:t>商务及技术文件</w:t>
            </w:r>
            <w:r>
              <w:rPr>
                <w:rFonts w:hint="eastAsia" w:ascii="宋体" w:hAnsi="宋体"/>
                <w:b/>
                <w:bCs/>
                <w:color w:val="000000" w:themeColor="text1"/>
                <w:szCs w:val="2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4"/>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rPr>
              <w:t>开标信封</w:t>
            </w:r>
            <w:r>
              <w:rPr>
                <w:rFonts w:hint="eastAsia"/>
                <w:b/>
                <w:bCs/>
                <w:color w:val="000000" w:themeColor="text1"/>
                <w:szCs w:val="21"/>
                <w:highlight w:val="none"/>
                <w:lang w:eastAsia="zh-CN"/>
              </w:rPr>
              <w:t>。</w:t>
            </w:r>
            <w:r>
              <w:rPr>
                <w:rFonts w:hint="eastAsia"/>
                <w:color w:val="000000" w:themeColor="text1"/>
                <w:highlight w:val="none"/>
                <w:lang w:val="en-US" w:eastAsia="zh-CN"/>
              </w:rPr>
              <w:t>（内含“开标一览表”、“投标保证金”、“分项报价表”、“保证金退付书”、“法定代表人（负责人）证明书”和“法定代表人（负责人）授权书”</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lang w:val="en-US" w:eastAsia="zh-CN"/>
              </w:rPr>
              <w:t>4、</w:t>
            </w:r>
            <w:r>
              <w:rPr>
                <w:rFonts w:hint="eastAsia"/>
                <w:b/>
                <w:bCs/>
                <w:color w:val="000000" w:themeColor="text1"/>
                <w:highlight w:val="none"/>
                <w:lang w:val="en-US" w:eastAsia="zh-CN"/>
              </w:rPr>
              <w:t>投标文件电子版。</w:t>
            </w:r>
            <w:r>
              <w:rPr>
                <w:rFonts w:hint="eastAsia"/>
                <w:color w:val="000000" w:themeColor="text1"/>
                <w:highlight w:val="none"/>
                <w:lang w:val="en-US" w:eastAsia="zh-CN"/>
              </w:rPr>
              <w:t>（以光盘或U盘提供，内含PDF及可编辑的投标文件电子版1份，</w:t>
            </w:r>
            <w:r>
              <w:rPr>
                <w:rFonts w:hint="eastAsia"/>
                <w:color w:val="000000" w:themeColor="text1"/>
                <w:szCs w:val="21"/>
                <w:highlight w:val="none"/>
              </w:rPr>
              <w:t>在封面上注明“</w:t>
            </w:r>
            <w:r>
              <w:rPr>
                <w:rFonts w:hint="eastAsia"/>
                <w:color w:val="000000" w:themeColor="text1"/>
                <w:szCs w:val="21"/>
                <w:highlight w:val="none"/>
                <w:lang w:val="en-US" w:eastAsia="zh-CN"/>
              </w:rPr>
              <w:t>公司名称-</w:t>
            </w:r>
            <w:r>
              <w:rPr>
                <w:rFonts w:hint="eastAsia"/>
                <w:color w:val="000000" w:themeColor="text1"/>
                <w:highlight w:val="none"/>
                <w:lang w:val="en-US" w:eastAsia="zh-CN"/>
              </w:rPr>
              <w:t>投标文件电子版</w:t>
            </w:r>
            <w:r>
              <w:rPr>
                <w:rFonts w:hint="eastAsia"/>
                <w:color w:val="000000" w:themeColor="text1"/>
                <w:szCs w:val="21"/>
                <w:highlight w:val="none"/>
              </w:rPr>
              <w:t>”</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hAnsi="宋体"/>
                <w:b/>
                <w:bCs w:val="0"/>
                <w:color w:val="000000" w:themeColor="text1"/>
                <w:szCs w:val="21"/>
                <w:highlight w:val="none"/>
                <w:lang w:val="en-US" w:eastAsia="zh-CN"/>
              </w:rPr>
              <w:t>所有投标资料</w:t>
            </w:r>
            <w:r>
              <w:rPr>
                <w:rFonts w:hint="eastAsia" w:ascii="宋体"/>
                <w:bCs/>
                <w:color w:val="000000" w:themeColor="text1"/>
                <w:szCs w:val="21"/>
                <w:highlight w:val="none"/>
              </w:rPr>
              <w:t>分别</w:t>
            </w:r>
            <w:r>
              <w:rPr>
                <w:rFonts w:hint="eastAsia" w:ascii="宋体" w:hAnsi="宋体"/>
                <w:bCs/>
                <w:color w:val="000000" w:themeColor="text1"/>
                <w:szCs w:val="21"/>
                <w:highlight w:val="none"/>
              </w:rPr>
              <w:t>密封在不透明的外层封装中，</w:t>
            </w:r>
            <w:r>
              <w:rPr>
                <w:rFonts w:hint="eastAsia"/>
                <w:color w:val="000000" w:themeColor="text1"/>
                <w:szCs w:val="21"/>
                <w:highlight w:val="none"/>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bCs/>
                <w:color w:val="000000" w:themeColor="text1"/>
                <w:highlight w:val="none"/>
              </w:rPr>
              <w:t>每一密封封</w:t>
            </w:r>
            <w:r>
              <w:rPr>
                <w:rFonts w:hint="eastAsia" w:ascii="宋体"/>
                <w:bCs/>
                <w:color w:val="000000" w:themeColor="text1"/>
                <w:highlight w:val="none"/>
                <w:lang w:val="en-US" w:eastAsia="zh-CN"/>
              </w:rPr>
              <w:t>装</w:t>
            </w:r>
            <w:r>
              <w:rPr>
                <w:rFonts w:hint="eastAsia" w:ascii="宋体"/>
                <w:bCs/>
                <w:color w:val="000000" w:themeColor="text1"/>
                <w:highlight w:val="none"/>
              </w:rPr>
              <w:t>上均注明“于</w:t>
            </w:r>
            <w:r>
              <w:rPr>
                <w:rFonts w:hint="eastAsia" w:ascii="宋体"/>
                <w:bCs/>
                <w:color w:val="000000" w:themeColor="text1"/>
                <w:highlight w:val="none"/>
                <w:u w:val="single"/>
              </w:rPr>
              <w:t xml:space="preserve">     （投标截止时间）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bCs/>
                <w:color w:val="000000" w:themeColor="text1"/>
                <w:highlight w:val="none"/>
              </w:rPr>
            </w:pPr>
            <w:r>
              <w:rPr>
                <w:rFonts w:hint="eastAsia" w:ascii="宋体"/>
                <w:bCs/>
                <w:color w:val="000000" w:themeColor="text1"/>
                <w:highlight w:val="none"/>
              </w:rPr>
              <w:t>投标人未按上述规定对投标文件进行密封和加写标记，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r>
              <w:rPr>
                <w:b/>
                <w:bCs/>
                <w:color w:val="000000" w:themeColor="text1"/>
                <w:szCs w:val="21"/>
                <w:highlight w:val="none"/>
              </w:rPr>
              <w:t>所有投标文件密封袋的封口处应加盖投标人</w:t>
            </w:r>
            <w:r>
              <w:rPr>
                <w:rFonts w:hint="eastAsia"/>
                <w:b/>
                <w:bCs/>
                <w:color w:val="000000" w:themeColor="text1"/>
                <w:szCs w:val="21"/>
                <w:highlight w:val="none"/>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
                <w:color w:val="000000" w:themeColor="text1"/>
                <w:sz w:val="21"/>
                <w:szCs w:val="21"/>
                <w:highlight w:val="none"/>
              </w:rPr>
            </w:pPr>
            <w:r>
              <w:rPr>
                <w:rFonts w:hint="eastAsia"/>
                <w:b/>
                <w:color w:val="000000" w:themeColor="text1"/>
                <w:sz w:val="21"/>
                <w:szCs w:val="21"/>
                <w:highlight w:val="none"/>
              </w:rPr>
              <w:t>招标文件中打“★”号条款必须实质性响应，负偏离（不满足要求）将导致投标无效。</w:t>
            </w:r>
          </w:p>
          <w:p>
            <w:pPr>
              <w:pStyle w:val="6"/>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Cs/>
                <w:color w:val="000000" w:themeColor="text1"/>
                <w:highlight w:val="none"/>
              </w:rPr>
            </w:pPr>
            <w:r>
              <w:rPr>
                <w:rFonts w:hint="eastAsia"/>
                <w:b/>
                <w:color w:val="000000" w:themeColor="text1"/>
                <w:sz w:val="21"/>
                <w:szCs w:val="21"/>
                <w:highlight w:val="none"/>
              </w:rPr>
              <w:t>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1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3418" w:type="dxa"/>
            <w:gridSpan w:val="2"/>
            <w:vMerge w:val="restart"/>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中国政府采购网</w:t>
            </w:r>
          </w:p>
        </w:tc>
        <w:tc>
          <w:tcPr>
            <w:tcW w:w="36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ascii="宋体" w:hAnsi="宋体"/>
                <w:color w:val="000000" w:themeColor="text1"/>
                <w:szCs w:val="21"/>
                <w:highlight w:val="none"/>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pStyle w:val="6"/>
        <w:ind w:left="0" w:leftChars="0" w:firstLine="0" w:firstLineChars="0"/>
        <w:rPr>
          <w:rFonts w:hint="eastAsia"/>
          <w:color w:val="000000" w:themeColor="text1"/>
          <w:szCs w:val="21"/>
          <w:highlight w:val="none"/>
        </w:rPr>
      </w:pPr>
    </w:p>
    <w:p>
      <w:pPr>
        <w:pStyle w:val="6"/>
        <w:ind w:left="0" w:leftChars="0" w:firstLine="0" w:firstLineChars="0"/>
        <w:rPr>
          <w:rFonts w:hint="eastAsia"/>
          <w:color w:val="000000" w:themeColor="text1"/>
          <w:szCs w:val="21"/>
          <w:highlight w:val="none"/>
        </w:rPr>
      </w:pPr>
    </w:p>
    <w:p>
      <w:pPr>
        <w:pStyle w:val="5"/>
        <w:numPr>
          <w:ilvl w:val="0"/>
          <w:numId w:val="0"/>
        </w:numPr>
        <w:rPr>
          <w:color w:val="000000" w:themeColor="text1"/>
          <w:sz w:val="24"/>
          <w:highlight w:val="none"/>
        </w:rPr>
      </w:pPr>
      <w:bookmarkStart w:id="119" w:name="_Hlt21938668"/>
      <w:bookmarkEnd w:id="119"/>
      <w:bookmarkStart w:id="120" w:name="_Hlt21938665"/>
      <w:bookmarkEnd w:id="120"/>
      <w:bookmarkStart w:id="121" w:name="_Toc340677038"/>
      <w:bookmarkStart w:id="122" w:name="_Toc333237645"/>
      <w:bookmarkStart w:id="123" w:name="_Toc497224194"/>
      <w:bookmarkStart w:id="124" w:name="_Toc339441055"/>
      <w:bookmarkStart w:id="125" w:name="_Toc339019857"/>
      <w:bookmarkStart w:id="126" w:name="_Toc339020063"/>
      <w:bookmarkStart w:id="127" w:name="_Toc25271"/>
      <w:bookmarkStart w:id="128" w:name="_Toc350756418"/>
      <w:bookmarkStart w:id="129" w:name="_Toc336681548"/>
      <w:bookmarkStart w:id="130" w:name="_Toc331684006"/>
      <w:bookmarkStart w:id="131" w:name="_Toc503785396"/>
      <w:bookmarkStart w:id="132" w:name="_Toc336681903"/>
      <w:bookmarkStart w:id="133" w:name="_Toc345513835"/>
      <w:bookmarkStart w:id="134" w:name="_Toc341348306"/>
      <w:bookmarkStart w:id="135" w:name="_Toc333238601"/>
      <w:bookmarkStart w:id="136" w:name="_Toc342060342"/>
      <w:bookmarkStart w:id="137" w:name="_Toc350438717"/>
      <w:bookmarkStart w:id="138" w:name="_Toc333237756"/>
      <w:bookmarkStart w:id="139" w:name="_Toc339020201"/>
      <w:bookmarkStart w:id="140" w:name="_Toc331512866"/>
      <w:bookmarkStart w:id="141" w:name="_Toc339019983"/>
      <w:bookmarkStart w:id="142" w:name="_Toc333935314"/>
      <w:bookmarkStart w:id="143" w:name="_Toc330459953"/>
      <w:bookmarkStart w:id="144" w:name="_Toc342296728"/>
      <w:bookmarkStart w:id="145" w:name="_Toc333935655"/>
      <w:bookmarkStart w:id="146" w:name="_Toc349143557"/>
      <w:bookmarkStart w:id="147" w:name="_Toc332206676"/>
      <w:bookmarkStart w:id="148" w:name="_Toc337632326"/>
      <w:bookmarkStart w:id="149" w:name="_Toc339362268"/>
      <w:bookmarkStart w:id="150" w:name="_Toc349127594"/>
      <w:bookmarkStart w:id="151" w:name="_Toc332270314"/>
      <w:bookmarkStart w:id="152" w:name="_Toc340672837"/>
      <w:bookmarkStart w:id="153" w:name="_Toc340507410"/>
      <w:bookmarkStart w:id="154" w:name="_Toc365967041"/>
      <w:bookmarkStart w:id="155" w:name="_Toc365985147"/>
      <w:bookmarkStart w:id="156" w:name="_Toc366072496"/>
      <w:r>
        <w:rPr>
          <w:rFonts w:hint="eastAsia"/>
          <w:color w:val="000000" w:themeColor="text1"/>
          <w:sz w:val="24"/>
          <w:highlight w:val="none"/>
        </w:rPr>
        <w:t>Ａ说明</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7"/>
        <w:numPr>
          <w:ilvl w:val="4"/>
          <w:numId w:val="25"/>
        </w:numPr>
        <w:tabs>
          <w:tab w:val="left" w:pos="720"/>
        </w:tabs>
        <w:spacing w:before="240" w:after="120"/>
        <w:ind w:left="2432" w:hanging="2432"/>
        <w:rPr>
          <w:color w:val="000000" w:themeColor="text1"/>
          <w:highlight w:val="none"/>
        </w:rPr>
      </w:pPr>
      <w:bookmarkStart w:id="157" w:name="_Toc503785397"/>
      <w:bookmarkStart w:id="158" w:name="_Toc497224195"/>
      <w:bookmarkStart w:id="159" w:name="_Toc365967042"/>
      <w:bookmarkStart w:id="160" w:name="_Toc349143558"/>
      <w:bookmarkStart w:id="161" w:name="_Toc340507411"/>
      <w:bookmarkStart w:id="162" w:name="_Toc342060343"/>
      <w:bookmarkStart w:id="163" w:name="_Toc333237646"/>
      <w:bookmarkStart w:id="164" w:name="_Toc336681904"/>
      <w:bookmarkStart w:id="165" w:name="_Toc349127595"/>
      <w:bookmarkStart w:id="166" w:name="_Toc350756419"/>
      <w:bookmarkStart w:id="167" w:name="_Toc365985148"/>
      <w:bookmarkStart w:id="168" w:name="_Toc331684007"/>
      <w:bookmarkStart w:id="169" w:name="_Toc339019984"/>
      <w:bookmarkStart w:id="170" w:name="_Toc341348307"/>
      <w:bookmarkStart w:id="171" w:name="_Toc332206677"/>
      <w:bookmarkStart w:id="172" w:name="_Toc24420"/>
      <w:bookmarkStart w:id="173" w:name="_Toc340672838"/>
      <w:bookmarkStart w:id="174" w:name="_Toc337632327"/>
      <w:bookmarkStart w:id="175" w:name="_Toc333935656"/>
      <w:bookmarkStart w:id="176" w:name="_Toc339441056"/>
      <w:bookmarkStart w:id="177" w:name="_Toc350438718"/>
      <w:bookmarkStart w:id="178" w:name="_Toc333237757"/>
      <w:bookmarkStart w:id="179" w:name="_Toc342296729"/>
      <w:bookmarkStart w:id="180" w:name="_Toc340677039"/>
      <w:bookmarkStart w:id="181" w:name="_Toc345513836"/>
      <w:bookmarkStart w:id="182" w:name="_Toc339020064"/>
      <w:bookmarkStart w:id="183" w:name="_Toc366072497"/>
      <w:bookmarkStart w:id="184" w:name="_Toc333935315"/>
      <w:bookmarkStart w:id="185" w:name="_Toc339362269"/>
      <w:bookmarkStart w:id="186" w:name="_Toc339019858"/>
      <w:bookmarkStart w:id="187" w:name="_Toc333238602"/>
      <w:bookmarkStart w:id="188" w:name="_Toc339020202"/>
      <w:bookmarkStart w:id="189" w:name="_Toc336681549"/>
      <w:bookmarkStart w:id="190" w:name="_Toc330459954"/>
      <w:bookmarkStart w:id="191" w:name="_Toc331512867"/>
      <w:bookmarkStart w:id="192" w:name="_Toc332270315"/>
      <w:r>
        <w:rPr>
          <w:rFonts w:hint="eastAsia"/>
          <w:color w:val="000000" w:themeColor="text1"/>
          <w:highlight w:val="none"/>
        </w:rPr>
        <w:t>适用范围</w:t>
      </w:r>
      <w:bookmarkEnd w:id="157"/>
      <w:bookmarkEnd w:id="158"/>
      <w:r>
        <w:rPr>
          <w:rFonts w:hint="eastAsia"/>
          <w:color w:val="000000" w:themeColor="text1"/>
          <w:highlight w:val="none"/>
        </w:rPr>
        <w:t>和资金来源</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bookmarkStart w:id="193" w:name="_Toc349127596"/>
      <w:bookmarkStart w:id="194" w:name="_Toc337632328"/>
      <w:bookmarkStart w:id="195" w:name="_Toc333935316"/>
      <w:bookmarkStart w:id="196" w:name="_Toc497224196"/>
      <w:bookmarkStart w:id="197" w:name="_Toc333238603"/>
      <w:bookmarkStart w:id="198" w:name="_Toc331512868"/>
      <w:bookmarkStart w:id="199" w:name="_Toc330459955"/>
      <w:bookmarkStart w:id="200" w:name="_Toc340677040"/>
      <w:bookmarkStart w:id="201" w:name="_Toc339019985"/>
      <w:bookmarkStart w:id="202" w:name="_Toc366072498"/>
      <w:bookmarkStart w:id="203" w:name="_Toc342060344"/>
      <w:bookmarkStart w:id="204" w:name="_Toc336681905"/>
      <w:bookmarkStart w:id="205" w:name="_Toc350756420"/>
      <w:bookmarkStart w:id="206" w:name="_Toc342296730"/>
      <w:bookmarkStart w:id="207" w:name="_Toc332270316"/>
      <w:bookmarkStart w:id="208" w:name="_Toc341348308"/>
      <w:bookmarkStart w:id="209" w:name="_Toc340672839"/>
      <w:bookmarkStart w:id="210" w:name="_Toc333237758"/>
      <w:bookmarkStart w:id="211" w:name="_Toc365967043"/>
      <w:bookmarkStart w:id="212" w:name="_Toc339020203"/>
      <w:bookmarkStart w:id="213" w:name="_Toc339019859"/>
      <w:bookmarkStart w:id="214" w:name="_Toc374454571"/>
      <w:bookmarkStart w:id="215" w:name="_Toc503785398"/>
      <w:bookmarkStart w:id="216" w:name="_Toc340507412"/>
      <w:bookmarkStart w:id="217" w:name="_Toc350438719"/>
      <w:bookmarkStart w:id="218" w:name="_Toc339020065"/>
      <w:bookmarkStart w:id="219" w:name="_Toc333935657"/>
      <w:bookmarkStart w:id="220" w:name="_Toc336681550"/>
      <w:bookmarkStart w:id="221" w:name="_Toc332206678"/>
      <w:bookmarkStart w:id="222" w:name="_Toc365985149"/>
      <w:bookmarkStart w:id="223" w:name="_Toc339441057"/>
      <w:bookmarkStart w:id="224" w:name="_Toc331684008"/>
      <w:bookmarkStart w:id="225" w:name="_Toc333237647"/>
      <w:bookmarkStart w:id="226" w:name="_Toc349143559"/>
      <w:bookmarkStart w:id="227" w:name="_Toc339362270"/>
      <w:bookmarkStart w:id="228" w:name="_Toc345513837"/>
      <w:r>
        <w:rPr>
          <w:rFonts w:hint="eastAsia" w:ascii="宋体"/>
          <w:bCs/>
          <w:color w:val="000000" w:themeColor="text1"/>
          <w:highlight w:val="none"/>
        </w:rPr>
        <w:t>1</w:t>
      </w:r>
      <w:r>
        <w:rPr>
          <w:rFonts w:ascii="宋体"/>
          <w:bCs/>
          <w:color w:val="000000" w:themeColor="text1"/>
          <w:highlight w:val="none"/>
        </w:rPr>
        <w:t>.1</w:t>
      </w:r>
      <w:r>
        <w:rPr>
          <w:rFonts w:hint="eastAsia" w:ascii="宋体"/>
          <w:bCs/>
          <w:color w:val="000000" w:themeColor="text1"/>
          <w:highlight w:val="none"/>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3    本招标文件由代理采购机构负责解释。</w:t>
      </w:r>
    </w:p>
    <w:p>
      <w:pPr>
        <w:pStyle w:val="7"/>
        <w:numPr>
          <w:ilvl w:val="4"/>
          <w:numId w:val="25"/>
        </w:numPr>
        <w:tabs>
          <w:tab w:val="left" w:pos="720"/>
        </w:tabs>
        <w:spacing w:before="240" w:after="120"/>
        <w:ind w:left="2432" w:hanging="2432"/>
        <w:rPr>
          <w:color w:val="000000" w:themeColor="text1"/>
          <w:highlight w:val="none"/>
        </w:rPr>
      </w:pPr>
      <w:bookmarkStart w:id="229" w:name="_Toc1203"/>
      <w:r>
        <w:rPr>
          <w:rFonts w:hint="eastAsia"/>
          <w:color w:val="000000" w:themeColor="text1"/>
          <w:highlight w:val="none"/>
        </w:rPr>
        <w:t>定义</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2.1</w:t>
      </w:r>
      <w:r>
        <w:rPr>
          <w:rFonts w:ascii="宋体"/>
          <w:bCs/>
          <w:color w:val="000000" w:themeColor="text1"/>
          <w:highlight w:val="none"/>
        </w:rPr>
        <w:tab/>
      </w:r>
      <w:r>
        <w:rPr>
          <w:rFonts w:hint="eastAsia" w:ascii="宋体"/>
          <w:bCs/>
          <w:color w:val="000000" w:themeColor="text1"/>
          <w:highlight w:val="none"/>
        </w:rPr>
        <w:t>“代理采购机构”系指组织本次招标的</w:t>
      </w:r>
      <w:r>
        <w:rPr>
          <w:rFonts w:hint="eastAsia" w:ascii="宋体"/>
          <w:bCs/>
          <w:color w:val="000000" w:themeColor="text1"/>
          <w:highlight w:val="none"/>
          <w:lang w:eastAsia="zh-CN"/>
        </w:rPr>
        <w:t>广东业信招标有限公司</w:t>
      </w:r>
      <w:r>
        <w:rPr>
          <w:rFonts w:hint="eastAsia" w:ascii="宋体"/>
          <w:bCs/>
          <w:color w:val="000000" w:themeColor="text1"/>
          <w:highlight w:val="none"/>
        </w:rPr>
        <w:t>。</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bCs/>
          <w:color w:val="000000" w:themeColor="text1"/>
          <w:highlight w:val="none"/>
        </w:rPr>
        <w:t>2</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“投标人”系指</w:t>
      </w:r>
      <w:r>
        <w:rPr>
          <w:rFonts w:hint="eastAsia" w:ascii="宋体" w:hAnsi="宋体"/>
          <w:bCs/>
          <w:color w:val="000000" w:themeColor="text1"/>
          <w:highlight w:val="none"/>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rPr>
      </w:pPr>
      <w:r>
        <w:rPr>
          <w:rFonts w:hint="eastAsia" w:ascii="宋体"/>
          <w:bCs/>
          <w:color w:val="000000" w:themeColor="text1"/>
          <w:highlight w:val="none"/>
        </w:rPr>
        <w:t>2.3</w:t>
      </w:r>
      <w:r>
        <w:rPr>
          <w:rFonts w:hint="eastAsia" w:ascii="宋体"/>
          <w:bCs/>
          <w:color w:val="000000" w:themeColor="text1"/>
          <w:highlight w:val="none"/>
        </w:rPr>
        <w:tab/>
      </w:r>
      <w:r>
        <w:rPr>
          <w:rFonts w:hint="eastAsia" w:ascii="宋体"/>
          <w:bCs/>
          <w:color w:val="000000" w:themeColor="text1"/>
          <w:highlight w:val="none"/>
        </w:rPr>
        <w:t>“采购人”系指</w:t>
      </w:r>
      <w:r>
        <w:rPr>
          <w:rFonts w:hint="eastAsia" w:ascii="宋体"/>
          <w:bCs/>
          <w:color w:val="000000" w:themeColor="text1"/>
          <w:highlight w:val="none"/>
          <w:lang w:eastAsia="zh-CN"/>
        </w:rPr>
        <w:t>阳江市市场监督管理局江城分局</w:t>
      </w:r>
      <w:r>
        <w:rPr>
          <w:rFonts w:hint="eastAsia" w:ascii="宋体"/>
          <w:bCs/>
          <w:color w:val="000000" w:themeColor="text1"/>
          <w:highlight w:val="none"/>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bCs/>
          <w:color w:val="000000" w:themeColor="text1"/>
          <w:highlight w:val="none"/>
        </w:rPr>
        <w:t>2.4</w:t>
      </w:r>
      <w:r>
        <w:rPr>
          <w:rFonts w:hint="eastAsia" w:ascii="宋体"/>
          <w:bCs/>
          <w:color w:val="000000" w:themeColor="text1"/>
          <w:highlight w:val="none"/>
        </w:rPr>
        <w:tab/>
      </w:r>
      <w:r>
        <w:rPr>
          <w:rFonts w:hint="eastAsia" w:ascii="宋体"/>
          <w:bCs/>
          <w:color w:val="000000" w:themeColor="text1"/>
          <w:highlight w:val="none"/>
        </w:rPr>
        <w:t xml:space="preserve"> </w:t>
      </w:r>
      <w:r>
        <w:rPr>
          <w:rFonts w:ascii="宋体" w:hAnsi="宋体"/>
          <w:bCs/>
          <w:color w:val="000000" w:themeColor="text1"/>
          <w:highlight w:val="none"/>
        </w:rPr>
        <w:t>“</w:t>
      </w:r>
      <w:r>
        <w:rPr>
          <w:rFonts w:hint="eastAsia" w:ascii="宋体" w:hAnsi="宋体"/>
          <w:bCs/>
          <w:color w:val="000000" w:themeColor="text1"/>
          <w:highlight w:val="none"/>
        </w:rPr>
        <w:t>货物</w:t>
      </w:r>
      <w:r>
        <w:rPr>
          <w:rFonts w:ascii="宋体" w:hAnsi="宋体"/>
          <w:bCs/>
          <w:color w:val="000000" w:themeColor="text1"/>
          <w:highlight w:val="none"/>
        </w:rPr>
        <w:t>”</w:t>
      </w:r>
      <w:r>
        <w:rPr>
          <w:rFonts w:hint="eastAsia" w:ascii="宋体" w:hAnsi="宋体"/>
          <w:bCs/>
          <w:color w:val="000000" w:themeColor="text1"/>
          <w:highlight w:val="none"/>
        </w:rPr>
        <w:t>系指投标人根据招标文件规定，须向采购人提供的设备、材料、备品备件、工具、使用手册、软件及有关技术资料等。</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“日”系指日历天。</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“工作日”系指国家规定除法定节假日以外的以日</w:t>
      </w:r>
      <w:r>
        <w:rPr>
          <w:rFonts w:ascii="宋体" w:hAnsi="宋体"/>
          <w:bCs/>
          <w:color w:val="000000" w:themeColor="text1"/>
          <w:highlight w:val="none"/>
        </w:rPr>
        <w:t>为计算单位的工作时间</w:t>
      </w:r>
      <w:r>
        <w:rPr>
          <w:rFonts w:hint="eastAsia" w:ascii="宋体" w:hAnsi="宋体"/>
          <w:bCs/>
          <w:color w:val="000000" w:themeColor="text1"/>
          <w:highlight w:val="none"/>
        </w:rPr>
        <w:t>。</w:t>
      </w:r>
    </w:p>
    <w:p>
      <w:pPr>
        <w:pStyle w:val="7"/>
        <w:numPr>
          <w:ilvl w:val="4"/>
          <w:numId w:val="25"/>
        </w:numPr>
        <w:tabs>
          <w:tab w:val="left" w:pos="720"/>
        </w:tabs>
        <w:spacing w:before="240" w:after="120"/>
        <w:ind w:left="2432" w:hanging="2432"/>
        <w:rPr>
          <w:color w:val="000000" w:themeColor="text1"/>
          <w:highlight w:val="none"/>
        </w:rPr>
      </w:pPr>
      <w:bookmarkStart w:id="230" w:name="_Toc503785399"/>
      <w:bookmarkStart w:id="231" w:name="_Toc497224197"/>
      <w:bookmarkStart w:id="232" w:name="_Toc339441058"/>
      <w:bookmarkStart w:id="233" w:name="_Toc330459956"/>
      <w:bookmarkStart w:id="234" w:name="_Toc333237648"/>
      <w:bookmarkStart w:id="235" w:name="_Toc339020066"/>
      <w:bookmarkStart w:id="236" w:name="_Toc365967044"/>
      <w:bookmarkStart w:id="237" w:name="_Toc374454572"/>
      <w:bookmarkStart w:id="238" w:name="_Toc366072499"/>
      <w:bookmarkStart w:id="239" w:name="_Toc340507413"/>
      <w:bookmarkStart w:id="240" w:name="_Toc349143560"/>
      <w:bookmarkStart w:id="241" w:name="_Toc331684009"/>
      <w:bookmarkStart w:id="242" w:name="_Toc333237759"/>
      <w:bookmarkStart w:id="243" w:name="_Toc339362271"/>
      <w:bookmarkStart w:id="244" w:name="_Toc339019986"/>
      <w:bookmarkStart w:id="245" w:name="_Toc350756421"/>
      <w:bookmarkStart w:id="246" w:name="_Toc336681551"/>
      <w:bookmarkStart w:id="247" w:name="_Toc342296731"/>
      <w:bookmarkStart w:id="248" w:name="_Toc821"/>
      <w:bookmarkStart w:id="249" w:name="_Toc339019860"/>
      <w:bookmarkStart w:id="250" w:name="_Toc331512869"/>
      <w:bookmarkStart w:id="251" w:name="_Toc333238604"/>
      <w:bookmarkStart w:id="252" w:name="_Toc341348309"/>
      <w:bookmarkStart w:id="253" w:name="_Toc345513838"/>
      <w:bookmarkStart w:id="254" w:name="_Toc340677041"/>
      <w:bookmarkStart w:id="255" w:name="_Toc333935658"/>
      <w:bookmarkStart w:id="256" w:name="_Toc332206679"/>
      <w:bookmarkStart w:id="257" w:name="_Toc337632329"/>
      <w:bookmarkStart w:id="258" w:name="_Toc349127597"/>
      <w:bookmarkStart w:id="259" w:name="_Toc365985150"/>
      <w:bookmarkStart w:id="260" w:name="_Toc342060345"/>
      <w:bookmarkStart w:id="261" w:name="_Toc340672840"/>
      <w:bookmarkStart w:id="262" w:name="_Toc333935317"/>
      <w:bookmarkStart w:id="263" w:name="_Toc339020204"/>
      <w:bookmarkStart w:id="264" w:name="_Toc350438720"/>
      <w:bookmarkStart w:id="265" w:name="_Toc336681906"/>
      <w:bookmarkStart w:id="266" w:name="_Toc332270317"/>
      <w:r>
        <w:rPr>
          <w:rFonts w:hint="eastAsia"/>
          <w:color w:val="000000" w:themeColor="text1"/>
          <w:highlight w:val="none"/>
        </w:rPr>
        <w:t>合格的</w:t>
      </w:r>
      <w:bookmarkEnd w:id="230"/>
      <w:bookmarkEnd w:id="231"/>
      <w:r>
        <w:rPr>
          <w:rFonts w:hint="eastAsia"/>
          <w:color w:val="000000" w:themeColor="text1"/>
          <w:highlight w:val="none"/>
        </w:rPr>
        <w:t>投标人</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3.1</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国内有能力提供采购项目相关的工程、货物和服务且符合本项目合格投标人资格条件的投标人</w:t>
      </w:r>
      <w:r>
        <w:rPr>
          <w:rFonts w:hint="eastAsia" w:ascii="宋体"/>
          <w:bCs/>
          <w:color w:val="000000" w:themeColor="text1"/>
          <w:highlight w:val="none"/>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3.2</w:t>
      </w:r>
      <w:r>
        <w:rPr>
          <w:rFonts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3.5    </w:t>
      </w:r>
      <w:r>
        <w:rPr>
          <w:rFonts w:ascii="宋体" w:hAnsi="宋体"/>
          <w:bCs/>
          <w:color w:val="000000" w:themeColor="text1"/>
          <w:szCs w:val="21"/>
          <w:highlight w:val="none"/>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szCs w:val="21"/>
          <w:highlight w:val="none"/>
        </w:rPr>
        <w:t xml:space="preserve">3.6    </w:t>
      </w:r>
      <w:r>
        <w:rPr>
          <w:bCs/>
          <w:color w:val="000000" w:themeColor="text1"/>
          <w:szCs w:val="21"/>
          <w:highlight w:val="none"/>
        </w:rPr>
        <w:t>专门面向中小微企业采购的项目，只能由中小企业或微型企业参加。</w:t>
      </w:r>
    </w:p>
    <w:p>
      <w:pPr>
        <w:pStyle w:val="7"/>
        <w:numPr>
          <w:ilvl w:val="4"/>
          <w:numId w:val="25"/>
        </w:numPr>
        <w:tabs>
          <w:tab w:val="left" w:pos="720"/>
        </w:tabs>
        <w:spacing w:before="240" w:after="120"/>
        <w:ind w:left="2432" w:hanging="2432"/>
        <w:rPr>
          <w:color w:val="000000" w:themeColor="text1"/>
          <w:highlight w:val="none"/>
        </w:rPr>
      </w:pPr>
      <w:bookmarkStart w:id="267" w:name="_Toc349127598"/>
      <w:bookmarkStart w:id="268" w:name="_Toc333237760"/>
      <w:bookmarkStart w:id="269" w:name="_Toc331684010"/>
      <w:bookmarkStart w:id="270" w:name="_Toc333935659"/>
      <w:bookmarkStart w:id="271" w:name="_Toc332206680"/>
      <w:bookmarkStart w:id="272" w:name="_Toc331512870"/>
      <w:bookmarkStart w:id="273" w:name="_Toc337632330"/>
      <w:bookmarkStart w:id="274" w:name="_Toc349143561"/>
      <w:bookmarkStart w:id="275" w:name="_Toc336681552"/>
      <w:bookmarkStart w:id="276" w:name="_Toc366072500"/>
      <w:bookmarkStart w:id="277" w:name="_Toc503785400"/>
      <w:bookmarkStart w:id="278" w:name="_Toc339362272"/>
      <w:bookmarkStart w:id="279" w:name="_Toc330459957"/>
      <w:bookmarkStart w:id="280" w:name="_Toc342296732"/>
      <w:bookmarkStart w:id="281" w:name="_Toc333238605"/>
      <w:bookmarkStart w:id="282" w:name="_Toc350438721"/>
      <w:bookmarkStart w:id="283" w:name="_Toc333935318"/>
      <w:bookmarkStart w:id="284" w:name="_Toc350756422"/>
      <w:bookmarkStart w:id="285" w:name="_Toc365985151"/>
      <w:bookmarkStart w:id="286" w:name="_Toc339020205"/>
      <w:bookmarkStart w:id="287" w:name="_Toc339441059"/>
      <w:bookmarkStart w:id="288" w:name="_Toc345513839"/>
      <w:bookmarkStart w:id="289" w:name="_Toc336681907"/>
      <w:bookmarkStart w:id="290" w:name="_Toc340507414"/>
      <w:bookmarkStart w:id="291" w:name="_Toc333237649"/>
      <w:bookmarkStart w:id="292" w:name="_Toc332270318"/>
      <w:bookmarkStart w:id="293" w:name="_Toc340677042"/>
      <w:bookmarkStart w:id="294" w:name="_Toc15118"/>
      <w:bookmarkStart w:id="295" w:name="_Toc497224198"/>
      <w:bookmarkStart w:id="296" w:name="_Toc340672841"/>
      <w:bookmarkStart w:id="297" w:name="_Toc339019987"/>
      <w:bookmarkStart w:id="298" w:name="_Toc341348310"/>
      <w:bookmarkStart w:id="299" w:name="_Toc339019861"/>
      <w:bookmarkStart w:id="300" w:name="_Toc374454573"/>
      <w:bookmarkStart w:id="301" w:name="_Toc342060346"/>
      <w:bookmarkStart w:id="302" w:name="_Toc365967045"/>
      <w:bookmarkStart w:id="303" w:name="_Toc339020067"/>
      <w:r>
        <w:rPr>
          <w:rFonts w:hint="eastAsia"/>
          <w:color w:val="000000" w:themeColor="text1"/>
          <w:highlight w:val="none"/>
        </w:rPr>
        <w:t>投标费用</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4.1</w:t>
      </w:r>
      <w:r>
        <w:rPr>
          <w:rFonts w:hint="eastAsia" w:ascii="宋体"/>
          <w:bCs/>
          <w:color w:val="000000" w:themeColor="text1"/>
          <w:highlight w:val="none"/>
        </w:rPr>
        <w:tab/>
      </w:r>
      <w:r>
        <w:rPr>
          <w:rFonts w:hint="eastAsia" w:hAnsi="宋体"/>
          <w:color w:val="000000" w:themeColor="text1"/>
          <w:highlight w:val="none"/>
        </w:rPr>
        <w:t>投标人应承担所有与准备和参加投标有关的费用。不论投标的结果如何，代理采购机构和采购人均无义务和责任承担这些费用</w:t>
      </w:r>
      <w:r>
        <w:rPr>
          <w:rFonts w:hint="eastAsia" w:ascii="宋体"/>
          <w:bCs/>
          <w:color w:val="000000" w:themeColor="text1"/>
          <w:highlight w:val="none"/>
        </w:rPr>
        <w:t>。</w:t>
      </w:r>
      <w:bookmarkStart w:id="304" w:name="_Toc365985152"/>
      <w:bookmarkStart w:id="305" w:name="_Toc333237650"/>
      <w:bookmarkStart w:id="306" w:name="_Toc332206681"/>
      <w:bookmarkStart w:id="307" w:name="_Toc333935660"/>
      <w:bookmarkStart w:id="308" w:name="_Toc350756423"/>
      <w:bookmarkStart w:id="309" w:name="_Toc339020206"/>
      <w:bookmarkStart w:id="310" w:name="_Toc336681553"/>
      <w:bookmarkStart w:id="311" w:name="_Toc333238606"/>
      <w:bookmarkStart w:id="312" w:name="_Toc339441060"/>
      <w:bookmarkStart w:id="313" w:name="_Toc366072501"/>
      <w:bookmarkStart w:id="314" w:name="_Toc333237761"/>
      <w:bookmarkStart w:id="315" w:name="_Toc331512871"/>
      <w:bookmarkStart w:id="316" w:name="_Toc340677043"/>
      <w:bookmarkStart w:id="317" w:name="_Toc340672842"/>
      <w:bookmarkStart w:id="318" w:name="_Toc331684011"/>
      <w:bookmarkStart w:id="319" w:name="_Toc333935319"/>
      <w:bookmarkStart w:id="320" w:name="_Toc339020068"/>
      <w:bookmarkStart w:id="321" w:name="_Toc336681908"/>
      <w:bookmarkStart w:id="322" w:name="_Toc365967046"/>
      <w:bookmarkStart w:id="323" w:name="_Toc342060347"/>
      <w:bookmarkStart w:id="324" w:name="_Toc349127599"/>
      <w:bookmarkStart w:id="325" w:name="_Toc337632331"/>
      <w:bookmarkStart w:id="326" w:name="_Toc350438722"/>
      <w:bookmarkStart w:id="327" w:name="_Toc503785401"/>
      <w:bookmarkStart w:id="328" w:name="_Toc345513840"/>
      <w:bookmarkStart w:id="329" w:name="_Toc374454574"/>
      <w:bookmarkStart w:id="330" w:name="_Toc339019862"/>
      <w:bookmarkStart w:id="331" w:name="_Toc340507415"/>
      <w:bookmarkStart w:id="332" w:name="_Toc497224199"/>
      <w:bookmarkStart w:id="333" w:name="_Toc332270319"/>
      <w:bookmarkStart w:id="334" w:name="_Toc330459958"/>
      <w:bookmarkStart w:id="335" w:name="_Toc349143562"/>
      <w:bookmarkStart w:id="336" w:name="_Toc341348311"/>
      <w:bookmarkStart w:id="337" w:name="_Toc339019988"/>
      <w:bookmarkStart w:id="338" w:name="_Toc339362273"/>
      <w:bookmarkStart w:id="339" w:name="_Toc342296733"/>
    </w:p>
    <w:p>
      <w:pPr>
        <w:pStyle w:val="5"/>
        <w:numPr>
          <w:ilvl w:val="0"/>
          <w:numId w:val="0"/>
        </w:numPr>
        <w:rPr>
          <w:color w:val="000000" w:themeColor="text1"/>
          <w:sz w:val="24"/>
          <w:highlight w:val="none"/>
        </w:rPr>
      </w:pPr>
      <w:bookmarkStart w:id="340" w:name="_Toc15699"/>
      <w:r>
        <w:rPr>
          <w:rFonts w:hint="eastAsia"/>
          <w:color w:val="000000" w:themeColor="text1"/>
          <w:sz w:val="24"/>
          <w:highlight w:val="none"/>
        </w:rPr>
        <w:t>Ｂ招标文件说明</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7"/>
        <w:numPr>
          <w:ilvl w:val="4"/>
          <w:numId w:val="25"/>
        </w:numPr>
        <w:tabs>
          <w:tab w:val="left" w:pos="720"/>
        </w:tabs>
        <w:spacing w:before="240" w:after="120"/>
        <w:ind w:left="2432" w:hanging="2432"/>
        <w:rPr>
          <w:color w:val="000000" w:themeColor="text1"/>
          <w:highlight w:val="none"/>
        </w:rPr>
      </w:pPr>
      <w:bookmarkStart w:id="341" w:name="_Toc339020069"/>
      <w:bookmarkStart w:id="342" w:name="_Toc336681909"/>
      <w:bookmarkStart w:id="343" w:name="_Toc350756424"/>
      <w:bookmarkStart w:id="344" w:name="_Toc330459959"/>
      <w:bookmarkStart w:id="345" w:name="_Toc340672843"/>
      <w:bookmarkStart w:id="346" w:name="_Toc341348312"/>
      <w:bookmarkStart w:id="347" w:name="_Toc339019863"/>
      <w:bookmarkStart w:id="348" w:name="_Toc366072502"/>
      <w:bookmarkStart w:id="349" w:name="_Toc332270320"/>
      <w:bookmarkStart w:id="350" w:name="_Toc333237762"/>
      <w:bookmarkStart w:id="351" w:name="_Toc333935320"/>
      <w:bookmarkStart w:id="352" w:name="_Toc336681554"/>
      <w:bookmarkStart w:id="353" w:name="_Toc374454575"/>
      <w:bookmarkStart w:id="354" w:name="_Toc337632332"/>
      <w:bookmarkStart w:id="355" w:name="_Toc333237651"/>
      <w:bookmarkStart w:id="356" w:name="_Toc503785402"/>
      <w:bookmarkStart w:id="357" w:name="_Toc342060348"/>
      <w:bookmarkStart w:id="358" w:name="_Toc349143563"/>
      <w:bookmarkStart w:id="359" w:name="_Toc340677044"/>
      <w:bookmarkStart w:id="360" w:name="_Toc497224200"/>
      <w:bookmarkStart w:id="361" w:name="_Toc339362274"/>
      <w:bookmarkStart w:id="362" w:name="_Toc349127600"/>
      <w:bookmarkStart w:id="363" w:name="_Toc340507416"/>
      <w:bookmarkStart w:id="364" w:name="_Toc333935661"/>
      <w:bookmarkStart w:id="365" w:name="_Toc339019989"/>
      <w:bookmarkStart w:id="366" w:name="_Toc365967047"/>
      <w:bookmarkStart w:id="367" w:name="_Toc345513841"/>
      <w:bookmarkStart w:id="368" w:name="_Toc365985153"/>
      <w:bookmarkStart w:id="369" w:name="_Toc11590"/>
      <w:bookmarkStart w:id="370" w:name="_Toc331684012"/>
      <w:bookmarkStart w:id="371" w:name="_Toc350438723"/>
      <w:bookmarkStart w:id="372" w:name="_Toc333238607"/>
      <w:bookmarkStart w:id="373" w:name="_Toc339020207"/>
      <w:bookmarkStart w:id="374" w:name="_Toc332206682"/>
      <w:bookmarkStart w:id="375" w:name="_Toc339441061"/>
      <w:bookmarkStart w:id="376" w:name="_Toc331512872"/>
      <w:bookmarkStart w:id="377" w:name="_Toc342296734"/>
      <w:r>
        <w:rPr>
          <w:rFonts w:hint="eastAsia"/>
          <w:color w:val="000000" w:themeColor="text1"/>
          <w:highlight w:val="none"/>
        </w:rPr>
        <w:t>招标文件的构成</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5.1</w:t>
      </w:r>
      <w:r>
        <w:rPr>
          <w:rFonts w:ascii="宋体"/>
          <w:bCs/>
          <w:color w:val="000000" w:themeColor="text1"/>
          <w:highlight w:val="none"/>
        </w:rPr>
        <w:tab/>
      </w:r>
      <w:r>
        <w:rPr>
          <w:rFonts w:hint="eastAsia" w:ascii="宋体"/>
          <w:bCs/>
          <w:color w:val="000000" w:themeColor="text1"/>
          <w:highlight w:val="none"/>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招标文件以中文编印。</w:t>
      </w:r>
    </w:p>
    <w:p>
      <w:pPr>
        <w:pStyle w:val="7"/>
        <w:numPr>
          <w:ilvl w:val="4"/>
          <w:numId w:val="25"/>
        </w:numPr>
        <w:tabs>
          <w:tab w:val="left" w:pos="720"/>
        </w:tabs>
        <w:spacing w:before="240" w:after="120"/>
        <w:ind w:left="2432" w:hanging="2432"/>
        <w:rPr>
          <w:color w:val="000000" w:themeColor="text1"/>
          <w:highlight w:val="none"/>
        </w:rPr>
      </w:pPr>
      <w:bookmarkStart w:id="378" w:name="_Toc336681555"/>
      <w:bookmarkStart w:id="379" w:name="_Toc349127601"/>
      <w:bookmarkStart w:id="380" w:name="_Toc503785403"/>
      <w:bookmarkStart w:id="381" w:name="_Toc340672844"/>
      <w:bookmarkStart w:id="382" w:name="_Toc339020208"/>
      <w:bookmarkStart w:id="383" w:name="_Toc370388389"/>
      <w:bookmarkStart w:id="384" w:name="_Toc332270321"/>
      <w:bookmarkStart w:id="385" w:name="_Toc336681910"/>
      <w:bookmarkStart w:id="386" w:name="_Toc350438724"/>
      <w:bookmarkStart w:id="387" w:name="_Toc349143564"/>
      <w:bookmarkStart w:id="388" w:name="_Toc339019990"/>
      <w:bookmarkStart w:id="389" w:name="_Toc342296735"/>
      <w:bookmarkStart w:id="390" w:name="_Toc339019864"/>
      <w:bookmarkStart w:id="391" w:name="_Toc333935321"/>
      <w:bookmarkStart w:id="392" w:name="_Toc350756425"/>
      <w:bookmarkStart w:id="393" w:name="_Toc333935662"/>
      <w:bookmarkStart w:id="394" w:name="_Toc365985154"/>
      <w:bookmarkStart w:id="395" w:name="_Toc340677045"/>
      <w:bookmarkStart w:id="396" w:name="_Toc331684013"/>
      <w:bookmarkStart w:id="397" w:name="_Toc497224201"/>
      <w:bookmarkStart w:id="398" w:name="_Toc365967048"/>
      <w:bookmarkStart w:id="399" w:name="_Toc339441062"/>
      <w:bookmarkStart w:id="400" w:name="_Toc339362275"/>
      <w:bookmarkStart w:id="401" w:name="_Toc331512873"/>
      <w:bookmarkStart w:id="402" w:name="_Toc333238608"/>
      <w:bookmarkStart w:id="403" w:name="_Toc330459960"/>
      <w:bookmarkStart w:id="404" w:name="_Toc340507417"/>
      <w:bookmarkStart w:id="405" w:name="_Toc339020070"/>
      <w:bookmarkStart w:id="406" w:name="_Toc333237763"/>
      <w:bookmarkStart w:id="407" w:name="_Toc342060349"/>
      <w:bookmarkStart w:id="408" w:name="_Toc332206683"/>
      <w:bookmarkStart w:id="409" w:name="_Toc333237652"/>
      <w:bookmarkStart w:id="410" w:name="_Toc345513842"/>
      <w:bookmarkStart w:id="411" w:name="_Toc341348313"/>
      <w:bookmarkStart w:id="412" w:name="_Toc337632333"/>
      <w:bookmarkStart w:id="413" w:name="_Toc374454576"/>
      <w:bookmarkStart w:id="414" w:name="_Toc23704"/>
      <w:bookmarkStart w:id="415" w:name="_Toc503785405"/>
      <w:bookmarkStart w:id="416" w:name="_Toc497224203"/>
      <w:bookmarkStart w:id="417" w:name="_Toc349127603"/>
      <w:bookmarkStart w:id="418" w:name="_Toc350438726"/>
      <w:bookmarkStart w:id="419" w:name="_Toc340507419"/>
      <w:bookmarkStart w:id="420" w:name="_Toc349143566"/>
      <w:bookmarkStart w:id="421" w:name="_Toc332206685"/>
      <w:bookmarkStart w:id="422" w:name="_Toc350756427"/>
      <w:bookmarkStart w:id="423" w:name="_Toc341348315"/>
      <w:bookmarkStart w:id="424" w:name="_Toc339020072"/>
      <w:bookmarkStart w:id="425" w:name="_Toc330459962"/>
      <w:bookmarkStart w:id="426" w:name="_Toc339441064"/>
      <w:bookmarkStart w:id="427" w:name="_Toc331684015"/>
      <w:bookmarkStart w:id="428" w:name="_Toc340672846"/>
      <w:bookmarkStart w:id="429" w:name="_Toc337632335"/>
      <w:bookmarkStart w:id="430" w:name="_Toc333935664"/>
      <w:bookmarkStart w:id="431" w:name="_Toc336681557"/>
      <w:bookmarkStart w:id="432" w:name="_Toc366072505"/>
      <w:bookmarkStart w:id="433" w:name="_Toc332270323"/>
      <w:bookmarkStart w:id="434" w:name="_Toc336681912"/>
      <w:bookmarkStart w:id="435" w:name="_Toc339019866"/>
      <w:bookmarkStart w:id="436" w:name="_Toc342296737"/>
      <w:bookmarkStart w:id="437" w:name="_Toc365967050"/>
      <w:bookmarkStart w:id="438" w:name="_Toc345513844"/>
      <w:bookmarkStart w:id="439" w:name="_Toc333238610"/>
      <w:bookmarkStart w:id="440" w:name="_Toc333935323"/>
      <w:bookmarkStart w:id="441" w:name="_Toc365985156"/>
      <w:bookmarkStart w:id="442" w:name="_Toc333237654"/>
      <w:bookmarkStart w:id="443" w:name="_Toc339362277"/>
      <w:bookmarkStart w:id="444" w:name="_Toc340677047"/>
      <w:bookmarkStart w:id="445" w:name="_Toc339019992"/>
      <w:bookmarkStart w:id="446" w:name="_Toc333237765"/>
      <w:bookmarkStart w:id="447" w:name="_Toc331512875"/>
      <w:bookmarkStart w:id="448" w:name="_Toc339020210"/>
      <w:bookmarkStart w:id="449" w:name="_Toc342060351"/>
      <w:r>
        <w:rPr>
          <w:rFonts w:hint="eastAsia"/>
          <w:color w:val="000000" w:themeColor="text1"/>
          <w:highlight w:val="none"/>
        </w:rPr>
        <w:t>招标文件的澄清</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hint="eastAsia"/>
          <w:color w:val="000000" w:themeColor="text1"/>
          <w:highlight w:val="none"/>
        </w:rPr>
        <w:t>、修改</w:t>
      </w:r>
      <w:bookmarkEnd w:id="413"/>
      <w:bookmarkEnd w:id="414"/>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澄清或修改时间距投标截止时间不足15日的，采购人或代理采购机构在征得已获取招标文件的投标人同意并书面确认后，可不改变投标截止时间。</w:t>
      </w:r>
    </w:p>
    <w:p>
      <w:pPr>
        <w:pStyle w:val="5"/>
        <w:numPr>
          <w:ilvl w:val="0"/>
          <w:numId w:val="0"/>
        </w:numPr>
        <w:rPr>
          <w:color w:val="000000" w:themeColor="text1"/>
          <w:sz w:val="24"/>
          <w:highlight w:val="none"/>
        </w:rPr>
      </w:pPr>
      <w:bookmarkStart w:id="450" w:name="_Toc374454577"/>
      <w:r>
        <w:rPr>
          <w:color w:val="000000" w:themeColor="text1"/>
          <w:sz w:val="24"/>
          <w:highlight w:val="none"/>
        </w:rPr>
        <w:br w:type="page"/>
      </w:r>
      <w:bookmarkStart w:id="451" w:name="_Toc26325"/>
      <w:r>
        <w:rPr>
          <w:rFonts w:hint="eastAsia"/>
          <w:color w:val="000000" w:themeColor="text1"/>
          <w:sz w:val="24"/>
          <w:highlight w:val="none"/>
        </w:rPr>
        <w:t>Ｃ投标文件的编</w:t>
      </w:r>
      <w:bookmarkEnd w:id="415"/>
      <w:bookmarkEnd w:id="416"/>
      <w:r>
        <w:rPr>
          <w:rFonts w:hint="eastAsia"/>
          <w:color w:val="000000" w:themeColor="text1"/>
          <w:sz w:val="24"/>
          <w:highlight w:val="none"/>
        </w:rPr>
        <w:t>制</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7"/>
        <w:numPr>
          <w:ilvl w:val="4"/>
          <w:numId w:val="25"/>
        </w:numPr>
        <w:tabs>
          <w:tab w:val="left" w:pos="720"/>
        </w:tabs>
        <w:spacing w:before="240" w:after="120"/>
        <w:ind w:left="2432" w:hanging="2432"/>
        <w:rPr>
          <w:color w:val="000000" w:themeColor="text1"/>
          <w:highlight w:val="none"/>
        </w:rPr>
      </w:pPr>
      <w:bookmarkStart w:id="452" w:name="_Toc497224204"/>
      <w:bookmarkStart w:id="453" w:name="_Toc22461"/>
      <w:bookmarkStart w:id="454" w:name="_Toc349143567"/>
      <w:bookmarkStart w:id="455" w:name="_Toc339362278"/>
      <w:bookmarkStart w:id="456" w:name="_Toc350438727"/>
      <w:bookmarkStart w:id="457" w:name="_Toc333935324"/>
      <w:bookmarkStart w:id="458" w:name="_Toc342296738"/>
      <w:bookmarkStart w:id="459" w:name="_Toc345513845"/>
      <w:bookmarkStart w:id="460" w:name="_Toc365967051"/>
      <w:bookmarkStart w:id="461" w:name="_Toc331684016"/>
      <w:bookmarkStart w:id="462" w:name="_Toc333237766"/>
      <w:bookmarkStart w:id="463" w:name="_Toc350756428"/>
      <w:bookmarkStart w:id="464" w:name="_Toc339019867"/>
      <w:bookmarkStart w:id="465" w:name="_Toc366072506"/>
      <w:bookmarkStart w:id="466" w:name="_Toc330459963"/>
      <w:bookmarkStart w:id="467" w:name="_Toc332206686"/>
      <w:bookmarkStart w:id="468" w:name="_Toc349127604"/>
      <w:bookmarkStart w:id="469" w:name="_Toc333237655"/>
      <w:bookmarkStart w:id="470" w:name="_Toc340672847"/>
      <w:bookmarkStart w:id="471" w:name="_Toc374454578"/>
      <w:bookmarkStart w:id="472" w:name="_Toc339441065"/>
      <w:bookmarkStart w:id="473" w:name="_Toc339020211"/>
      <w:bookmarkStart w:id="474" w:name="_Toc341348316"/>
      <w:bookmarkStart w:id="475" w:name="_Toc331512876"/>
      <w:bookmarkStart w:id="476" w:name="_Toc342060352"/>
      <w:bookmarkStart w:id="477" w:name="_Toc340507420"/>
      <w:bookmarkStart w:id="478" w:name="_Toc333935665"/>
      <w:bookmarkStart w:id="479" w:name="_Toc337632336"/>
      <w:bookmarkStart w:id="480" w:name="_Toc340677048"/>
      <w:bookmarkStart w:id="481" w:name="_Toc333238611"/>
      <w:bookmarkStart w:id="482" w:name="_Toc332270324"/>
      <w:bookmarkStart w:id="483" w:name="_Toc339020073"/>
      <w:bookmarkStart w:id="484" w:name="_Toc336681558"/>
      <w:bookmarkStart w:id="485" w:name="_Toc339019993"/>
      <w:bookmarkStart w:id="486" w:name="_Toc336681913"/>
      <w:bookmarkStart w:id="487" w:name="_Toc365985157"/>
      <w:bookmarkStart w:id="488" w:name="_Toc503785406"/>
      <w:r>
        <w:rPr>
          <w:rFonts w:hint="eastAsia"/>
          <w:color w:val="000000" w:themeColor="text1"/>
          <w:highlight w:val="none"/>
        </w:rPr>
        <w:t>要求</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7</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7"/>
        <w:numPr>
          <w:ilvl w:val="4"/>
          <w:numId w:val="25"/>
        </w:numPr>
        <w:tabs>
          <w:tab w:val="left" w:pos="720"/>
        </w:tabs>
        <w:spacing w:before="240" w:after="120"/>
        <w:ind w:left="2432" w:hanging="2432"/>
        <w:rPr>
          <w:color w:val="000000" w:themeColor="text1"/>
          <w:highlight w:val="none"/>
        </w:rPr>
      </w:pPr>
      <w:bookmarkStart w:id="489" w:name="_Toc340677049"/>
      <w:bookmarkStart w:id="490" w:name="_Toc332206687"/>
      <w:bookmarkStart w:id="491" w:name="_Toc339020074"/>
      <w:bookmarkStart w:id="492" w:name="_Toc337632337"/>
      <w:bookmarkStart w:id="493" w:name="_Toc339019994"/>
      <w:bookmarkStart w:id="494" w:name="_Toc341348317"/>
      <w:bookmarkStart w:id="495" w:name="_Toc497224205"/>
      <w:bookmarkStart w:id="496" w:name="_Toc333237656"/>
      <w:bookmarkStart w:id="497" w:name="_Toc333935325"/>
      <w:bookmarkStart w:id="498" w:name="_Toc331684017"/>
      <w:bookmarkStart w:id="499" w:name="_Toc330459964"/>
      <w:bookmarkStart w:id="500" w:name="_Toc340672848"/>
      <w:bookmarkStart w:id="501" w:name="_Toc333237767"/>
      <w:bookmarkStart w:id="502" w:name="_Toc339441066"/>
      <w:bookmarkStart w:id="503" w:name="_Toc332270325"/>
      <w:bookmarkStart w:id="504" w:name="_Toc336681914"/>
      <w:bookmarkStart w:id="505" w:name="_Toc349143568"/>
      <w:bookmarkStart w:id="506" w:name="_Toc339020212"/>
      <w:bookmarkStart w:id="507" w:name="_Toc374454579"/>
      <w:bookmarkStart w:id="508" w:name="_Toc349127605"/>
      <w:bookmarkStart w:id="509" w:name="_Toc503785407"/>
      <w:bookmarkStart w:id="510" w:name="_Toc336681559"/>
      <w:bookmarkStart w:id="511" w:name="_Toc333935666"/>
      <w:bookmarkStart w:id="512" w:name="_Toc25045"/>
      <w:bookmarkStart w:id="513" w:name="_Toc345513846"/>
      <w:bookmarkStart w:id="514" w:name="_Toc342296739"/>
      <w:bookmarkStart w:id="515" w:name="_Toc333238612"/>
      <w:bookmarkStart w:id="516" w:name="_Toc342060353"/>
      <w:bookmarkStart w:id="517" w:name="_Toc365985158"/>
      <w:bookmarkStart w:id="518" w:name="_Toc366072507"/>
      <w:bookmarkStart w:id="519" w:name="_Toc339362279"/>
      <w:bookmarkStart w:id="520" w:name="_Toc350756429"/>
      <w:bookmarkStart w:id="521" w:name="_Toc331512877"/>
      <w:bookmarkStart w:id="522" w:name="_Toc365967052"/>
      <w:bookmarkStart w:id="523" w:name="_Toc339019868"/>
      <w:bookmarkStart w:id="524" w:name="_Toc340507421"/>
      <w:bookmarkStart w:id="525" w:name="_Toc350438728"/>
      <w:r>
        <w:rPr>
          <w:rFonts w:hint="eastAsia"/>
          <w:color w:val="000000" w:themeColor="text1"/>
          <w:highlight w:val="none"/>
        </w:rPr>
        <w:t>投标语言及计量单位</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除在招标文件的技术规格中另有规定外，计量单位应使用中华人民共和国法定计量单位</w:t>
      </w:r>
      <w:r>
        <w:rPr>
          <w:rFonts w:hint="eastAsia"/>
          <w:bCs/>
          <w:color w:val="000000" w:themeColor="text1"/>
          <w:highlight w:val="none"/>
        </w:rPr>
        <w:t>（国际单位制和国家选定的其他计量单位）</w:t>
      </w:r>
      <w:r>
        <w:rPr>
          <w:rFonts w:hint="eastAsia" w:ascii="宋体"/>
          <w:bCs/>
          <w:color w:val="000000" w:themeColor="text1"/>
          <w:highlight w:val="none"/>
        </w:rPr>
        <w:t>。</w:t>
      </w:r>
    </w:p>
    <w:p>
      <w:pPr>
        <w:pStyle w:val="7"/>
        <w:numPr>
          <w:ilvl w:val="4"/>
          <w:numId w:val="25"/>
        </w:numPr>
        <w:tabs>
          <w:tab w:val="left" w:pos="720"/>
        </w:tabs>
        <w:spacing w:before="240" w:after="120"/>
        <w:ind w:left="2432" w:hanging="2432"/>
        <w:rPr>
          <w:color w:val="000000" w:themeColor="text1"/>
          <w:highlight w:val="none"/>
        </w:rPr>
      </w:pPr>
      <w:bookmarkStart w:id="526" w:name="_Toc337632338"/>
      <w:bookmarkStart w:id="527" w:name="_Toc333238613"/>
      <w:bookmarkStart w:id="528" w:name="_Toc333237657"/>
      <w:bookmarkStart w:id="529" w:name="_Toc336681560"/>
      <w:bookmarkStart w:id="530" w:name="_Toc374454580"/>
      <w:bookmarkStart w:id="531" w:name="_Toc365967053"/>
      <w:bookmarkStart w:id="532" w:name="_Toc330459965"/>
      <w:bookmarkStart w:id="533" w:name="_Toc24176"/>
      <w:bookmarkStart w:id="534" w:name="_Toc339019995"/>
      <w:bookmarkStart w:id="535" w:name="_Toc503785408"/>
      <w:bookmarkStart w:id="536" w:name="_Toc340677050"/>
      <w:bookmarkStart w:id="537" w:name="_Toc497224206"/>
      <w:bookmarkStart w:id="538" w:name="_Toc342060354"/>
      <w:bookmarkStart w:id="539" w:name="_Toc349143569"/>
      <w:bookmarkStart w:id="540" w:name="_Toc331512878"/>
      <w:bookmarkStart w:id="541" w:name="_Toc336681915"/>
      <w:bookmarkStart w:id="542" w:name="_Toc350756430"/>
      <w:bookmarkStart w:id="543" w:name="_Toc365985159"/>
      <w:bookmarkStart w:id="544" w:name="_Toc340672849"/>
      <w:bookmarkStart w:id="545" w:name="_Toc332206688"/>
      <w:bookmarkStart w:id="546" w:name="_Toc342296740"/>
      <w:bookmarkStart w:id="547" w:name="_Toc349127606"/>
      <w:bookmarkStart w:id="548" w:name="_Toc340507422"/>
      <w:bookmarkStart w:id="549" w:name="_Toc339362280"/>
      <w:bookmarkStart w:id="550" w:name="_Toc341348318"/>
      <w:bookmarkStart w:id="551" w:name="_Toc333935326"/>
      <w:bookmarkStart w:id="552" w:name="_Toc332270326"/>
      <w:bookmarkStart w:id="553" w:name="_Toc366072508"/>
      <w:bookmarkStart w:id="554" w:name="_Toc350438729"/>
      <w:bookmarkStart w:id="555" w:name="_Toc333935667"/>
      <w:bookmarkStart w:id="556" w:name="_Toc339020213"/>
      <w:bookmarkStart w:id="557" w:name="_Toc339019869"/>
      <w:bookmarkStart w:id="558" w:name="_Toc345513847"/>
      <w:bookmarkStart w:id="559" w:name="_Toc339020075"/>
      <w:bookmarkStart w:id="560" w:name="_Toc331684018"/>
      <w:bookmarkStart w:id="561" w:name="_Toc333237768"/>
      <w:bookmarkStart w:id="562" w:name="_Toc339441067"/>
      <w:r>
        <w:rPr>
          <w:rFonts w:hint="eastAsia"/>
          <w:color w:val="000000" w:themeColor="text1"/>
          <w:highlight w:val="none"/>
        </w:rPr>
        <w:t>投标文件的构成</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widowControl/>
        <w:tabs>
          <w:tab w:val="left" w:pos="753"/>
        </w:tabs>
        <w:adjustRightInd w:val="0"/>
        <w:snapToGrid w:val="0"/>
        <w:spacing w:line="360" w:lineRule="auto"/>
        <w:rPr>
          <w:rFonts w:ascii="宋体"/>
          <w:bCs/>
          <w:color w:val="000000" w:themeColor="text1"/>
          <w:highlight w:val="none"/>
        </w:rPr>
      </w:pPr>
      <w:r>
        <w:rPr>
          <w:rFonts w:hint="eastAsia" w:ascii="宋体"/>
          <w:bCs/>
          <w:color w:val="000000" w:themeColor="text1"/>
          <w:highlight w:val="none"/>
        </w:rPr>
        <w:t>9</w:t>
      </w:r>
      <w:r>
        <w:rPr>
          <w:rFonts w:ascii="宋体"/>
          <w:bCs/>
          <w:color w:val="000000" w:themeColor="text1"/>
          <w:highlight w:val="none"/>
        </w:rPr>
        <w:t>.1</w:t>
      </w:r>
      <w:r>
        <w:rPr>
          <w:rFonts w:hint="eastAsia" w:ascii="宋体"/>
          <w:bCs/>
          <w:color w:val="000000" w:themeColor="text1"/>
          <w:highlight w:val="none"/>
        </w:rPr>
        <w:t xml:space="preserve">   投标文件包括：</w:t>
      </w:r>
    </w:p>
    <w:p>
      <w:pPr>
        <w:widowControl/>
        <w:adjustRightInd w:val="0"/>
        <w:snapToGrid w:val="0"/>
        <w:spacing w:line="360" w:lineRule="auto"/>
        <w:ind w:left="734"/>
        <w:rPr>
          <w:rFonts w:ascii="宋体" w:hAnsi="宋体"/>
          <w:bCs/>
          <w:color w:val="000000" w:themeColor="text1"/>
          <w:highlight w:val="none"/>
        </w:rPr>
      </w:pPr>
      <w:bookmarkStart w:id="563" w:name="_Toc497224207"/>
      <w:bookmarkStart w:id="564" w:name="_Toc503785409"/>
      <w:r>
        <w:rPr>
          <w:rFonts w:hint="eastAsia" w:ascii="宋体" w:hAnsi="宋体"/>
          <w:bCs/>
          <w:color w:val="000000" w:themeColor="text1"/>
          <w:highlight w:val="none"/>
        </w:rPr>
        <w:t>第一章 资格审查文件（含附件）</w:t>
      </w:r>
    </w:p>
    <w:p>
      <w:pPr>
        <w:widowControl/>
        <w:adjustRightInd w:val="0"/>
        <w:snapToGrid w:val="0"/>
        <w:spacing w:line="360" w:lineRule="auto"/>
        <w:ind w:left="734"/>
        <w:rPr>
          <w:rFonts w:ascii="宋体" w:hAnsi="宋体"/>
          <w:bCs/>
          <w:color w:val="000000" w:themeColor="text1"/>
          <w:highlight w:val="none"/>
        </w:rPr>
      </w:pPr>
      <w:r>
        <w:rPr>
          <w:rFonts w:hint="eastAsia" w:ascii="宋体" w:hAnsi="宋体"/>
          <w:bCs/>
          <w:color w:val="000000" w:themeColor="text1"/>
          <w:highlight w:val="none"/>
        </w:rPr>
        <w:t>第二章 商务和技术部分</w:t>
      </w:r>
    </w:p>
    <w:p>
      <w:pPr>
        <w:pStyle w:val="7"/>
        <w:numPr>
          <w:ilvl w:val="4"/>
          <w:numId w:val="25"/>
        </w:numPr>
        <w:tabs>
          <w:tab w:val="left" w:pos="720"/>
        </w:tabs>
        <w:spacing w:before="240" w:after="120"/>
        <w:ind w:left="2432" w:hanging="2432"/>
        <w:rPr>
          <w:color w:val="000000" w:themeColor="text1"/>
          <w:highlight w:val="none"/>
        </w:rPr>
      </w:pPr>
      <w:bookmarkStart w:id="565" w:name="_Toc365967054"/>
      <w:bookmarkStart w:id="566" w:name="_Toc336681561"/>
      <w:bookmarkStart w:id="567" w:name="_Toc339020214"/>
      <w:bookmarkStart w:id="568" w:name="_Toc332206689"/>
      <w:bookmarkStart w:id="569" w:name="_Toc365985160"/>
      <w:bookmarkStart w:id="570" w:name="_Toc336681916"/>
      <w:bookmarkStart w:id="571" w:name="_Toc337632339"/>
      <w:bookmarkStart w:id="572" w:name="_Toc340672850"/>
      <w:bookmarkStart w:id="573" w:name="_Toc333935327"/>
      <w:bookmarkStart w:id="574" w:name="_Toc339362281"/>
      <w:bookmarkStart w:id="575" w:name="_Toc16873"/>
      <w:bookmarkStart w:id="576" w:name="_Toc331512879"/>
      <w:bookmarkStart w:id="577" w:name="_Toc374454581"/>
      <w:bookmarkStart w:id="578" w:name="_Toc339019870"/>
      <w:bookmarkStart w:id="579" w:name="_Toc340507423"/>
      <w:bookmarkStart w:id="580" w:name="_Toc341348319"/>
      <w:bookmarkStart w:id="581" w:name="_Toc332270327"/>
      <w:bookmarkStart w:id="582" w:name="_Toc330459966"/>
      <w:bookmarkStart w:id="583" w:name="_Toc366072509"/>
      <w:bookmarkStart w:id="584" w:name="_Toc333935668"/>
      <w:bookmarkStart w:id="585" w:name="_Toc342296741"/>
      <w:bookmarkStart w:id="586" w:name="_Toc340677051"/>
      <w:bookmarkStart w:id="587" w:name="_Toc350756431"/>
      <w:bookmarkStart w:id="588" w:name="_Toc333237658"/>
      <w:bookmarkStart w:id="589" w:name="_Toc333237769"/>
      <w:bookmarkStart w:id="590" w:name="_Toc339441068"/>
      <w:bookmarkStart w:id="591" w:name="_Toc350438730"/>
      <w:bookmarkStart w:id="592" w:name="_Toc349143570"/>
      <w:bookmarkStart w:id="593" w:name="_Toc342060355"/>
      <w:bookmarkStart w:id="594" w:name="_Toc349127607"/>
      <w:bookmarkStart w:id="595" w:name="_Toc345513848"/>
      <w:bookmarkStart w:id="596" w:name="_Toc339020076"/>
      <w:bookmarkStart w:id="597" w:name="_Toc333238614"/>
      <w:bookmarkStart w:id="598" w:name="_Toc331684019"/>
      <w:bookmarkStart w:id="599" w:name="_Toc339019996"/>
      <w:r>
        <w:rPr>
          <w:rFonts w:hint="eastAsia"/>
          <w:color w:val="000000" w:themeColor="text1"/>
          <w:highlight w:val="none"/>
        </w:rPr>
        <w:t>投标文件格式</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 xml:space="preserve">   投标人应</w:t>
      </w:r>
      <w:r>
        <w:rPr>
          <w:rFonts w:hint="eastAsia" w:ascii="宋体" w:hAnsi="宋体"/>
          <w:bCs/>
          <w:color w:val="000000" w:themeColor="text1"/>
          <w:highlight w:val="none"/>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10.2 </w:t>
      </w:r>
      <w:r>
        <w:rPr>
          <w:rFonts w:hint="eastAsia" w:ascii="宋体" w:hAnsi="宋体"/>
          <w:bCs/>
          <w:color w:val="000000" w:themeColor="text1"/>
          <w:highlight w:val="none"/>
        </w:rPr>
        <w:tab/>
      </w:r>
      <w:r>
        <w:rPr>
          <w:rFonts w:hint="eastAsia" w:ascii="宋体" w:hAnsi="宋体"/>
          <w:bCs/>
          <w:color w:val="000000" w:themeColor="text1"/>
          <w:highlight w:val="none"/>
        </w:rPr>
        <w:tab/>
      </w:r>
      <w:r>
        <w:rPr>
          <w:rFonts w:hint="eastAsia" w:ascii="宋体" w:hAnsi="宋体"/>
          <w:bCs/>
          <w:color w:val="000000" w:themeColor="text1"/>
          <w:highlight w:val="none"/>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7"/>
        <w:numPr>
          <w:ilvl w:val="4"/>
          <w:numId w:val="25"/>
        </w:numPr>
        <w:tabs>
          <w:tab w:val="left" w:pos="720"/>
        </w:tabs>
        <w:spacing w:before="240" w:after="120"/>
        <w:ind w:left="2432" w:hanging="2432"/>
        <w:rPr>
          <w:color w:val="000000" w:themeColor="text1"/>
          <w:highlight w:val="none"/>
        </w:rPr>
      </w:pPr>
      <w:bookmarkStart w:id="600" w:name="_Toc365967055"/>
      <w:bookmarkStart w:id="601" w:name="_Toc331512880"/>
      <w:bookmarkStart w:id="602" w:name="_Toc339019997"/>
      <w:bookmarkStart w:id="603" w:name="_Toc350756432"/>
      <w:bookmarkStart w:id="604" w:name="_Toc336681562"/>
      <w:bookmarkStart w:id="605" w:name="_Toc332270328"/>
      <w:bookmarkStart w:id="606" w:name="_Toc340677052"/>
      <w:bookmarkStart w:id="607" w:name="_Toc349127608"/>
      <w:bookmarkStart w:id="608" w:name="_Toc333935328"/>
      <w:bookmarkStart w:id="609" w:name="_Toc339362282"/>
      <w:bookmarkStart w:id="610" w:name="_Toc333237770"/>
      <w:bookmarkStart w:id="611" w:name="_Toc333238615"/>
      <w:bookmarkStart w:id="612" w:name="_Toc350438731"/>
      <w:bookmarkStart w:id="613" w:name="_Toc342296742"/>
      <w:bookmarkStart w:id="614" w:name="_Toc331684020"/>
      <w:bookmarkStart w:id="615" w:name="_Toc333237659"/>
      <w:bookmarkStart w:id="616" w:name="_Toc336681917"/>
      <w:bookmarkStart w:id="617" w:name="_Toc330459967"/>
      <w:bookmarkStart w:id="618" w:name="_Toc19918"/>
      <w:bookmarkStart w:id="619" w:name="_Toc339020077"/>
      <w:bookmarkStart w:id="620" w:name="_Toc340507424"/>
      <w:bookmarkStart w:id="621" w:name="_Toc339019871"/>
      <w:bookmarkStart w:id="622" w:name="_Toc374454582"/>
      <w:bookmarkStart w:id="623" w:name="_Toc333935669"/>
      <w:bookmarkStart w:id="624" w:name="_Toc339020215"/>
      <w:bookmarkStart w:id="625" w:name="_Toc341348320"/>
      <w:bookmarkStart w:id="626" w:name="_Toc342060356"/>
      <w:bookmarkStart w:id="627" w:name="_Toc345513849"/>
      <w:bookmarkStart w:id="628" w:name="_Toc349143571"/>
      <w:bookmarkStart w:id="629" w:name="_Toc5003680"/>
      <w:bookmarkStart w:id="630" w:name="_Toc366072510"/>
      <w:bookmarkStart w:id="631" w:name="_Toc339441069"/>
      <w:bookmarkStart w:id="632" w:name="_Toc340672851"/>
      <w:bookmarkStart w:id="633" w:name="_Toc332206690"/>
      <w:bookmarkStart w:id="634" w:name="_Toc337632340"/>
      <w:bookmarkStart w:id="635" w:name="_Toc365985161"/>
      <w:r>
        <w:rPr>
          <w:rFonts w:hint="eastAsia"/>
          <w:color w:val="000000" w:themeColor="text1"/>
          <w:highlight w:val="none"/>
        </w:rPr>
        <w:t>资格证明文件</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11.1  </w:t>
      </w:r>
      <w:r>
        <w:rPr>
          <w:rFonts w:hint="eastAsia" w:ascii="宋体" w:hAnsi="宋体"/>
          <w:bCs/>
          <w:color w:val="000000" w:themeColor="text1"/>
          <w:highlight w:val="none"/>
        </w:rPr>
        <w:tab/>
      </w:r>
      <w:r>
        <w:rPr>
          <w:rFonts w:hint="eastAsia" w:ascii="宋体" w:hAnsi="宋体"/>
          <w:bCs/>
          <w:color w:val="000000" w:themeColor="text1"/>
          <w:highlight w:val="none"/>
        </w:rPr>
        <w:t>投标人应按招标文件的要求，提交其有资格参加投标和中标后有履行合同能力的文件，并作为其投标文件的组成部分，包括但不限于下列文件：</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投标人满足招标文件中列出的资格标准；</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7"/>
        <w:numPr>
          <w:ilvl w:val="4"/>
          <w:numId w:val="25"/>
        </w:numPr>
        <w:tabs>
          <w:tab w:val="left" w:pos="720"/>
        </w:tabs>
        <w:spacing w:before="240" w:after="120"/>
        <w:ind w:left="2432" w:hanging="2432"/>
        <w:rPr>
          <w:color w:val="000000" w:themeColor="text1"/>
          <w:highlight w:val="none"/>
        </w:rPr>
      </w:pPr>
      <w:bookmarkStart w:id="636" w:name="_Toc337632341"/>
      <w:bookmarkStart w:id="637" w:name="_Toc332206691"/>
      <w:bookmarkStart w:id="638" w:name="_Toc339020216"/>
      <w:bookmarkStart w:id="639" w:name="_Toc350756433"/>
      <w:bookmarkStart w:id="640" w:name="_Toc339362283"/>
      <w:bookmarkStart w:id="641" w:name="_Toc339020078"/>
      <w:bookmarkStart w:id="642" w:name="_Toc366072511"/>
      <w:bookmarkStart w:id="643" w:name="_Toc159"/>
      <w:bookmarkStart w:id="644" w:name="_Toc336681563"/>
      <w:bookmarkStart w:id="645" w:name="_Toc331684021"/>
      <w:bookmarkStart w:id="646" w:name="_Toc333935329"/>
      <w:bookmarkStart w:id="647" w:name="_Toc339441070"/>
      <w:bookmarkStart w:id="648" w:name="_Toc333238616"/>
      <w:bookmarkStart w:id="649" w:name="_Toc336681918"/>
      <w:bookmarkStart w:id="650" w:name="_Toc341348321"/>
      <w:bookmarkStart w:id="651" w:name="_Toc350438732"/>
      <w:bookmarkStart w:id="652" w:name="_Toc333935670"/>
      <w:bookmarkStart w:id="653" w:name="_Toc339019872"/>
      <w:bookmarkStart w:id="654" w:name="_Toc333237771"/>
      <w:bookmarkStart w:id="655" w:name="_Toc342060357"/>
      <w:bookmarkStart w:id="656" w:name="_Toc330459968"/>
      <w:bookmarkStart w:id="657" w:name="_Toc332270329"/>
      <w:bookmarkStart w:id="658" w:name="_Toc374454583"/>
      <w:bookmarkStart w:id="659" w:name="_Toc342296743"/>
      <w:bookmarkStart w:id="660" w:name="_Toc349143572"/>
      <w:bookmarkStart w:id="661" w:name="_Toc340672852"/>
      <w:bookmarkStart w:id="662" w:name="_Toc365985162"/>
      <w:bookmarkStart w:id="663" w:name="_Toc349127609"/>
      <w:bookmarkStart w:id="664" w:name="_Toc365967056"/>
      <w:bookmarkStart w:id="665" w:name="_Toc340507425"/>
      <w:bookmarkStart w:id="666" w:name="_Toc5003681"/>
      <w:bookmarkStart w:id="667" w:name="_Toc333237660"/>
      <w:bookmarkStart w:id="668" w:name="_Toc340677053"/>
      <w:bookmarkStart w:id="669" w:name="_Toc345513850"/>
      <w:bookmarkStart w:id="670" w:name="_Toc331512881"/>
      <w:bookmarkStart w:id="671" w:name="_Toc339019998"/>
      <w:r>
        <w:rPr>
          <w:rFonts w:hint="eastAsia"/>
          <w:color w:val="000000" w:themeColor="text1"/>
          <w:highlight w:val="none"/>
        </w:rPr>
        <w:t>货物和服务的证明文件</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 xml:space="preserve">12.1 </w:t>
      </w:r>
      <w:r>
        <w:rPr>
          <w:rFonts w:hint="eastAsia" w:ascii="宋体" w:hAnsi="宋体"/>
          <w:bCs/>
          <w:color w:val="000000" w:themeColor="text1"/>
          <w:highlight w:val="none"/>
        </w:rPr>
        <w:tab/>
      </w:r>
      <w:r>
        <w:rPr>
          <w:rFonts w:hint="eastAsia" w:ascii="宋体" w:hAnsi="宋体"/>
          <w:bCs/>
          <w:color w:val="000000" w:themeColor="text1"/>
          <w:highlight w:val="none"/>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12.2</w:t>
      </w:r>
      <w:r>
        <w:rPr>
          <w:rFonts w:hint="eastAsia" w:ascii="宋体" w:hAnsi="宋体"/>
          <w:bCs/>
          <w:color w:val="000000" w:themeColor="text1"/>
          <w:highlight w:val="none"/>
        </w:rPr>
        <w:tab/>
      </w:r>
      <w:r>
        <w:rPr>
          <w:rFonts w:hint="eastAsia" w:ascii="宋体" w:hAnsi="宋体"/>
          <w:bCs/>
          <w:color w:val="000000" w:themeColor="text1"/>
          <w:highlight w:val="none"/>
        </w:rPr>
        <w:t xml:space="preserve"> 证明货物和服务与招标文件的要求相一致的文件，它可以是文字资料、图纸、手册和数据，包括：</w:t>
      </w:r>
    </w:p>
    <w:p>
      <w:pPr>
        <w:numPr>
          <w:ilvl w:val="5"/>
          <w:numId w:val="25"/>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货物主要技术指标和性能的详细说明。</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货物从采购人开始使用至招标要求中规定的周期内正常、连续地使用所必须的备件和专用工具清单，包括备件和专用工具的货源及现行价格。</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12.3</w:t>
      </w:r>
      <w:r>
        <w:rPr>
          <w:rFonts w:hint="eastAsia" w:ascii="宋体" w:hAnsi="宋体"/>
          <w:bCs/>
          <w:color w:val="000000" w:themeColor="text1"/>
          <w:highlight w:val="none"/>
        </w:rPr>
        <w:tab/>
      </w:r>
      <w:r>
        <w:rPr>
          <w:rFonts w:hint="eastAsia" w:ascii="宋体" w:hAnsi="宋体"/>
          <w:bCs/>
          <w:color w:val="000000" w:themeColor="text1"/>
          <w:highlight w:val="none"/>
        </w:rPr>
        <w:t xml:space="preserve"> </w:t>
      </w:r>
      <w:r>
        <w:rPr>
          <w:rFonts w:hint="eastAsia"/>
          <w:color w:val="000000" w:themeColor="text1"/>
          <w:highlight w:val="none"/>
        </w:rPr>
        <w:t>投标人在阐述上述第</w:t>
      </w:r>
      <w:r>
        <w:rPr>
          <w:rFonts w:hint="eastAsia" w:ascii="宋体" w:hAnsi="宋体"/>
          <w:color w:val="000000" w:themeColor="text1"/>
          <w:highlight w:val="none"/>
        </w:rPr>
        <w:t>12.2（3）</w:t>
      </w:r>
      <w:r>
        <w:rPr>
          <w:rFonts w:hint="eastAsia"/>
          <w:color w:val="000000" w:themeColor="text1"/>
          <w:highlight w:val="none"/>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color w:val="000000" w:themeColor="text1"/>
          <w:highlight w:val="none"/>
        </w:rPr>
        <w:t>12.4   评标委员会对投标人所提供的证明货物和服务的合格性的文件进行审查，审查不合格的投标将作为无效投标处理。</w:t>
      </w:r>
    </w:p>
    <w:p>
      <w:pPr>
        <w:pStyle w:val="7"/>
        <w:numPr>
          <w:ilvl w:val="4"/>
          <w:numId w:val="25"/>
        </w:numPr>
        <w:tabs>
          <w:tab w:val="left" w:pos="720"/>
        </w:tabs>
        <w:spacing w:before="240" w:after="120"/>
        <w:ind w:left="2432" w:hanging="2432"/>
        <w:rPr>
          <w:color w:val="000000" w:themeColor="text1"/>
          <w:highlight w:val="none"/>
        </w:rPr>
      </w:pPr>
      <w:bookmarkStart w:id="672" w:name="_Toc342296744"/>
      <w:bookmarkStart w:id="673" w:name="_Toc339020217"/>
      <w:bookmarkStart w:id="674" w:name="_Toc333238617"/>
      <w:bookmarkStart w:id="675" w:name="_Toc365967057"/>
      <w:bookmarkStart w:id="676" w:name="_Toc350438733"/>
      <w:bookmarkStart w:id="677" w:name="_Toc331512882"/>
      <w:bookmarkStart w:id="678" w:name="_Toc349127610"/>
      <w:bookmarkStart w:id="679" w:name="_Toc340677054"/>
      <w:bookmarkStart w:id="680" w:name="_Toc350756434"/>
      <w:bookmarkStart w:id="681" w:name="_Toc333935671"/>
      <w:bookmarkStart w:id="682" w:name="_Toc340672853"/>
      <w:bookmarkStart w:id="683" w:name="_Toc339019873"/>
      <w:bookmarkStart w:id="684" w:name="_Toc340507426"/>
      <w:bookmarkStart w:id="685" w:name="_Toc503785411"/>
      <w:bookmarkStart w:id="686" w:name="_Toc337632342"/>
      <w:bookmarkStart w:id="687" w:name="_Toc330459969"/>
      <w:bookmarkStart w:id="688" w:name="_Toc332206692"/>
      <w:bookmarkStart w:id="689" w:name="_Toc339362284"/>
      <w:bookmarkStart w:id="690" w:name="_Toc345513851"/>
      <w:bookmarkStart w:id="691" w:name="_Toc14425"/>
      <w:bookmarkStart w:id="692" w:name="_Toc333935330"/>
      <w:bookmarkStart w:id="693" w:name="_Toc333237661"/>
      <w:bookmarkStart w:id="694" w:name="_Toc336681564"/>
      <w:bookmarkStart w:id="695" w:name="_Toc341348322"/>
      <w:bookmarkStart w:id="696" w:name="_Toc497224209"/>
      <w:bookmarkStart w:id="697" w:name="_Toc333237772"/>
      <w:bookmarkStart w:id="698" w:name="_Toc332270330"/>
      <w:bookmarkStart w:id="699" w:name="_Toc374454584"/>
      <w:bookmarkStart w:id="700" w:name="_Toc365985163"/>
      <w:bookmarkStart w:id="701" w:name="_Toc339441071"/>
      <w:bookmarkStart w:id="702" w:name="_Toc339019999"/>
      <w:bookmarkStart w:id="703" w:name="_Toc366072512"/>
      <w:bookmarkStart w:id="704" w:name="_Toc336681919"/>
      <w:bookmarkStart w:id="705" w:name="_Toc339020079"/>
      <w:bookmarkStart w:id="706" w:name="_Toc342060358"/>
      <w:bookmarkStart w:id="707" w:name="_Toc331684022"/>
      <w:bookmarkStart w:id="708" w:name="_Toc349143573"/>
      <w:r>
        <w:rPr>
          <w:rFonts w:hint="eastAsia"/>
          <w:color w:val="000000" w:themeColor="text1"/>
          <w:highlight w:val="none"/>
        </w:rPr>
        <w:t>投标报价与投标货币</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13.1</w:t>
      </w:r>
      <w:r>
        <w:rPr>
          <w:rFonts w:hint="eastAsia" w:ascii="宋体" w:hAnsi="宋体"/>
          <w:color w:val="000000" w:themeColor="text1"/>
          <w:highlight w:val="none"/>
        </w:rPr>
        <w:tab/>
      </w:r>
      <w:r>
        <w:rPr>
          <w:rFonts w:hint="eastAsia" w:ascii="宋体" w:hAnsi="宋体"/>
          <w:color w:val="000000" w:themeColor="text1"/>
          <w:highlight w:val="none"/>
        </w:rPr>
        <w:t xml:space="preserve"> 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13.2   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13.3</w:t>
      </w:r>
      <w:r>
        <w:rPr>
          <w:rFonts w:hint="eastAsia" w:ascii="宋体" w:hAnsi="宋体"/>
          <w:color w:val="000000" w:themeColor="text1"/>
          <w:highlight w:val="none"/>
        </w:rPr>
        <w:tab/>
      </w:r>
      <w:r>
        <w:rPr>
          <w:rFonts w:hint="eastAsia" w:ascii="宋体" w:hAnsi="宋体"/>
          <w:color w:val="000000" w:themeColor="text1"/>
          <w:highlight w:val="none"/>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13.6   投标人在投标文件中如有任何遗漏，影响到招标文件中规定的范围、质量、性能和项目的实施或限制了采购人的权利和投标人的义务，由此产生的费用由投标人负责。</w:t>
      </w:r>
    </w:p>
    <w:p>
      <w:pPr>
        <w:pStyle w:val="7"/>
        <w:numPr>
          <w:ilvl w:val="4"/>
          <w:numId w:val="25"/>
        </w:numPr>
        <w:tabs>
          <w:tab w:val="left" w:pos="720"/>
        </w:tabs>
        <w:spacing w:before="240" w:after="120"/>
        <w:ind w:left="2432" w:hanging="2432"/>
        <w:rPr>
          <w:color w:val="000000" w:themeColor="text1"/>
          <w:highlight w:val="none"/>
        </w:rPr>
      </w:pPr>
      <w:bookmarkStart w:id="709" w:name="_Toc339020080"/>
      <w:bookmarkStart w:id="710" w:name="_Toc365967058"/>
      <w:bookmarkStart w:id="711" w:name="_Toc339362285"/>
      <w:bookmarkStart w:id="712" w:name="_Toc374454585"/>
      <w:bookmarkStart w:id="713" w:name="_Toc339019874"/>
      <w:bookmarkStart w:id="714" w:name="_Toc333237773"/>
      <w:bookmarkStart w:id="715" w:name="_Toc366072513"/>
      <w:bookmarkStart w:id="716" w:name="_Toc341348323"/>
      <w:bookmarkStart w:id="717" w:name="_Toc336681565"/>
      <w:bookmarkStart w:id="718" w:name="_Toc349143574"/>
      <w:bookmarkStart w:id="719" w:name="_Toc336681920"/>
      <w:bookmarkStart w:id="720" w:name="_Toc331512883"/>
      <w:bookmarkStart w:id="721" w:name="_Toc337632343"/>
      <w:bookmarkStart w:id="722" w:name="_Toc350438734"/>
      <w:bookmarkStart w:id="723" w:name="_Toc340507427"/>
      <w:bookmarkStart w:id="724" w:name="_Toc339020000"/>
      <w:bookmarkStart w:id="725" w:name="_Toc349127611"/>
      <w:bookmarkStart w:id="726" w:name="_Toc333238618"/>
      <w:bookmarkStart w:id="727" w:name="_Toc503785414"/>
      <w:bookmarkStart w:id="728" w:name="_Toc365985164"/>
      <w:bookmarkStart w:id="729" w:name="_Toc331684023"/>
      <w:bookmarkStart w:id="730" w:name="_Toc342060359"/>
      <w:bookmarkStart w:id="731" w:name="_Toc340672854"/>
      <w:bookmarkStart w:id="732" w:name="_Toc333237662"/>
      <w:bookmarkStart w:id="733" w:name="_Toc26006"/>
      <w:bookmarkStart w:id="734" w:name="_Toc333935331"/>
      <w:bookmarkStart w:id="735" w:name="_Toc345513852"/>
      <w:bookmarkStart w:id="736" w:name="_Toc330459970"/>
      <w:bookmarkStart w:id="737" w:name="_Toc333935672"/>
      <w:bookmarkStart w:id="738" w:name="_Toc342296745"/>
      <w:bookmarkStart w:id="739" w:name="_Toc332270331"/>
      <w:bookmarkStart w:id="740" w:name="_Toc350756435"/>
      <w:bookmarkStart w:id="741" w:name="_Toc497224212"/>
      <w:bookmarkStart w:id="742" w:name="_Toc340677055"/>
      <w:bookmarkStart w:id="743" w:name="_Toc339441072"/>
      <w:bookmarkStart w:id="744" w:name="_Toc332206693"/>
      <w:bookmarkStart w:id="745" w:name="_Toc339020218"/>
      <w:r>
        <w:rPr>
          <w:rFonts w:hint="eastAsia"/>
          <w:color w:val="000000" w:themeColor="text1"/>
          <w:highlight w:val="none"/>
        </w:rPr>
        <w:t>投标保证金</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color w:val="000000" w:themeColor="text1"/>
          <w:highlight w:val="none"/>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bCs/>
          <w:color w:val="000000" w:themeColor="text1"/>
          <w:highlight w:val="none"/>
        </w:rPr>
        <w:t>14.3</w:t>
      </w:r>
      <w:r>
        <w:rPr>
          <w:rFonts w:hint="eastAsia" w:ascii="宋体"/>
          <w:bCs/>
          <w:color w:val="000000" w:themeColor="text1"/>
          <w:highlight w:val="none"/>
        </w:rPr>
        <w:tab/>
      </w:r>
      <w:r>
        <w:rPr>
          <w:rFonts w:hint="eastAsia" w:ascii="宋体"/>
          <w:bCs/>
          <w:color w:val="000000" w:themeColor="text1"/>
          <w:highlight w:val="none"/>
        </w:rPr>
        <w:t>投标保证金用于保护本次招标免遭因投标人的行为而蒙受的损失。</w:t>
      </w:r>
      <w:r>
        <w:rPr>
          <w:rFonts w:hint="eastAsia" w:ascii="宋体" w:hAnsi="宋体"/>
          <w:color w:val="000000" w:themeColor="text1"/>
          <w:highlight w:val="none"/>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hAnsi="宋体"/>
          <w:bCs/>
          <w:color w:val="000000" w:themeColor="text1"/>
          <w:highlight w:val="none"/>
        </w:rPr>
        <w:t>凡未按本须知第14.2条规定随附有效投标保证金的投标</w:t>
      </w:r>
      <w:r>
        <w:rPr>
          <w:rFonts w:ascii="宋体" w:hAnsi="宋体"/>
          <w:bCs/>
          <w:color w:val="000000" w:themeColor="text1"/>
          <w:highlight w:val="none"/>
        </w:rPr>
        <w:t>,</w:t>
      </w:r>
      <w:r>
        <w:rPr>
          <w:rFonts w:hint="eastAsia" w:ascii="宋体" w:hAnsi="宋体"/>
          <w:bCs/>
          <w:color w:val="000000" w:themeColor="text1"/>
          <w:highlight w:val="none"/>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5</w:t>
      </w:r>
      <w:r>
        <w:rPr>
          <w:rFonts w:ascii="宋体"/>
          <w:bCs/>
          <w:color w:val="000000" w:themeColor="text1"/>
          <w:highlight w:val="none"/>
        </w:rPr>
        <w:tab/>
      </w:r>
      <w:r>
        <w:rPr>
          <w:rFonts w:hint="eastAsia" w:ascii="宋体" w:hAnsi="宋体"/>
          <w:bCs/>
          <w:color w:val="000000" w:themeColor="text1"/>
          <w:highlight w:val="none"/>
        </w:rPr>
        <w:t>未中标的投标人的投标保证金，采购</w:t>
      </w:r>
      <w:r>
        <w:rPr>
          <w:rFonts w:hint="eastAsia" w:ascii="宋体" w:hAnsi="宋体"/>
          <w:bCs/>
          <w:color w:val="000000" w:themeColor="text1"/>
          <w:szCs w:val="21"/>
          <w:highlight w:val="none"/>
        </w:rPr>
        <w:t>代理</w:t>
      </w:r>
      <w:r>
        <w:rPr>
          <w:rFonts w:hint="eastAsia" w:ascii="宋体" w:hAnsi="宋体"/>
          <w:bCs/>
          <w:color w:val="000000" w:themeColor="text1"/>
          <w:highlight w:val="none"/>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6</w:t>
      </w:r>
      <w:r>
        <w:rPr>
          <w:rFonts w:ascii="宋体"/>
          <w:bCs/>
          <w:color w:val="000000" w:themeColor="text1"/>
          <w:highlight w:val="none"/>
        </w:rPr>
        <w:tab/>
      </w:r>
      <w:r>
        <w:rPr>
          <w:rFonts w:hint="eastAsia" w:ascii="宋体" w:hAnsi="宋体"/>
          <w:bCs/>
          <w:color w:val="000000" w:themeColor="text1"/>
          <w:highlight w:val="none"/>
        </w:rPr>
        <w:t>中标投标人的投标保证金</w:t>
      </w:r>
      <w:r>
        <w:rPr>
          <w:rFonts w:ascii="宋体" w:hAnsi="宋体"/>
          <w:bCs/>
          <w:color w:val="000000" w:themeColor="text1"/>
          <w:highlight w:val="none"/>
        </w:rPr>
        <w:t>，</w:t>
      </w:r>
      <w:r>
        <w:rPr>
          <w:rFonts w:hint="eastAsia" w:ascii="宋体" w:hAnsi="宋体"/>
          <w:bCs/>
          <w:color w:val="000000" w:themeColor="text1"/>
          <w:highlight w:val="none"/>
        </w:rPr>
        <w:t>在中标投标人付清中标服务费、签订合同之日起5个工作日内无息退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7</w:t>
      </w:r>
      <w:r>
        <w:rPr>
          <w:rFonts w:ascii="宋体"/>
          <w:bCs/>
          <w:color w:val="000000" w:themeColor="text1"/>
          <w:highlight w:val="none"/>
        </w:rPr>
        <w:tab/>
      </w:r>
      <w:r>
        <w:rPr>
          <w:rFonts w:hint="eastAsia" w:ascii="宋体"/>
          <w:bCs/>
          <w:color w:val="000000" w:themeColor="text1"/>
          <w:highlight w:val="none"/>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（4）投标人提供虚假投标文件或虚假补充文件的。</w:t>
      </w:r>
    </w:p>
    <w:p>
      <w:pPr>
        <w:pStyle w:val="7"/>
        <w:numPr>
          <w:ilvl w:val="4"/>
          <w:numId w:val="25"/>
        </w:numPr>
        <w:tabs>
          <w:tab w:val="left" w:pos="720"/>
        </w:tabs>
        <w:spacing w:before="240" w:after="120"/>
        <w:ind w:left="2432" w:hanging="2432"/>
        <w:rPr>
          <w:color w:val="000000" w:themeColor="text1"/>
          <w:highlight w:val="none"/>
        </w:rPr>
      </w:pPr>
      <w:bookmarkStart w:id="746" w:name="_Toc333935673"/>
      <w:bookmarkStart w:id="747" w:name="_Toc345513853"/>
      <w:bookmarkStart w:id="748" w:name="_Toc330459971"/>
      <w:bookmarkStart w:id="749" w:name="_Toc339441073"/>
      <w:bookmarkStart w:id="750" w:name="_Toc333238619"/>
      <w:bookmarkStart w:id="751" w:name="_Toc331684024"/>
      <w:bookmarkStart w:id="752" w:name="_Toc349143575"/>
      <w:bookmarkStart w:id="753" w:name="_Toc340677056"/>
      <w:bookmarkStart w:id="754" w:name="_Toc339020001"/>
      <w:bookmarkStart w:id="755" w:name="_Toc340507428"/>
      <w:bookmarkStart w:id="756" w:name="_Toc349127612"/>
      <w:bookmarkStart w:id="757" w:name="_Toc340672855"/>
      <w:bookmarkStart w:id="758" w:name="_Toc336681566"/>
      <w:bookmarkStart w:id="759" w:name="_Toc342296746"/>
      <w:bookmarkStart w:id="760" w:name="_Toc342060360"/>
      <w:bookmarkStart w:id="761" w:name="_Toc366072514"/>
      <w:bookmarkStart w:id="762" w:name="_Toc497224213"/>
      <w:bookmarkStart w:id="763" w:name="_Toc331512884"/>
      <w:bookmarkStart w:id="764" w:name="_Toc336681921"/>
      <w:bookmarkStart w:id="765" w:name="_Toc503785415"/>
      <w:bookmarkStart w:id="766" w:name="_Toc365967059"/>
      <w:bookmarkStart w:id="767" w:name="_Toc337632344"/>
      <w:bookmarkStart w:id="768" w:name="_Toc350756436"/>
      <w:bookmarkStart w:id="769" w:name="_Toc332206694"/>
      <w:bookmarkStart w:id="770" w:name="_Toc339020219"/>
      <w:bookmarkStart w:id="771" w:name="_Toc332270332"/>
      <w:bookmarkStart w:id="772" w:name="_Toc374454586"/>
      <w:bookmarkStart w:id="773" w:name="_Toc333237663"/>
      <w:bookmarkStart w:id="774" w:name="_Toc341348324"/>
      <w:bookmarkStart w:id="775" w:name="_Toc333935332"/>
      <w:bookmarkStart w:id="776" w:name="_Toc339362286"/>
      <w:bookmarkStart w:id="777" w:name="_Toc350438735"/>
      <w:bookmarkStart w:id="778" w:name="_Toc339019875"/>
      <w:bookmarkStart w:id="779" w:name="_Toc333237774"/>
      <w:bookmarkStart w:id="780" w:name="_Toc20945"/>
      <w:bookmarkStart w:id="781" w:name="_Toc339020081"/>
      <w:bookmarkStart w:id="782" w:name="_Toc365985165"/>
      <w:r>
        <w:rPr>
          <w:rFonts w:hint="eastAsia"/>
          <w:color w:val="000000" w:themeColor="text1"/>
          <w:highlight w:val="none"/>
        </w:rPr>
        <w:t>投标有效期</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7"/>
        <w:numPr>
          <w:ilvl w:val="4"/>
          <w:numId w:val="25"/>
        </w:numPr>
        <w:tabs>
          <w:tab w:val="left" w:pos="720"/>
        </w:tabs>
        <w:spacing w:before="240" w:after="120"/>
        <w:ind w:left="2432" w:hanging="2432"/>
        <w:rPr>
          <w:color w:val="000000" w:themeColor="text1"/>
          <w:highlight w:val="none"/>
        </w:rPr>
      </w:pPr>
      <w:bookmarkStart w:id="783" w:name="_Toc111534389"/>
      <w:bookmarkStart w:id="784" w:name="_Toc333935333"/>
      <w:bookmarkStart w:id="785" w:name="_Toc339020220"/>
      <w:bookmarkStart w:id="786" w:name="_Toc339362287"/>
      <w:bookmarkStart w:id="787" w:name="_Toc350438736"/>
      <w:bookmarkStart w:id="788" w:name="_Toc339441074"/>
      <w:bookmarkStart w:id="789" w:name="_Toc497224214"/>
      <w:bookmarkStart w:id="790" w:name="_Toc331512885"/>
      <w:bookmarkStart w:id="791" w:name="_Toc339020082"/>
      <w:bookmarkStart w:id="792" w:name="_Toc366072515"/>
      <w:bookmarkStart w:id="793" w:name="_Toc349127613"/>
      <w:bookmarkStart w:id="794" w:name="_Toc350756437"/>
      <w:bookmarkStart w:id="795" w:name="_Toc332206695"/>
      <w:bookmarkStart w:id="796" w:name="_Toc349143576"/>
      <w:bookmarkStart w:id="797" w:name="_Toc333238620"/>
      <w:bookmarkStart w:id="798" w:name="_Toc339019876"/>
      <w:bookmarkStart w:id="799" w:name="_Toc336681922"/>
      <w:bookmarkStart w:id="800" w:name="_Toc340677057"/>
      <w:bookmarkStart w:id="801" w:name="_Toc337632345"/>
      <w:bookmarkStart w:id="802" w:name="_Toc333237775"/>
      <w:bookmarkStart w:id="803" w:name="_Toc332270333"/>
      <w:bookmarkStart w:id="804" w:name="_Toc340672856"/>
      <w:bookmarkStart w:id="805" w:name="_Toc503785416"/>
      <w:bookmarkStart w:id="806" w:name="_Toc340507429"/>
      <w:bookmarkStart w:id="807" w:name="_Toc330459972"/>
      <w:bookmarkStart w:id="808" w:name="_Toc339020002"/>
      <w:bookmarkStart w:id="809" w:name="_Toc331684025"/>
      <w:bookmarkStart w:id="810" w:name="_Toc365967060"/>
      <w:bookmarkStart w:id="811" w:name="_Toc342296747"/>
      <w:bookmarkStart w:id="812" w:name="_Toc341348325"/>
      <w:bookmarkStart w:id="813" w:name="_Toc365985166"/>
      <w:bookmarkStart w:id="814" w:name="_Toc374454587"/>
      <w:bookmarkStart w:id="815" w:name="_Toc336681567"/>
      <w:bookmarkStart w:id="816" w:name="_Toc333935674"/>
      <w:bookmarkStart w:id="817" w:name="_Toc333237664"/>
      <w:bookmarkStart w:id="818" w:name="_Toc345513854"/>
      <w:bookmarkStart w:id="819" w:name="_Toc342060361"/>
      <w:bookmarkStart w:id="820" w:name="_Toc7613"/>
      <w:r>
        <w:rPr>
          <w:rFonts w:hint="eastAsia"/>
          <w:color w:val="000000" w:themeColor="text1"/>
          <w:highlight w:val="none"/>
        </w:rPr>
        <w:t>投标文件的签署及规定</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.2</w:t>
      </w:r>
      <w:r>
        <w:rPr>
          <w:rFonts w:hint="eastAsia" w:ascii="宋体"/>
          <w:bCs/>
          <w:color w:val="000000" w:themeColor="text1"/>
          <w:highlight w:val="none"/>
        </w:rPr>
        <w:tab/>
      </w:r>
      <w:r>
        <w:rPr>
          <w:rFonts w:hint="eastAsia" w:ascii="宋体" w:hAnsi="宋体"/>
          <w:bCs/>
          <w:color w:val="000000" w:themeColor="text1"/>
          <w:highlight w:val="none"/>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 xml:space="preserve"> 除投标人对差错处做必要修改外，投标文件中不允许有行间插字、涂改或增删，如有修改错漏处，必须由投标文件的签署人签字并在修改错漏处加盖公章，以示确认。</w:t>
      </w:r>
    </w:p>
    <w:p>
      <w:pPr>
        <w:pStyle w:val="5"/>
        <w:numPr>
          <w:ilvl w:val="0"/>
          <w:numId w:val="0"/>
        </w:numPr>
        <w:rPr>
          <w:color w:val="000000" w:themeColor="text1"/>
          <w:sz w:val="24"/>
          <w:highlight w:val="none"/>
        </w:rPr>
      </w:pPr>
      <w:bookmarkStart w:id="821" w:name="_Toc336681568"/>
      <w:bookmarkStart w:id="822" w:name="_Toc333237776"/>
      <w:bookmarkStart w:id="823" w:name="_Toc337632346"/>
      <w:bookmarkStart w:id="824" w:name="_Toc111534390"/>
      <w:bookmarkStart w:id="825" w:name="_Toc365985167"/>
      <w:bookmarkStart w:id="826" w:name="_Toc342060362"/>
      <w:bookmarkStart w:id="827" w:name="_Toc342296748"/>
      <w:bookmarkStart w:id="828" w:name="_Toc339020083"/>
      <w:bookmarkStart w:id="829" w:name="_Toc339441075"/>
      <w:bookmarkStart w:id="830" w:name="_Toc336681923"/>
      <w:bookmarkStart w:id="831" w:name="_Toc339020003"/>
      <w:bookmarkStart w:id="832" w:name="_Toc333935675"/>
      <w:bookmarkStart w:id="833" w:name="_Toc497224215"/>
      <w:bookmarkStart w:id="834" w:name="_Toc350756438"/>
      <w:bookmarkStart w:id="835" w:name="_Toc332270334"/>
      <w:bookmarkStart w:id="836" w:name="_Toc330459973"/>
      <w:bookmarkStart w:id="837" w:name="_Toc366072516"/>
      <w:bookmarkStart w:id="838" w:name="_Toc374454588"/>
      <w:bookmarkStart w:id="839" w:name="_Toc340507430"/>
      <w:bookmarkStart w:id="840" w:name="_Toc349127614"/>
      <w:bookmarkStart w:id="841" w:name="_Toc339020221"/>
      <w:bookmarkStart w:id="842" w:name="_Toc333237665"/>
      <w:bookmarkStart w:id="843" w:name="_Toc331512886"/>
      <w:bookmarkStart w:id="844" w:name="_Toc333935334"/>
      <w:bookmarkStart w:id="845" w:name="_Toc345513855"/>
      <w:bookmarkStart w:id="846" w:name="_Toc332206696"/>
      <w:bookmarkStart w:id="847" w:name="_Toc333238621"/>
      <w:bookmarkStart w:id="848" w:name="_Toc365967061"/>
      <w:bookmarkStart w:id="849" w:name="_Toc339019877"/>
      <w:bookmarkStart w:id="850" w:name="_Toc340677058"/>
      <w:bookmarkStart w:id="851" w:name="_Toc349143577"/>
      <w:bookmarkStart w:id="852" w:name="_Toc339362288"/>
      <w:bookmarkStart w:id="853" w:name="_Toc341348326"/>
      <w:bookmarkStart w:id="854" w:name="_Toc340672857"/>
      <w:bookmarkStart w:id="855" w:name="_Toc350438737"/>
      <w:bookmarkStart w:id="856" w:name="_Toc503785417"/>
      <w:bookmarkStart w:id="857" w:name="_Toc331684026"/>
      <w:r>
        <w:rPr>
          <w:color w:val="000000" w:themeColor="text1"/>
          <w:sz w:val="24"/>
          <w:highlight w:val="none"/>
        </w:rPr>
        <w:br w:type="page"/>
      </w:r>
      <w:bookmarkStart w:id="858" w:name="_Toc718"/>
      <w:r>
        <w:rPr>
          <w:rFonts w:hint="eastAsia"/>
          <w:color w:val="000000" w:themeColor="text1"/>
          <w:sz w:val="24"/>
          <w:highlight w:val="none"/>
        </w:rPr>
        <w:t>Ｄ投标文件的递交</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7"/>
        <w:numPr>
          <w:ilvl w:val="4"/>
          <w:numId w:val="25"/>
        </w:numPr>
        <w:tabs>
          <w:tab w:val="left" w:pos="251"/>
          <w:tab w:val="left" w:pos="720"/>
        </w:tabs>
        <w:spacing w:before="240" w:after="120"/>
        <w:ind w:left="751" w:leftChars="1" w:hangingChars="357"/>
        <w:rPr>
          <w:rFonts w:ascii="宋体" w:hAnsi="宋体"/>
          <w:color w:val="000000" w:themeColor="text1"/>
          <w:highlight w:val="none"/>
        </w:rPr>
      </w:pPr>
      <w:bookmarkStart w:id="859" w:name="_Toc497224216"/>
      <w:bookmarkStart w:id="860" w:name="_Toc339020222"/>
      <w:bookmarkStart w:id="861" w:name="_Toc339441076"/>
      <w:bookmarkStart w:id="862" w:name="_Toc340507431"/>
      <w:bookmarkStart w:id="863" w:name="_Toc350438738"/>
      <w:bookmarkStart w:id="864" w:name="_Toc342296749"/>
      <w:bookmarkStart w:id="865" w:name="_Toc350756439"/>
      <w:bookmarkStart w:id="866" w:name="_Toc365967062"/>
      <w:bookmarkStart w:id="867" w:name="_Toc366072517"/>
      <w:bookmarkStart w:id="868" w:name="_Toc365985168"/>
      <w:bookmarkStart w:id="869" w:name="_Toc339019878"/>
      <w:bookmarkStart w:id="870" w:name="_Toc503785418"/>
      <w:bookmarkStart w:id="871" w:name="_Toc342060363"/>
      <w:bookmarkStart w:id="872" w:name="_Toc339020084"/>
      <w:bookmarkStart w:id="873" w:name="_Toc333935335"/>
      <w:bookmarkStart w:id="874" w:name="_Toc337632347"/>
      <w:bookmarkStart w:id="875" w:name="_Toc349127615"/>
      <w:bookmarkStart w:id="876" w:name="_Toc374454589"/>
      <w:bookmarkStart w:id="877" w:name="_Toc339362289"/>
      <w:bookmarkStart w:id="878" w:name="_Toc333237666"/>
      <w:bookmarkStart w:id="879" w:name="_Toc333238622"/>
      <w:bookmarkStart w:id="880" w:name="_Toc340672858"/>
      <w:bookmarkStart w:id="881" w:name="_Toc341348327"/>
      <w:bookmarkStart w:id="882" w:name="_Toc331684027"/>
      <w:bookmarkStart w:id="883" w:name="_Toc332270335"/>
      <w:bookmarkStart w:id="884" w:name="_Toc333935676"/>
      <w:bookmarkStart w:id="885" w:name="_Toc330459974"/>
      <w:bookmarkStart w:id="886" w:name="_Toc339020004"/>
      <w:bookmarkStart w:id="887" w:name="_Toc345513856"/>
      <w:bookmarkStart w:id="888" w:name="_Toc340677059"/>
      <w:bookmarkStart w:id="889" w:name="_Toc331512887"/>
      <w:bookmarkStart w:id="890" w:name="_Toc349143578"/>
      <w:bookmarkStart w:id="891" w:name="_Toc333237777"/>
      <w:bookmarkStart w:id="892" w:name="_Toc336681569"/>
      <w:bookmarkStart w:id="893" w:name="_Toc111534391"/>
      <w:bookmarkStart w:id="894" w:name="_Toc332206697"/>
      <w:bookmarkStart w:id="895" w:name="_Toc336681924"/>
      <w:r>
        <w:rPr>
          <w:rFonts w:hint="eastAsia"/>
          <w:color w:val="000000" w:themeColor="text1"/>
          <w:highlight w:val="none"/>
        </w:rPr>
        <w:t xml:space="preserve">     </w:t>
      </w:r>
      <w:bookmarkStart w:id="896" w:name="_Toc18704"/>
      <w:r>
        <w:rPr>
          <w:rFonts w:hint="eastAsia"/>
          <w:color w:val="000000" w:themeColor="text1"/>
          <w:highlight w:val="none"/>
        </w:rPr>
        <w:t>投标文件的密封和标记</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6"/>
        <w:rPr>
          <w:color w:val="000000" w:themeColor="text1"/>
          <w:highlight w:val="none"/>
        </w:rPr>
      </w:pPr>
      <w:r>
        <w:rPr>
          <w:rFonts w:hint="eastAsia"/>
          <w:color w:val="000000" w:themeColor="text1"/>
          <w:highlight w:val="none"/>
        </w:rPr>
        <w:tab/>
      </w:r>
      <w:r>
        <w:rPr>
          <w:rFonts w:hint="eastAsia"/>
          <w:color w:val="000000" w:themeColor="text1"/>
          <w:highlight w:val="none"/>
        </w:rPr>
        <w:t xml:space="preserve">  </w:t>
      </w:r>
      <w:r>
        <w:rPr>
          <w:rFonts w:hint="eastAsia" w:ascii="黑体" w:eastAsia="黑体"/>
          <w:bCs/>
          <w:color w:val="000000" w:themeColor="text1"/>
          <w:kern w:val="2"/>
          <w:sz w:val="21"/>
          <w:szCs w:val="24"/>
          <w:highlight w:val="none"/>
        </w:rPr>
        <w:t>详见第三部份《投标人须知〈投标人须知前附表〉》。</w:t>
      </w:r>
    </w:p>
    <w:p>
      <w:pPr>
        <w:pStyle w:val="7"/>
        <w:numPr>
          <w:ilvl w:val="4"/>
          <w:numId w:val="25"/>
        </w:numPr>
        <w:tabs>
          <w:tab w:val="left" w:pos="720"/>
        </w:tabs>
        <w:spacing w:before="240" w:after="120"/>
        <w:ind w:left="2432" w:hanging="2432"/>
        <w:rPr>
          <w:color w:val="000000" w:themeColor="text1"/>
          <w:highlight w:val="none"/>
        </w:rPr>
      </w:pPr>
      <w:bookmarkStart w:id="897" w:name="_Toc339020005"/>
      <w:bookmarkStart w:id="898" w:name="_Toc374454590"/>
      <w:bookmarkStart w:id="899" w:name="_Toc26135"/>
      <w:bookmarkStart w:id="900" w:name="_Toc111534392"/>
      <w:bookmarkStart w:id="901" w:name="_Toc342296750"/>
      <w:bookmarkStart w:id="902" w:name="_Toc331684028"/>
      <w:bookmarkStart w:id="903" w:name="_Toc339441077"/>
      <w:bookmarkStart w:id="904" w:name="_Toc333237667"/>
      <w:bookmarkStart w:id="905" w:name="_Toc503785419"/>
      <w:bookmarkStart w:id="906" w:name="_Toc339020085"/>
      <w:bookmarkStart w:id="907" w:name="_Toc331512888"/>
      <w:bookmarkStart w:id="908" w:name="_Toc340507432"/>
      <w:bookmarkStart w:id="909" w:name="_Toc340677060"/>
      <w:bookmarkStart w:id="910" w:name="_Toc365985169"/>
      <w:bookmarkStart w:id="911" w:name="_Toc365967063"/>
      <w:bookmarkStart w:id="912" w:name="_Toc350438739"/>
      <w:bookmarkStart w:id="913" w:name="_Toc339020223"/>
      <w:bookmarkStart w:id="914" w:name="_Toc349127616"/>
      <w:bookmarkStart w:id="915" w:name="_Toc350756440"/>
      <w:bookmarkStart w:id="916" w:name="_Toc333935336"/>
      <w:bookmarkStart w:id="917" w:name="_Toc336681570"/>
      <w:bookmarkStart w:id="918" w:name="_Toc339362290"/>
      <w:bookmarkStart w:id="919" w:name="_Toc339019879"/>
      <w:bookmarkStart w:id="920" w:name="_Toc342060364"/>
      <w:bookmarkStart w:id="921" w:name="_Toc333238623"/>
      <w:bookmarkStart w:id="922" w:name="_Toc345513857"/>
      <w:bookmarkStart w:id="923" w:name="_Toc336681925"/>
      <w:bookmarkStart w:id="924" w:name="_Toc330459975"/>
      <w:bookmarkStart w:id="925" w:name="_Toc497224217"/>
      <w:bookmarkStart w:id="926" w:name="_Toc333237778"/>
      <w:bookmarkStart w:id="927" w:name="_Toc340672859"/>
      <w:bookmarkStart w:id="928" w:name="_Toc341348328"/>
      <w:bookmarkStart w:id="929" w:name="_Toc333935677"/>
      <w:bookmarkStart w:id="930" w:name="_Toc332270336"/>
      <w:bookmarkStart w:id="931" w:name="_Toc337632348"/>
      <w:bookmarkStart w:id="932" w:name="_Toc332206698"/>
      <w:bookmarkStart w:id="933" w:name="_Toc349143579"/>
      <w:bookmarkStart w:id="934" w:name="_Toc366072518"/>
      <w:r>
        <w:rPr>
          <w:rFonts w:hint="eastAsia"/>
          <w:color w:val="000000" w:themeColor="text1"/>
          <w:highlight w:val="none"/>
        </w:rPr>
        <w:t>递交投标文件的时间、地点及截止时间</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18.1</w:t>
      </w:r>
      <w:r>
        <w:rPr>
          <w:rFonts w:hint="eastAsia" w:ascii="宋体" w:hAnsi="宋体"/>
          <w:bCs/>
          <w:color w:val="000000" w:themeColor="text1"/>
          <w:highlight w:val="none"/>
        </w:rPr>
        <w:tab/>
      </w:r>
      <w:r>
        <w:rPr>
          <w:rFonts w:hint="eastAsia" w:ascii="宋体" w:hAnsi="宋体"/>
          <w:bCs/>
          <w:color w:val="000000" w:themeColor="text1"/>
          <w:highlight w:val="none"/>
        </w:rPr>
        <w:t xml:space="preserve"> 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18.2</w:t>
      </w:r>
      <w:r>
        <w:rPr>
          <w:rFonts w:hint="eastAsia" w:ascii="宋体" w:hAnsi="宋体"/>
          <w:bCs/>
          <w:color w:val="000000" w:themeColor="text1"/>
          <w:highlight w:val="none"/>
        </w:rPr>
        <w:tab/>
      </w:r>
      <w:r>
        <w:rPr>
          <w:rFonts w:hint="eastAsia" w:ascii="宋体" w:hAnsi="宋体"/>
          <w:bCs/>
          <w:color w:val="000000" w:themeColor="text1"/>
          <w:highlight w:val="none"/>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bookmarkStart w:id="935" w:name="_Toc342296751"/>
      <w:bookmarkStart w:id="936" w:name="_Toc365967064"/>
      <w:bookmarkStart w:id="937" w:name="_Toc497224218"/>
      <w:bookmarkStart w:id="938" w:name="_Toc366072519"/>
      <w:bookmarkStart w:id="939" w:name="_Toc333935337"/>
      <w:bookmarkStart w:id="940" w:name="_Toc332270337"/>
      <w:bookmarkStart w:id="941" w:name="_Toc365985170"/>
      <w:bookmarkStart w:id="942" w:name="_Toc333238624"/>
      <w:bookmarkStart w:id="943" w:name="_Toc340507433"/>
      <w:bookmarkStart w:id="944" w:name="_Toc349127617"/>
      <w:bookmarkStart w:id="945" w:name="_Toc340672860"/>
      <w:bookmarkStart w:id="946" w:name="_Toc342060365"/>
      <w:bookmarkStart w:id="947" w:name="_Toc339020224"/>
      <w:bookmarkStart w:id="948" w:name="_Toc333935678"/>
      <w:bookmarkStart w:id="949" w:name="_Toc345513858"/>
      <w:bookmarkStart w:id="950" w:name="_Toc350756441"/>
      <w:bookmarkStart w:id="951" w:name="_Toc331684029"/>
      <w:bookmarkStart w:id="952" w:name="_Toc339362291"/>
      <w:bookmarkStart w:id="953" w:name="_Toc340677061"/>
      <w:bookmarkStart w:id="954" w:name="_Toc350438740"/>
      <w:bookmarkStart w:id="955" w:name="_Toc336681926"/>
      <w:bookmarkStart w:id="956" w:name="_Toc339020006"/>
      <w:bookmarkStart w:id="957" w:name="_Toc333237668"/>
      <w:bookmarkStart w:id="958" w:name="_Toc332206699"/>
      <w:bookmarkStart w:id="959" w:name="_Toc333237779"/>
      <w:bookmarkStart w:id="960" w:name="_Toc337632349"/>
      <w:bookmarkStart w:id="961" w:name="_Toc339019880"/>
      <w:bookmarkStart w:id="962" w:name="_Toc339020086"/>
      <w:bookmarkStart w:id="963" w:name="_Toc374454591"/>
      <w:bookmarkStart w:id="964" w:name="_Toc341348329"/>
      <w:bookmarkStart w:id="965" w:name="_Toc339441078"/>
      <w:bookmarkStart w:id="966" w:name="_Toc331512889"/>
      <w:bookmarkStart w:id="967" w:name="_Toc336681571"/>
      <w:bookmarkStart w:id="968" w:name="_Toc330459976"/>
      <w:bookmarkStart w:id="969" w:name="_Toc503785420"/>
      <w:bookmarkStart w:id="970" w:name="_Toc349143580"/>
      <w:r>
        <w:rPr>
          <w:rFonts w:hint="eastAsia" w:ascii="宋体" w:hAnsi="宋体"/>
          <w:bCs/>
          <w:color w:val="000000" w:themeColor="text1"/>
          <w:highlight w:val="none"/>
        </w:rPr>
        <w:t>18.3</w:t>
      </w:r>
      <w:r>
        <w:rPr>
          <w:rFonts w:hint="eastAsia" w:ascii="宋体" w:hAnsi="宋体"/>
          <w:bCs/>
          <w:color w:val="000000" w:themeColor="text1"/>
          <w:highlight w:val="none"/>
        </w:rPr>
        <w:tab/>
      </w:r>
      <w:r>
        <w:rPr>
          <w:rFonts w:hint="eastAsia" w:ascii="宋体" w:hAnsi="宋体"/>
          <w:bCs/>
          <w:color w:val="000000" w:themeColor="text1"/>
          <w:highlight w:val="none"/>
        </w:rPr>
        <w:t xml:space="preserve"> 代理采购机构于投标截止时间前30分钟开始接收投标文件，并于招标文件“第一部分投标邀请函”规定的开标时间、开标地点公开开标。</w:t>
      </w:r>
    </w:p>
    <w:p>
      <w:pPr>
        <w:pStyle w:val="7"/>
        <w:numPr>
          <w:ilvl w:val="4"/>
          <w:numId w:val="25"/>
        </w:numPr>
        <w:tabs>
          <w:tab w:val="left" w:pos="720"/>
        </w:tabs>
        <w:spacing w:before="240" w:after="120"/>
        <w:ind w:left="2432" w:hanging="2432"/>
        <w:rPr>
          <w:color w:val="000000" w:themeColor="text1"/>
          <w:highlight w:val="none"/>
        </w:rPr>
      </w:pPr>
      <w:bookmarkStart w:id="971" w:name="_Toc3850"/>
      <w:r>
        <w:rPr>
          <w:rFonts w:hint="eastAsia"/>
          <w:color w:val="000000" w:themeColor="text1"/>
          <w:highlight w:val="none"/>
        </w:rPr>
        <w:t>迟交的投标文件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rPr>
        <w:t>19</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代理采购机构将拒绝在投标截止时间后递交的任何投标文件。</w:t>
      </w:r>
    </w:p>
    <w:p>
      <w:pPr>
        <w:pStyle w:val="7"/>
        <w:numPr>
          <w:ilvl w:val="4"/>
          <w:numId w:val="25"/>
        </w:numPr>
        <w:tabs>
          <w:tab w:val="left" w:pos="720"/>
        </w:tabs>
        <w:spacing w:before="240" w:after="120"/>
        <w:ind w:left="2432" w:hanging="2432"/>
        <w:rPr>
          <w:color w:val="000000" w:themeColor="text1"/>
          <w:highlight w:val="none"/>
        </w:rPr>
      </w:pPr>
      <w:bookmarkStart w:id="972" w:name="_Toc503785421"/>
      <w:bookmarkStart w:id="973" w:name="_Toc497224219"/>
      <w:bookmarkStart w:id="974" w:name="_Toc333237780"/>
      <w:bookmarkStart w:id="975" w:name="_Toc365967065"/>
      <w:bookmarkStart w:id="976" w:name="_Toc339441079"/>
      <w:bookmarkStart w:id="977" w:name="_Toc349127618"/>
      <w:bookmarkStart w:id="978" w:name="_Toc333935338"/>
      <w:bookmarkStart w:id="979" w:name="_Toc342296752"/>
      <w:bookmarkStart w:id="980" w:name="_Toc342060366"/>
      <w:bookmarkStart w:id="981" w:name="_Toc350756442"/>
      <w:bookmarkStart w:id="982" w:name="_Toc340507434"/>
      <w:bookmarkStart w:id="983" w:name="_Toc366072520"/>
      <w:bookmarkStart w:id="984" w:name="_Toc332270338"/>
      <w:bookmarkStart w:id="985" w:name="_Toc339362292"/>
      <w:bookmarkStart w:id="986" w:name="_Toc341348330"/>
      <w:bookmarkStart w:id="987" w:name="_Toc333935679"/>
      <w:bookmarkStart w:id="988" w:name="_Toc349143581"/>
      <w:bookmarkStart w:id="989" w:name="_Toc337632350"/>
      <w:bookmarkStart w:id="990" w:name="_Toc339020225"/>
      <w:bookmarkStart w:id="991" w:name="_Toc340677062"/>
      <w:bookmarkStart w:id="992" w:name="_Toc26055"/>
      <w:bookmarkStart w:id="993" w:name="_Toc333238625"/>
      <w:bookmarkStart w:id="994" w:name="_Toc339019881"/>
      <w:bookmarkStart w:id="995" w:name="_Toc336681927"/>
      <w:bookmarkStart w:id="996" w:name="_Toc339020007"/>
      <w:bookmarkStart w:id="997" w:name="_Toc340672861"/>
      <w:bookmarkStart w:id="998" w:name="_Toc339020087"/>
      <w:bookmarkStart w:id="999" w:name="_Toc350438741"/>
      <w:bookmarkStart w:id="1000" w:name="_Toc331512890"/>
      <w:bookmarkStart w:id="1001" w:name="_Toc330459977"/>
      <w:bookmarkStart w:id="1002" w:name="_Toc332206700"/>
      <w:bookmarkStart w:id="1003" w:name="_Toc365985171"/>
      <w:bookmarkStart w:id="1004" w:name="_Toc333237669"/>
      <w:bookmarkStart w:id="1005" w:name="_Toc374454592"/>
      <w:bookmarkStart w:id="1006" w:name="_Toc345513859"/>
      <w:bookmarkStart w:id="1007" w:name="_Toc336681572"/>
      <w:bookmarkStart w:id="1008" w:name="_Toc331684030"/>
      <w:r>
        <w:rPr>
          <w:rFonts w:hint="eastAsia"/>
          <w:color w:val="000000" w:themeColor="text1"/>
          <w:highlight w:val="none"/>
        </w:rPr>
        <w:t>投标文件的修改和撤</w:t>
      </w:r>
      <w:bookmarkEnd w:id="972"/>
      <w:bookmarkEnd w:id="973"/>
      <w:r>
        <w:rPr>
          <w:rFonts w:hint="eastAsia"/>
          <w:color w:val="000000" w:themeColor="text1"/>
          <w:highlight w:val="none"/>
        </w:rPr>
        <w:t>回</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 xml:space="preserve"> 投标人在</w:t>
      </w:r>
      <w:r>
        <w:rPr>
          <w:rFonts w:hint="eastAsia" w:ascii="宋体"/>
          <w:bCs/>
          <w:color w:val="000000" w:themeColor="text1"/>
          <w:highlight w:val="none"/>
          <w:lang w:val="en-US" w:eastAsia="zh-CN"/>
        </w:rPr>
        <w:t>投标</w:t>
      </w:r>
      <w:r>
        <w:rPr>
          <w:rFonts w:hint="eastAsia" w:ascii="宋体"/>
          <w:bCs/>
          <w:color w:val="000000" w:themeColor="text1"/>
          <w:highlight w:val="none"/>
        </w:rPr>
        <w:t>截止时间前，可以修改或撤回其投标文件。但必须在规定的</w:t>
      </w:r>
      <w:r>
        <w:rPr>
          <w:rFonts w:hint="eastAsia" w:ascii="宋体"/>
          <w:bCs/>
          <w:color w:val="000000" w:themeColor="text1"/>
          <w:highlight w:val="none"/>
          <w:lang w:val="en-US" w:eastAsia="zh-CN"/>
        </w:rPr>
        <w:t>投标</w:t>
      </w:r>
      <w:r>
        <w:rPr>
          <w:rFonts w:hint="eastAsia" w:ascii="宋体"/>
          <w:bCs/>
          <w:color w:val="000000" w:themeColor="text1"/>
          <w:highlight w:val="none"/>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 xml:space="preserve"> 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从投标截止时间至投标文件有效期期满之前，投标人不得撤回其投标文件，否则代理采购机构将按规定不予退还投标保证金。</w:t>
      </w:r>
    </w:p>
    <w:p>
      <w:pPr>
        <w:pStyle w:val="5"/>
        <w:numPr>
          <w:ilvl w:val="0"/>
          <w:numId w:val="0"/>
        </w:numPr>
        <w:rPr>
          <w:color w:val="000000" w:themeColor="text1"/>
          <w:sz w:val="24"/>
          <w:highlight w:val="none"/>
        </w:rPr>
      </w:pPr>
      <w:bookmarkStart w:id="1009" w:name="_Toc374454593"/>
      <w:bookmarkStart w:id="1010" w:name="_Toc333935680"/>
      <w:bookmarkStart w:id="1011" w:name="_Toc333935339"/>
      <w:bookmarkStart w:id="1012" w:name="_Toc333238626"/>
      <w:bookmarkStart w:id="1013" w:name="_Toc342296753"/>
      <w:bookmarkStart w:id="1014" w:name="_Toc336681573"/>
      <w:bookmarkStart w:id="1015" w:name="_Toc349127619"/>
      <w:bookmarkStart w:id="1016" w:name="_Toc333237781"/>
      <w:bookmarkStart w:id="1017" w:name="_Toc350756443"/>
      <w:bookmarkStart w:id="1018" w:name="_Toc336681928"/>
      <w:bookmarkStart w:id="1019" w:name="_Toc366072521"/>
      <w:bookmarkStart w:id="1020" w:name="_Toc349143582"/>
      <w:bookmarkStart w:id="1021" w:name="_Toc365967066"/>
      <w:bookmarkStart w:id="1022" w:name="_Toc330459978"/>
      <w:bookmarkStart w:id="1023" w:name="_Toc350438742"/>
      <w:bookmarkStart w:id="1024" w:name="_Toc339020008"/>
      <w:bookmarkStart w:id="1025" w:name="_Toc339020226"/>
      <w:bookmarkStart w:id="1026" w:name="_Toc339441080"/>
      <w:bookmarkStart w:id="1027" w:name="_Toc337632351"/>
      <w:bookmarkStart w:id="1028" w:name="_Toc332270339"/>
      <w:bookmarkStart w:id="1029" w:name="_Toc503785422"/>
      <w:bookmarkStart w:id="1030" w:name="_Toc497224220"/>
      <w:bookmarkStart w:id="1031" w:name="_Toc340672862"/>
      <w:bookmarkStart w:id="1032" w:name="_Toc331684031"/>
      <w:bookmarkStart w:id="1033" w:name="_Toc339020088"/>
      <w:bookmarkStart w:id="1034" w:name="_Toc339362293"/>
      <w:bookmarkStart w:id="1035" w:name="_Toc332206701"/>
      <w:bookmarkStart w:id="1036" w:name="_Toc333237670"/>
      <w:bookmarkStart w:id="1037" w:name="_Toc365985172"/>
      <w:bookmarkStart w:id="1038" w:name="_Toc331512891"/>
      <w:bookmarkStart w:id="1039" w:name="_Toc342060367"/>
      <w:bookmarkStart w:id="1040" w:name="_Toc340507435"/>
      <w:bookmarkStart w:id="1041" w:name="_Toc341348331"/>
      <w:bookmarkStart w:id="1042" w:name="_Toc339019882"/>
      <w:bookmarkStart w:id="1043" w:name="_Toc340677063"/>
      <w:bookmarkStart w:id="1044" w:name="_Toc345513860"/>
      <w:r>
        <w:rPr>
          <w:color w:val="000000" w:themeColor="text1"/>
          <w:sz w:val="24"/>
          <w:highlight w:val="none"/>
        </w:rPr>
        <w:br w:type="page"/>
      </w:r>
      <w:bookmarkStart w:id="1045" w:name="_Toc14271"/>
      <w:r>
        <w:rPr>
          <w:rFonts w:hint="eastAsia"/>
          <w:color w:val="000000" w:themeColor="text1"/>
          <w:sz w:val="24"/>
          <w:highlight w:val="none"/>
        </w:rPr>
        <w:t>Ｅ开标和评标</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7"/>
        <w:numPr>
          <w:ilvl w:val="4"/>
          <w:numId w:val="25"/>
        </w:numPr>
        <w:tabs>
          <w:tab w:val="left" w:pos="720"/>
        </w:tabs>
        <w:spacing w:before="240" w:after="120"/>
        <w:ind w:left="2432" w:hanging="2432"/>
        <w:rPr>
          <w:color w:val="000000" w:themeColor="text1"/>
          <w:highlight w:val="none"/>
        </w:rPr>
      </w:pPr>
      <w:bookmarkStart w:id="1046" w:name="_Toc333237782"/>
      <w:bookmarkStart w:id="1047" w:name="_Toc339441081"/>
      <w:bookmarkStart w:id="1048" w:name="_Toc340672863"/>
      <w:bookmarkStart w:id="1049" w:name="_Toc337632352"/>
      <w:bookmarkStart w:id="1050" w:name="_Toc332270340"/>
      <w:bookmarkStart w:id="1051" w:name="_Toc503785423"/>
      <w:bookmarkStart w:id="1052" w:name="_Toc339020089"/>
      <w:bookmarkStart w:id="1053" w:name="_Toc7805"/>
      <w:bookmarkStart w:id="1054" w:name="_Toc340677064"/>
      <w:bookmarkStart w:id="1055" w:name="_Toc345513861"/>
      <w:bookmarkStart w:id="1056" w:name="_Toc333935681"/>
      <w:bookmarkStart w:id="1057" w:name="_Toc366072522"/>
      <w:bookmarkStart w:id="1058" w:name="_Toc342060368"/>
      <w:bookmarkStart w:id="1059" w:name="_Toc350756444"/>
      <w:bookmarkStart w:id="1060" w:name="_Toc497224221"/>
      <w:bookmarkStart w:id="1061" w:name="_Toc336681574"/>
      <w:bookmarkStart w:id="1062" w:name="_Toc331512892"/>
      <w:bookmarkStart w:id="1063" w:name="_Toc336681929"/>
      <w:bookmarkStart w:id="1064" w:name="_Toc330459979"/>
      <w:bookmarkStart w:id="1065" w:name="_Toc339020009"/>
      <w:bookmarkStart w:id="1066" w:name="_Toc341348332"/>
      <w:bookmarkStart w:id="1067" w:name="_Toc333935340"/>
      <w:bookmarkStart w:id="1068" w:name="_Toc332206702"/>
      <w:bookmarkStart w:id="1069" w:name="_Toc350438743"/>
      <w:bookmarkStart w:id="1070" w:name="_Toc333238627"/>
      <w:bookmarkStart w:id="1071" w:name="_Toc365967067"/>
      <w:bookmarkStart w:id="1072" w:name="_Toc339019883"/>
      <w:bookmarkStart w:id="1073" w:name="_Toc365985173"/>
      <w:bookmarkStart w:id="1074" w:name="_Toc349127620"/>
      <w:bookmarkStart w:id="1075" w:name="_Toc339362294"/>
      <w:bookmarkStart w:id="1076" w:name="_Toc374454594"/>
      <w:bookmarkStart w:id="1077" w:name="_Toc340507436"/>
      <w:bookmarkStart w:id="1078" w:name="_Toc349143583"/>
      <w:bookmarkStart w:id="1079" w:name="_Toc342296754"/>
      <w:bookmarkStart w:id="1080" w:name="_Toc339020227"/>
      <w:bookmarkStart w:id="1081" w:name="_Toc331684032"/>
      <w:bookmarkStart w:id="1082" w:name="_Toc333237671"/>
      <w:r>
        <w:rPr>
          <w:rFonts w:hint="eastAsia"/>
          <w:color w:val="000000" w:themeColor="text1"/>
          <w:highlight w:val="none"/>
        </w:rPr>
        <w:t>开标</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21.4</w:t>
      </w:r>
      <w:r>
        <w:rPr>
          <w:rFonts w:hint="eastAsia" w:ascii="宋体" w:hAnsi="宋体"/>
          <w:bCs/>
          <w:color w:val="000000" w:themeColor="text1"/>
          <w:highlight w:val="none"/>
        </w:rPr>
        <w:tab/>
      </w:r>
      <w:r>
        <w:rPr>
          <w:rFonts w:hint="eastAsia" w:ascii="宋体" w:hAnsi="宋体"/>
          <w:bCs/>
          <w:color w:val="000000" w:themeColor="text1"/>
          <w:highlight w:val="none"/>
        </w:rPr>
        <w:t xml:space="preserve"> 唱标结束后，代理采购机构将做唱标记录，并按规定在唱标记录上签字。</w:t>
      </w:r>
    </w:p>
    <w:p>
      <w:pPr>
        <w:pStyle w:val="7"/>
        <w:numPr>
          <w:ilvl w:val="4"/>
          <w:numId w:val="25"/>
        </w:numPr>
        <w:tabs>
          <w:tab w:val="left" w:pos="720"/>
        </w:tabs>
        <w:spacing w:before="240" w:after="120"/>
        <w:ind w:left="752" w:hanging="751" w:hangingChars="358"/>
        <w:rPr>
          <w:rFonts w:ascii="宋体" w:hAnsi="宋体"/>
          <w:color w:val="000000" w:themeColor="text1"/>
          <w:highlight w:val="none"/>
        </w:rPr>
      </w:pPr>
      <w:bookmarkStart w:id="1083" w:name="_Toc503785424"/>
      <w:bookmarkStart w:id="1084" w:name="_Toc339020228"/>
      <w:bookmarkStart w:id="1085" w:name="_Toc333935682"/>
      <w:bookmarkStart w:id="1086" w:name="_Toc350756445"/>
      <w:bookmarkStart w:id="1087" w:name="_Toc336681575"/>
      <w:bookmarkStart w:id="1088" w:name="_Toc340507437"/>
      <w:bookmarkStart w:id="1089" w:name="_Toc349127621"/>
      <w:bookmarkStart w:id="1090" w:name="_Toc349143584"/>
      <w:bookmarkStart w:id="1091" w:name="_Toc333237783"/>
      <w:bookmarkStart w:id="1092" w:name="_Toc30401"/>
      <w:bookmarkStart w:id="1093" w:name="_Toc332270341"/>
      <w:bookmarkStart w:id="1094" w:name="_Toc341348333"/>
      <w:bookmarkStart w:id="1095" w:name="_Toc374454595"/>
      <w:bookmarkStart w:id="1096" w:name="_Toc330459980"/>
      <w:bookmarkStart w:id="1097" w:name="_Toc342296755"/>
      <w:bookmarkStart w:id="1098" w:name="_Toc339020090"/>
      <w:bookmarkStart w:id="1099" w:name="_Toc333237672"/>
      <w:bookmarkStart w:id="1100" w:name="_Toc342060369"/>
      <w:bookmarkStart w:id="1101" w:name="_Toc365985174"/>
      <w:bookmarkStart w:id="1102" w:name="_Toc365967068"/>
      <w:bookmarkStart w:id="1103" w:name="_Toc336681930"/>
      <w:bookmarkStart w:id="1104" w:name="_Toc339441082"/>
      <w:bookmarkStart w:id="1105" w:name="_Toc333238628"/>
      <w:bookmarkStart w:id="1106" w:name="_Toc332206703"/>
      <w:bookmarkStart w:id="1107" w:name="_Toc333935341"/>
      <w:bookmarkStart w:id="1108" w:name="_Toc331684033"/>
      <w:bookmarkStart w:id="1109" w:name="_Toc331512893"/>
      <w:bookmarkStart w:id="1110" w:name="_Toc339019884"/>
      <w:bookmarkStart w:id="1111" w:name="_Toc340677065"/>
      <w:bookmarkStart w:id="1112" w:name="_Toc340672864"/>
      <w:bookmarkStart w:id="1113" w:name="_Toc497224222"/>
      <w:bookmarkStart w:id="1114" w:name="_Toc339020010"/>
      <w:bookmarkStart w:id="1115" w:name="_Toc350438744"/>
      <w:bookmarkStart w:id="1116" w:name="_Toc337632353"/>
      <w:bookmarkStart w:id="1117" w:name="_Toc366072523"/>
      <w:bookmarkStart w:id="1118" w:name="_Toc345513862"/>
      <w:bookmarkStart w:id="1119" w:name="_Toc339362295"/>
      <w:r>
        <w:rPr>
          <w:rFonts w:hint="eastAsia"/>
          <w:color w:val="000000" w:themeColor="text1"/>
          <w:highlight w:val="none"/>
        </w:rPr>
        <w:t>评标委员会</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6"/>
        <w:rPr>
          <w:color w:val="000000" w:themeColor="text1"/>
          <w:highlight w:val="none"/>
        </w:rPr>
      </w:pPr>
      <w:r>
        <w:rPr>
          <w:rFonts w:hint="eastAsia" w:ascii="黑体" w:eastAsia="黑体"/>
          <w:bCs/>
          <w:color w:val="000000" w:themeColor="text1"/>
          <w:kern w:val="2"/>
          <w:sz w:val="21"/>
          <w:szCs w:val="24"/>
          <w:highlight w:val="none"/>
        </w:rPr>
        <w:t>详见第三部份《投标人须知〈投标人须知前附表〉》。</w:t>
      </w:r>
    </w:p>
    <w:p>
      <w:pPr>
        <w:pStyle w:val="7"/>
        <w:numPr>
          <w:ilvl w:val="4"/>
          <w:numId w:val="25"/>
        </w:numPr>
        <w:tabs>
          <w:tab w:val="left" w:pos="720"/>
        </w:tabs>
        <w:spacing w:before="240" w:after="120"/>
        <w:ind w:left="2432" w:hanging="2432"/>
        <w:rPr>
          <w:color w:val="000000" w:themeColor="text1"/>
          <w:highlight w:val="none"/>
        </w:rPr>
      </w:pPr>
      <w:bookmarkStart w:id="1120" w:name="_Toc8491"/>
      <w:bookmarkStart w:id="1121" w:name="_Toc349127622"/>
      <w:bookmarkStart w:id="1122" w:name="_Toc336681931"/>
      <w:bookmarkStart w:id="1123" w:name="_Toc333238629"/>
      <w:bookmarkStart w:id="1124" w:name="_Toc337632354"/>
      <w:bookmarkStart w:id="1125" w:name="_Toc333237673"/>
      <w:bookmarkStart w:id="1126" w:name="_Toc340677066"/>
      <w:bookmarkStart w:id="1127" w:name="_Toc332270342"/>
      <w:bookmarkStart w:id="1128" w:name="_Toc333935342"/>
      <w:bookmarkStart w:id="1129" w:name="_Toc342296756"/>
      <w:bookmarkStart w:id="1130" w:name="_Toc339020229"/>
      <w:bookmarkStart w:id="1131" w:name="_Toc366072524"/>
      <w:bookmarkStart w:id="1132" w:name="_Toc331684034"/>
      <w:bookmarkStart w:id="1133" w:name="_Toc330459981"/>
      <w:bookmarkStart w:id="1134" w:name="_Toc350438745"/>
      <w:bookmarkStart w:id="1135" w:name="_Toc336681576"/>
      <w:bookmarkStart w:id="1136" w:name="_Toc341348334"/>
      <w:bookmarkStart w:id="1137" w:name="_Toc333935683"/>
      <w:bookmarkStart w:id="1138" w:name="_Toc350756446"/>
      <w:bookmarkStart w:id="1139" w:name="_Toc365967069"/>
      <w:bookmarkStart w:id="1140" w:name="_Toc333237784"/>
      <w:bookmarkStart w:id="1141" w:name="_Toc503785425"/>
      <w:bookmarkStart w:id="1142" w:name="_Toc339019885"/>
      <w:bookmarkStart w:id="1143" w:name="_Toc342060370"/>
      <w:bookmarkStart w:id="1144" w:name="_Toc339020011"/>
      <w:bookmarkStart w:id="1145" w:name="_Toc374454596"/>
      <w:bookmarkStart w:id="1146" w:name="_Toc340672865"/>
      <w:bookmarkStart w:id="1147" w:name="_Toc340507438"/>
      <w:bookmarkStart w:id="1148" w:name="_Toc331512894"/>
      <w:bookmarkStart w:id="1149" w:name="_Toc332206704"/>
      <w:bookmarkStart w:id="1150" w:name="_Toc339441083"/>
      <w:bookmarkStart w:id="1151" w:name="_Toc497224223"/>
      <w:bookmarkStart w:id="1152" w:name="_Toc365985175"/>
      <w:bookmarkStart w:id="1153" w:name="_Toc349143585"/>
      <w:bookmarkStart w:id="1154" w:name="_Toc345513863"/>
      <w:bookmarkStart w:id="1155" w:name="_Toc339020091"/>
      <w:bookmarkStart w:id="1156" w:name="_Toc339362296"/>
      <w:r>
        <w:rPr>
          <w:rFonts w:hint="eastAsia"/>
          <w:color w:val="000000" w:themeColor="text1"/>
          <w:highlight w:val="none"/>
        </w:rPr>
        <w:t>对投标文件的初审和响应性的确定</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rPr>
      </w:pPr>
      <w:r>
        <w:rPr>
          <w:rFonts w:hint="eastAsia" w:ascii="宋体"/>
          <w:bCs/>
          <w:color w:val="000000" w:themeColor="text1"/>
          <w:highlight w:val="none"/>
        </w:rPr>
        <w:t xml:space="preserve">23.2   </w:t>
      </w:r>
      <w:r>
        <w:rPr>
          <w:rFonts w:hint="eastAsia" w:ascii="宋体" w:hAnsi="宋体"/>
          <w:color w:val="000000" w:themeColor="text1"/>
          <w:highlight w:val="none"/>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rPr>
        <w:t>是</w:t>
      </w:r>
      <w:r>
        <w:rPr>
          <w:rFonts w:hint="eastAsia" w:ascii="宋体"/>
          <w:bCs/>
          <w:color w:val="000000" w:themeColor="text1"/>
          <w:highlight w:val="none"/>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 xml:space="preserve">5 </w:t>
      </w:r>
      <w:r>
        <w:rPr>
          <w:rFonts w:hint="eastAsia" w:ascii="宋体"/>
          <w:bCs/>
          <w:color w:val="000000" w:themeColor="text1"/>
          <w:highlight w:val="none"/>
        </w:rPr>
        <w:tab/>
      </w:r>
      <w:r>
        <w:rPr>
          <w:rFonts w:hint="eastAsia" w:ascii="宋体" w:hAnsi="宋体"/>
          <w:bCs/>
          <w:color w:val="000000" w:themeColor="text1"/>
          <w:highlight w:val="none"/>
        </w:rPr>
        <w:t>如果发现下列情况之一的，其投标将被拒绝而作无效投标处理：</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资格审查结果为不合格的；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投标人未提交投标保证金或投标保证金金额不足或无效的；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投标函</w:t>
      </w:r>
      <w:r>
        <w:rPr>
          <w:rFonts w:ascii="宋体" w:hAnsi="宋体"/>
          <w:bCs/>
          <w:color w:val="000000" w:themeColor="text1"/>
          <w:highlight w:val="none"/>
        </w:rPr>
        <w:t>未加盖</w:t>
      </w:r>
      <w:r>
        <w:rPr>
          <w:rFonts w:hint="eastAsia" w:ascii="宋体" w:hAnsi="宋体"/>
          <w:bCs/>
          <w:color w:val="000000" w:themeColor="text1"/>
          <w:highlight w:val="none"/>
        </w:rPr>
        <w:t>投标人</w:t>
      </w:r>
      <w:r>
        <w:rPr>
          <w:rFonts w:ascii="宋体" w:hAnsi="宋体"/>
          <w:bCs/>
          <w:color w:val="000000" w:themeColor="text1"/>
          <w:highlight w:val="none"/>
        </w:rPr>
        <w:t>公章</w:t>
      </w:r>
      <w:r>
        <w:rPr>
          <w:rFonts w:hint="eastAsia" w:ascii="宋体" w:hAnsi="宋体"/>
          <w:bCs/>
          <w:color w:val="000000" w:themeColor="text1"/>
          <w:highlight w:val="none"/>
        </w:rPr>
        <w:t>或</w:t>
      </w:r>
      <w:r>
        <w:rPr>
          <w:rFonts w:ascii="宋体" w:hAnsi="宋体"/>
          <w:bCs/>
          <w:color w:val="000000" w:themeColor="text1"/>
          <w:highlight w:val="none"/>
        </w:rPr>
        <w:t>未有</w:t>
      </w:r>
      <w:r>
        <w:rPr>
          <w:rFonts w:hint="eastAsia" w:ascii="宋体" w:hAnsi="宋体"/>
          <w:bCs/>
          <w:color w:val="000000" w:themeColor="text1"/>
          <w:highlight w:val="none"/>
        </w:rPr>
        <w:t>法定代表人（负责人）</w:t>
      </w:r>
      <w:r>
        <w:rPr>
          <w:rFonts w:ascii="宋体" w:hAnsi="宋体"/>
          <w:bCs/>
          <w:color w:val="000000" w:themeColor="text1"/>
          <w:highlight w:val="none"/>
        </w:rPr>
        <w:t>或者被授权人签名的；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未按招标文件规定格式填写或者字迹模糊不清的；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投标报价超出最高投标报价（预算价）上限的；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 xml:space="preserve">投标文件载明的招标项目完工期（服务期）超过招标文件规定的期限，或服务期不满足招标文件规定要求的； </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投标有效期不足的；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投标文件附有采购人或代理采购机构不能接受的条件的；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招标文件规定的其他实质性要求的；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法律、法规规定的其他废标条款。</w:t>
      </w:r>
    </w:p>
    <w:p>
      <w:pPr>
        <w:pStyle w:val="7"/>
        <w:numPr>
          <w:ilvl w:val="4"/>
          <w:numId w:val="25"/>
        </w:numPr>
        <w:tabs>
          <w:tab w:val="left" w:pos="720"/>
        </w:tabs>
        <w:spacing w:before="240" w:after="120"/>
        <w:ind w:left="2432" w:hanging="2432"/>
        <w:rPr>
          <w:color w:val="000000" w:themeColor="text1"/>
          <w:highlight w:val="none"/>
        </w:rPr>
      </w:pPr>
      <w:bookmarkStart w:id="1157" w:name="_Toc350438746"/>
      <w:bookmarkStart w:id="1158" w:name="_Toc339020092"/>
      <w:bookmarkStart w:id="1159" w:name="_Toc331512895"/>
      <w:bookmarkStart w:id="1160" w:name="_Toc340507439"/>
      <w:bookmarkStart w:id="1161" w:name="_Toc339441084"/>
      <w:bookmarkStart w:id="1162" w:name="_Toc330459982"/>
      <w:bookmarkStart w:id="1163" w:name="_Toc349143586"/>
      <w:bookmarkStart w:id="1164" w:name="_Toc342060371"/>
      <w:bookmarkStart w:id="1165" w:name="_Toc350756447"/>
      <w:bookmarkStart w:id="1166" w:name="_Toc365967070"/>
      <w:bookmarkStart w:id="1167" w:name="_Toc345513864"/>
      <w:bookmarkStart w:id="1168" w:name="_Toc366072525"/>
      <w:bookmarkStart w:id="1169" w:name="_Toc341348335"/>
      <w:bookmarkStart w:id="1170" w:name="_Toc365985176"/>
      <w:bookmarkStart w:id="1171" w:name="_Toc374454597"/>
      <w:bookmarkStart w:id="1172" w:name="_Toc332206705"/>
      <w:bookmarkStart w:id="1173" w:name="_Toc15934"/>
      <w:bookmarkStart w:id="1174" w:name="_Toc333935684"/>
      <w:bookmarkStart w:id="1175" w:name="_Toc339019886"/>
      <w:bookmarkStart w:id="1176" w:name="_Toc333237674"/>
      <w:bookmarkStart w:id="1177" w:name="_Toc340677067"/>
      <w:bookmarkStart w:id="1178" w:name="_Toc333238630"/>
      <w:bookmarkStart w:id="1179" w:name="_Toc340672866"/>
      <w:bookmarkStart w:id="1180" w:name="_Toc339020012"/>
      <w:bookmarkStart w:id="1181" w:name="_Toc333935343"/>
      <w:bookmarkStart w:id="1182" w:name="_Toc333237785"/>
      <w:bookmarkStart w:id="1183" w:name="_Toc349127623"/>
      <w:bookmarkStart w:id="1184" w:name="_Toc332270343"/>
      <w:bookmarkStart w:id="1185" w:name="_Toc339362297"/>
      <w:bookmarkStart w:id="1186" w:name="_Toc331684035"/>
      <w:bookmarkStart w:id="1187" w:name="_Toc336681932"/>
      <w:bookmarkStart w:id="1188" w:name="_Toc342296757"/>
      <w:bookmarkStart w:id="1189" w:name="_Toc336681577"/>
      <w:bookmarkStart w:id="1190" w:name="_Toc339020230"/>
      <w:bookmarkStart w:id="1191" w:name="_Toc337632355"/>
      <w:r>
        <w:rPr>
          <w:rFonts w:hint="eastAsia"/>
          <w:color w:val="000000" w:themeColor="text1"/>
          <w:highlight w:val="none"/>
        </w:rPr>
        <w:t>投标报价的审核</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 xml:space="preserve">24.1 </w:t>
      </w:r>
      <w:r>
        <w:rPr>
          <w:rFonts w:hint="eastAsia" w:ascii="宋体" w:hAnsi="宋体"/>
          <w:bCs/>
          <w:color w:val="000000" w:themeColor="text1"/>
          <w:highlight w:val="none"/>
        </w:rPr>
        <w:tab/>
      </w:r>
      <w:r>
        <w:rPr>
          <w:rFonts w:hint="eastAsia" w:ascii="宋体" w:hAnsi="宋体"/>
          <w:bCs/>
          <w:color w:val="000000" w:themeColor="text1"/>
          <w:highlight w:val="none"/>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rPr>
      </w:pPr>
      <w:r>
        <w:rPr>
          <w:rFonts w:hint="eastAsia" w:ascii="宋体" w:hAnsi="宋体"/>
          <w:bCs/>
          <w:color w:val="000000" w:themeColor="text1"/>
          <w:highlight w:val="none"/>
        </w:rPr>
        <w:t xml:space="preserve">24.2  </w:t>
      </w:r>
      <w:r>
        <w:rPr>
          <w:rFonts w:ascii="宋体" w:hAnsi="宋体"/>
          <w:bCs/>
          <w:color w:val="000000" w:themeColor="text1"/>
          <w:highlight w:val="none"/>
        </w:rPr>
        <w:t>（1）</w:t>
      </w:r>
      <w:r>
        <w:rPr>
          <w:rFonts w:hint="eastAsia" w:ascii="宋体" w:hAnsi="宋体"/>
          <w:bCs/>
          <w:color w:val="000000" w:themeColor="text1"/>
          <w:highlight w:val="none"/>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大写金额和小写金额不一致的，以大写金额为准;</w:t>
      </w:r>
    </w:p>
    <w:p>
      <w:pPr>
        <w:spacing w:line="360" w:lineRule="auto"/>
        <w:ind w:firstLine="735" w:firstLineChars="350"/>
        <w:jc w:val="left"/>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（4）</w:t>
      </w:r>
      <w:r>
        <w:rPr>
          <w:rFonts w:hint="eastAsia" w:ascii="宋体" w:hAnsi="宋体"/>
          <w:bCs/>
          <w:color w:val="000000" w:themeColor="text1"/>
          <w:highlight w:val="none"/>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rPr>
      </w:pPr>
      <w:r>
        <w:rPr>
          <w:rFonts w:ascii="宋体" w:hAnsi="宋体"/>
          <w:bCs/>
          <w:color w:val="000000" w:themeColor="text1"/>
          <w:highlight w:val="none"/>
        </w:rPr>
        <w:t>（5）</w:t>
      </w:r>
      <w:r>
        <w:rPr>
          <w:rFonts w:hint="eastAsia" w:ascii="宋体" w:hAnsi="宋体"/>
          <w:bCs/>
          <w:color w:val="000000" w:themeColor="text1"/>
          <w:highlight w:val="none"/>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7"/>
        <w:numPr>
          <w:ilvl w:val="4"/>
          <w:numId w:val="25"/>
        </w:numPr>
        <w:tabs>
          <w:tab w:val="left" w:pos="720"/>
        </w:tabs>
        <w:spacing w:before="240" w:after="120"/>
        <w:ind w:left="2432" w:hanging="2432"/>
        <w:rPr>
          <w:color w:val="000000" w:themeColor="text1"/>
          <w:highlight w:val="none"/>
        </w:rPr>
      </w:pPr>
      <w:bookmarkStart w:id="1192" w:name="_Toc339441085"/>
      <w:bookmarkStart w:id="1193" w:name="_Toc349143587"/>
      <w:bookmarkStart w:id="1194" w:name="_Toc341348336"/>
      <w:bookmarkStart w:id="1195" w:name="_Toc332270344"/>
      <w:bookmarkStart w:id="1196" w:name="_Toc345513865"/>
      <w:bookmarkStart w:id="1197" w:name="_Toc339020013"/>
      <w:bookmarkStart w:id="1198" w:name="_Toc12353"/>
      <w:bookmarkStart w:id="1199" w:name="_Toc342060372"/>
      <w:bookmarkStart w:id="1200" w:name="_Toc333935344"/>
      <w:bookmarkStart w:id="1201" w:name="_Toc333238631"/>
      <w:bookmarkStart w:id="1202" w:name="_Toc349127624"/>
      <w:bookmarkStart w:id="1203" w:name="_Toc365967071"/>
      <w:bookmarkStart w:id="1204" w:name="_Toc339020231"/>
      <w:bookmarkStart w:id="1205" w:name="_Toc330459983"/>
      <w:bookmarkStart w:id="1206" w:name="_Toc365985177"/>
      <w:bookmarkStart w:id="1207" w:name="_Toc339020093"/>
      <w:bookmarkStart w:id="1208" w:name="_Toc366072526"/>
      <w:bookmarkStart w:id="1209" w:name="_Toc333237675"/>
      <w:bookmarkStart w:id="1210" w:name="_Toc336681933"/>
      <w:bookmarkStart w:id="1211" w:name="_Toc336681578"/>
      <w:bookmarkStart w:id="1212" w:name="_Toc339362298"/>
      <w:bookmarkStart w:id="1213" w:name="_Toc339019887"/>
      <w:bookmarkStart w:id="1214" w:name="_Toc340672867"/>
      <w:bookmarkStart w:id="1215" w:name="_Toc331684036"/>
      <w:bookmarkStart w:id="1216" w:name="_Toc497224224"/>
      <w:bookmarkStart w:id="1217" w:name="_Toc350438747"/>
      <w:bookmarkStart w:id="1218" w:name="_Toc332206706"/>
      <w:bookmarkStart w:id="1219" w:name="_Toc342296758"/>
      <w:bookmarkStart w:id="1220" w:name="_Toc340677068"/>
      <w:bookmarkStart w:id="1221" w:name="_Toc350756448"/>
      <w:bookmarkStart w:id="1222" w:name="_Toc333935685"/>
      <w:bookmarkStart w:id="1223" w:name="_Toc503785426"/>
      <w:bookmarkStart w:id="1224" w:name="_Toc340507440"/>
      <w:bookmarkStart w:id="1225" w:name="_Toc331512896"/>
      <w:bookmarkStart w:id="1226" w:name="_Toc337632356"/>
      <w:bookmarkStart w:id="1227" w:name="_Toc333237786"/>
      <w:bookmarkStart w:id="1228" w:name="_Toc374454598"/>
      <w:r>
        <w:rPr>
          <w:rFonts w:hint="eastAsia"/>
          <w:color w:val="000000" w:themeColor="text1"/>
          <w:highlight w:val="none"/>
        </w:rPr>
        <w:t>询标及投标文件的澄清</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rPr>
      </w:pPr>
      <w:r>
        <w:rPr>
          <w:rFonts w:ascii="宋体"/>
          <w:color w:val="000000" w:themeColor="text1"/>
          <w:highlight w:val="none"/>
        </w:rPr>
        <w:t>2</w:t>
      </w:r>
      <w:r>
        <w:rPr>
          <w:rFonts w:hint="eastAsia" w:ascii="宋体"/>
          <w:color w:val="000000" w:themeColor="text1"/>
          <w:highlight w:val="none"/>
        </w:rPr>
        <w:t>5</w:t>
      </w:r>
      <w:r>
        <w:rPr>
          <w:rFonts w:ascii="宋体"/>
          <w:color w:val="000000" w:themeColor="text1"/>
          <w:highlight w:val="none"/>
        </w:rPr>
        <w:t>.2</w:t>
      </w:r>
      <w:r>
        <w:rPr>
          <w:rFonts w:hint="eastAsia" w:ascii="宋体"/>
          <w:color w:val="000000" w:themeColor="text1"/>
          <w:highlight w:val="none"/>
        </w:rPr>
        <w:t xml:space="preserve"> </w:t>
      </w:r>
      <w:r>
        <w:rPr>
          <w:rFonts w:hint="eastAsia" w:ascii="宋体"/>
          <w:color w:val="000000" w:themeColor="text1"/>
          <w:highlight w:val="none"/>
        </w:rPr>
        <w:tab/>
      </w:r>
      <w:r>
        <w:rPr>
          <w:rFonts w:hint="eastAsia" w:ascii="宋体"/>
          <w:color w:val="000000" w:themeColor="text1"/>
          <w:highlight w:val="none"/>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rPr>
      </w:pPr>
      <w:r>
        <w:rPr>
          <w:rFonts w:hint="eastAsia" w:ascii="宋体" w:hAnsi="宋体"/>
          <w:color w:val="000000" w:themeColor="text1"/>
          <w:highlight w:val="none"/>
        </w:rPr>
        <w:t>25.3</w:t>
      </w:r>
      <w:r>
        <w:rPr>
          <w:rFonts w:hint="eastAsia"/>
          <w:color w:val="000000" w:themeColor="text1"/>
          <w:highlight w:val="none"/>
        </w:rPr>
        <w:tab/>
      </w:r>
      <w:r>
        <w:rPr>
          <w:rFonts w:hint="eastAsia" w:cs="Arial Unicode MS"/>
          <w:color w:val="000000" w:themeColor="text1"/>
          <w:highlight w:val="none"/>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7"/>
        <w:numPr>
          <w:ilvl w:val="4"/>
          <w:numId w:val="25"/>
        </w:numPr>
        <w:tabs>
          <w:tab w:val="left" w:pos="720"/>
        </w:tabs>
        <w:spacing w:before="240" w:after="120"/>
        <w:ind w:left="2432" w:hanging="2432"/>
        <w:rPr>
          <w:color w:val="000000" w:themeColor="text1"/>
          <w:highlight w:val="none"/>
        </w:rPr>
      </w:pPr>
      <w:bookmarkStart w:id="1229" w:name="_Toc341348337"/>
      <w:bookmarkStart w:id="1230" w:name="_Toc25591"/>
      <w:bookmarkStart w:id="1231" w:name="_Toc331512897"/>
      <w:bookmarkStart w:id="1232" w:name="_Toc345513866"/>
      <w:bookmarkStart w:id="1233" w:name="_Toc337632357"/>
      <w:bookmarkStart w:id="1234" w:name="_Toc339019888"/>
      <w:bookmarkStart w:id="1235" w:name="_Toc374454599"/>
      <w:bookmarkStart w:id="1236" w:name="_Toc340507441"/>
      <w:bookmarkStart w:id="1237" w:name="_Toc332270345"/>
      <w:bookmarkStart w:id="1238" w:name="_Toc349143588"/>
      <w:bookmarkStart w:id="1239" w:name="_Toc365967072"/>
      <w:bookmarkStart w:id="1240" w:name="_Toc365985178"/>
      <w:bookmarkStart w:id="1241" w:name="_Toc332206707"/>
      <w:bookmarkStart w:id="1242" w:name="_Toc350756449"/>
      <w:bookmarkStart w:id="1243" w:name="_Toc342060373"/>
      <w:bookmarkStart w:id="1244" w:name="_Toc331684037"/>
      <w:bookmarkStart w:id="1245" w:name="_Toc339020014"/>
      <w:bookmarkStart w:id="1246" w:name="_Toc333238632"/>
      <w:bookmarkStart w:id="1247" w:name="_Toc349127625"/>
      <w:bookmarkStart w:id="1248" w:name="_Toc336681579"/>
      <w:bookmarkStart w:id="1249" w:name="_Toc339441086"/>
      <w:bookmarkStart w:id="1250" w:name="_Toc333935686"/>
      <w:bookmarkStart w:id="1251" w:name="_Toc339362299"/>
      <w:bookmarkStart w:id="1252" w:name="_Toc339020094"/>
      <w:bookmarkStart w:id="1253" w:name="_Toc333237676"/>
      <w:bookmarkStart w:id="1254" w:name="_Toc350438748"/>
      <w:bookmarkStart w:id="1255" w:name="_Toc336681934"/>
      <w:bookmarkStart w:id="1256" w:name="_Toc339020232"/>
      <w:bookmarkStart w:id="1257" w:name="_Toc333237787"/>
      <w:bookmarkStart w:id="1258" w:name="_Toc340677069"/>
      <w:bookmarkStart w:id="1259" w:name="_Toc330459984"/>
      <w:bookmarkStart w:id="1260" w:name="_Toc342296759"/>
      <w:bookmarkStart w:id="1261" w:name="_Toc340672868"/>
      <w:bookmarkStart w:id="1262" w:name="_Toc366072527"/>
      <w:bookmarkStart w:id="1263" w:name="_Toc333935345"/>
      <w:r>
        <w:rPr>
          <w:rFonts w:hint="eastAsia"/>
          <w:color w:val="000000" w:themeColor="text1"/>
          <w:highlight w:val="none"/>
        </w:rPr>
        <w:t>评标原则</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26.2</w:t>
      </w:r>
      <w:r>
        <w:rPr>
          <w:rFonts w:hint="eastAsia" w:ascii="宋体"/>
          <w:bCs/>
          <w:color w:val="000000" w:themeColor="text1"/>
          <w:highlight w:val="none"/>
        </w:rPr>
        <w:tab/>
      </w:r>
      <w:r>
        <w:rPr>
          <w:rFonts w:hint="eastAsia" w:ascii="宋体"/>
          <w:bCs/>
          <w:color w:val="000000" w:themeColor="text1"/>
          <w:highlight w:val="none"/>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26.3</w:t>
      </w:r>
      <w:r>
        <w:rPr>
          <w:rFonts w:hint="eastAsia" w:ascii="宋体"/>
          <w:bCs/>
          <w:color w:val="000000" w:themeColor="text1"/>
          <w:highlight w:val="none"/>
        </w:rPr>
        <w:tab/>
      </w:r>
      <w:r>
        <w:rPr>
          <w:rFonts w:hint="eastAsia" w:ascii="宋体"/>
          <w:bCs/>
          <w:color w:val="000000" w:themeColor="text1"/>
          <w:highlight w:val="none"/>
        </w:rPr>
        <w:t>实行科学评估、集体决策。</w:t>
      </w:r>
    </w:p>
    <w:p>
      <w:pPr>
        <w:pStyle w:val="7"/>
        <w:numPr>
          <w:ilvl w:val="4"/>
          <w:numId w:val="25"/>
        </w:numPr>
        <w:tabs>
          <w:tab w:val="left" w:pos="720"/>
        </w:tabs>
        <w:spacing w:before="240" w:after="120"/>
        <w:ind w:left="2432" w:hanging="2432"/>
        <w:rPr>
          <w:color w:val="000000" w:themeColor="text1"/>
          <w:highlight w:val="none"/>
        </w:rPr>
      </w:pPr>
      <w:bookmarkStart w:id="1264" w:name="_Toc332206708"/>
      <w:bookmarkStart w:id="1265" w:name="_Toc374454600"/>
      <w:bookmarkStart w:id="1266" w:name="_Toc350756450"/>
      <w:bookmarkStart w:id="1267" w:name="_Toc332270346"/>
      <w:bookmarkStart w:id="1268" w:name="_Toc365985179"/>
      <w:bookmarkStart w:id="1269" w:name="_Toc349127626"/>
      <w:bookmarkStart w:id="1270" w:name="_Toc336681935"/>
      <w:bookmarkStart w:id="1271" w:name="_Toc333238633"/>
      <w:bookmarkStart w:id="1272" w:name="_Toc365967073"/>
      <w:bookmarkStart w:id="1273" w:name="_Toc339020233"/>
      <w:bookmarkStart w:id="1274" w:name="_Toc349143589"/>
      <w:bookmarkStart w:id="1275" w:name="_Toc339020095"/>
      <w:bookmarkStart w:id="1276" w:name="_Toc366072528"/>
      <w:bookmarkStart w:id="1277" w:name="_Toc331684038"/>
      <w:bookmarkStart w:id="1278" w:name="_Toc340677070"/>
      <w:bookmarkStart w:id="1279" w:name="_Toc331512898"/>
      <w:bookmarkStart w:id="1280" w:name="_Toc340507442"/>
      <w:bookmarkStart w:id="1281" w:name="_Toc350438749"/>
      <w:bookmarkStart w:id="1282" w:name="_Toc339441087"/>
      <w:bookmarkStart w:id="1283" w:name="_Toc339020015"/>
      <w:bookmarkStart w:id="1284" w:name="_Toc342060374"/>
      <w:bookmarkStart w:id="1285" w:name="_Toc336681580"/>
      <w:bookmarkStart w:id="1286" w:name="_Toc333935687"/>
      <w:bookmarkStart w:id="1287" w:name="_Toc333237677"/>
      <w:bookmarkStart w:id="1288" w:name="_Toc340672869"/>
      <w:bookmarkStart w:id="1289" w:name="_Toc339019889"/>
      <w:bookmarkStart w:id="1290" w:name="_Toc333237788"/>
      <w:bookmarkStart w:id="1291" w:name="_Toc333935346"/>
      <w:bookmarkStart w:id="1292" w:name="_Toc15171"/>
      <w:bookmarkStart w:id="1293" w:name="_Toc345513867"/>
      <w:bookmarkStart w:id="1294" w:name="_Toc330459985"/>
      <w:bookmarkStart w:id="1295" w:name="_Toc339362300"/>
      <w:bookmarkStart w:id="1296" w:name="_Toc341348338"/>
      <w:bookmarkStart w:id="1297" w:name="_Toc342296760"/>
      <w:bookmarkStart w:id="1298" w:name="_Toc337632358"/>
      <w:r>
        <w:rPr>
          <w:rFonts w:hint="eastAsia"/>
          <w:color w:val="000000" w:themeColor="text1"/>
          <w:highlight w:val="none"/>
        </w:rPr>
        <w:t>评标标准和办法</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24"/>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27.1</w:t>
      </w:r>
      <w:r>
        <w:rPr>
          <w:rFonts w:hint="eastAsia" w:hAnsi="宋体"/>
          <w:bCs/>
          <w:color w:val="000000" w:themeColor="text1"/>
          <w:highlight w:val="none"/>
        </w:rPr>
        <w:tab/>
      </w:r>
      <w:r>
        <w:rPr>
          <w:rFonts w:hint="eastAsia" w:hAnsi="宋体"/>
          <w:bCs/>
          <w:color w:val="000000" w:themeColor="text1"/>
          <w:highlight w:val="none"/>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4"/>
        <w:widowControl/>
        <w:tabs>
          <w:tab w:val="left" w:pos="753"/>
        </w:tabs>
        <w:adjustRightInd w:val="0"/>
        <w:snapToGrid w:val="0"/>
        <w:spacing w:line="360" w:lineRule="auto"/>
        <w:ind w:left="752" w:hanging="751" w:hangingChars="358"/>
        <w:rPr>
          <w:rFonts w:hAnsi="宋体"/>
          <w:color w:val="000000" w:themeColor="text1"/>
          <w:highlight w:val="none"/>
        </w:rPr>
      </w:pPr>
      <w:r>
        <w:rPr>
          <w:rFonts w:hint="eastAsia" w:hAnsi="宋体"/>
          <w:bCs/>
          <w:color w:val="000000" w:themeColor="text1"/>
          <w:highlight w:val="none"/>
        </w:rPr>
        <w:t>27</w:t>
      </w:r>
      <w:r>
        <w:rPr>
          <w:rFonts w:hAnsi="宋体"/>
          <w:bCs/>
          <w:color w:val="000000" w:themeColor="text1"/>
          <w:highlight w:val="none"/>
        </w:rPr>
        <w:t>.2</w:t>
      </w:r>
      <w:r>
        <w:rPr>
          <w:rFonts w:hint="eastAsia" w:hAnsi="宋体"/>
          <w:bCs/>
          <w:color w:val="000000" w:themeColor="text1"/>
          <w:highlight w:val="none"/>
        </w:rPr>
        <w:tab/>
      </w:r>
      <w:bookmarkStart w:id="1299" w:name="_Toc500861023"/>
      <w:bookmarkStart w:id="1300" w:name="_Toc500953375"/>
      <w:bookmarkStart w:id="1301" w:name="_Toc497707712"/>
      <w:r>
        <w:rPr>
          <w:rFonts w:hint="eastAsia" w:hAnsi="宋体"/>
          <w:bCs/>
          <w:color w:val="000000" w:themeColor="text1"/>
          <w:highlight w:val="none"/>
        </w:rPr>
        <w:t>采用计分法（综合评价法）来确定各投标人的排名。其操作程序为：</w:t>
      </w:r>
      <w:r>
        <w:rPr>
          <w:rFonts w:hint="eastAsia" w:hAnsi="宋体"/>
          <w:b/>
          <w:color w:val="000000" w:themeColor="text1"/>
          <w:highlight w:val="none"/>
        </w:rPr>
        <w:t>详见H评标细则。</w:t>
      </w:r>
    </w:p>
    <w:p>
      <w:pPr>
        <w:pStyle w:val="7"/>
        <w:numPr>
          <w:ilvl w:val="4"/>
          <w:numId w:val="25"/>
        </w:numPr>
        <w:tabs>
          <w:tab w:val="left" w:pos="720"/>
        </w:tabs>
        <w:spacing w:before="240" w:after="120"/>
        <w:ind w:left="2432" w:hanging="2432"/>
        <w:rPr>
          <w:color w:val="000000" w:themeColor="text1"/>
          <w:highlight w:val="none"/>
        </w:rPr>
      </w:pPr>
      <w:bookmarkStart w:id="1302" w:name="_Toc28417"/>
      <w:bookmarkStart w:id="1303" w:name="_Toc327368025"/>
      <w:bookmarkStart w:id="1304" w:name="_Toc327367761"/>
      <w:bookmarkStart w:id="1305" w:name="_Toc366072529"/>
      <w:bookmarkStart w:id="1306" w:name="_Toc342060375"/>
      <w:bookmarkStart w:id="1307" w:name="_Toc330459986"/>
      <w:bookmarkStart w:id="1308" w:name="_Toc339020016"/>
      <w:bookmarkStart w:id="1309" w:name="_Toc333935347"/>
      <w:bookmarkStart w:id="1310" w:name="_Toc333237789"/>
      <w:bookmarkStart w:id="1311" w:name="_Toc341348339"/>
      <w:bookmarkStart w:id="1312" w:name="_Toc339019890"/>
      <w:bookmarkStart w:id="1313" w:name="_Toc339441088"/>
      <w:bookmarkStart w:id="1314" w:name="_Toc333935688"/>
      <w:bookmarkStart w:id="1315" w:name="_Toc331512899"/>
      <w:bookmarkStart w:id="1316" w:name="_Toc345513902"/>
      <w:bookmarkStart w:id="1317" w:name="_Toc333237678"/>
      <w:bookmarkStart w:id="1318" w:name="_Toc339362301"/>
      <w:bookmarkStart w:id="1319" w:name="_Toc340507443"/>
      <w:bookmarkStart w:id="1320" w:name="_Toc342296761"/>
      <w:bookmarkStart w:id="1321" w:name="_Toc337632359"/>
      <w:bookmarkStart w:id="1322" w:name="_Toc336681581"/>
      <w:bookmarkStart w:id="1323" w:name="_Toc336681936"/>
      <w:bookmarkStart w:id="1324" w:name="_Toc332270347"/>
      <w:bookmarkStart w:id="1325" w:name="_Toc339020234"/>
      <w:bookmarkStart w:id="1326" w:name="_Toc333238634"/>
      <w:bookmarkStart w:id="1327" w:name="_Toc340672870"/>
      <w:bookmarkStart w:id="1328" w:name="_Toc340677071"/>
      <w:bookmarkStart w:id="1329" w:name="_Toc331684039"/>
      <w:bookmarkStart w:id="1330" w:name="_Toc339020096"/>
      <w:bookmarkStart w:id="1331" w:name="_Toc332206709"/>
      <w:r>
        <w:rPr>
          <w:rFonts w:hint="eastAsia"/>
          <w:color w:val="000000" w:themeColor="text1"/>
          <w:highlight w:val="none"/>
        </w:rPr>
        <w:t>评标注意事项</w:t>
      </w:r>
      <w:bookmarkEnd w:id="1302"/>
      <w:bookmarkEnd w:id="1303"/>
      <w:bookmarkEnd w:id="1304"/>
      <w:bookmarkEnd w:id="1305"/>
    </w:p>
    <w:bookmarkEnd w:id="35"/>
    <w:bookmarkEnd w:id="1299"/>
    <w:bookmarkEnd w:id="1300"/>
    <w:bookmarkEnd w:id="1301"/>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bookmarkStart w:id="1332" w:name="_Toc26066260"/>
      <w:bookmarkStart w:id="1333" w:name="_Toc500861027"/>
      <w:bookmarkStart w:id="1334" w:name="_Toc6727972"/>
      <w:bookmarkStart w:id="1335" w:name="_Toc6397151"/>
      <w:bookmarkStart w:id="1336" w:name="_Toc491658680"/>
      <w:r>
        <w:rPr>
          <w:rFonts w:hint="eastAsia" w:ascii="宋体" w:hAnsi="宋体"/>
          <w:bCs/>
          <w:color w:val="000000" w:themeColor="text1"/>
          <w:highlight w:val="none"/>
        </w:rPr>
        <w:t>28.1</w:t>
      </w:r>
      <w:r>
        <w:rPr>
          <w:rFonts w:hint="eastAsia" w:ascii="宋体" w:hAnsi="宋体"/>
          <w:bCs/>
          <w:color w:val="000000" w:themeColor="text1"/>
          <w:highlight w:val="none"/>
        </w:rPr>
        <w:tab/>
      </w:r>
      <w:r>
        <w:rPr>
          <w:rFonts w:hint="eastAsia" w:ascii="宋体" w:hAnsi="宋体"/>
          <w:bCs/>
          <w:color w:val="000000" w:themeColor="text1"/>
          <w:highlight w:val="none"/>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28.2 </w:t>
      </w:r>
      <w:r>
        <w:rPr>
          <w:rFonts w:hint="eastAsia" w:ascii="宋体" w:hAnsi="宋体"/>
          <w:bCs/>
          <w:color w:val="000000" w:themeColor="text1"/>
          <w:highlight w:val="none"/>
        </w:rPr>
        <w:tab/>
      </w:r>
      <w:r>
        <w:rPr>
          <w:rFonts w:hint="eastAsia" w:ascii="宋体" w:hAnsi="宋体"/>
          <w:bCs/>
          <w:color w:val="000000" w:themeColor="text1"/>
          <w:highlight w:val="none"/>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28.3</w:t>
      </w:r>
      <w:r>
        <w:rPr>
          <w:rFonts w:hint="eastAsia" w:ascii="宋体" w:hAnsi="宋体"/>
          <w:bCs/>
          <w:color w:val="000000" w:themeColor="text1"/>
          <w:highlight w:val="none"/>
        </w:rPr>
        <w:tab/>
      </w:r>
      <w:r>
        <w:rPr>
          <w:rFonts w:hint="eastAsia" w:ascii="宋体" w:hAnsi="宋体"/>
          <w:bCs/>
          <w:color w:val="000000" w:themeColor="text1"/>
          <w:highlight w:val="none"/>
        </w:rPr>
        <w:t>在招标工作结束后，评标委员会成员和参与评标的有关工作人员不得透露与评标有关的情况。</w:t>
      </w:r>
    </w:p>
    <w:p>
      <w:pPr>
        <w:pStyle w:val="7"/>
        <w:numPr>
          <w:ilvl w:val="4"/>
          <w:numId w:val="25"/>
        </w:numPr>
        <w:tabs>
          <w:tab w:val="left" w:pos="720"/>
        </w:tabs>
        <w:spacing w:before="240" w:after="120"/>
        <w:ind w:left="2432" w:hanging="2432"/>
        <w:rPr>
          <w:color w:val="000000" w:themeColor="text1"/>
          <w:highlight w:val="none"/>
        </w:rPr>
      </w:pPr>
      <w:bookmarkStart w:id="1337" w:name="_Toc339362302"/>
      <w:bookmarkStart w:id="1338" w:name="_Toc333237790"/>
      <w:bookmarkStart w:id="1339" w:name="_Toc340672871"/>
      <w:bookmarkStart w:id="1340" w:name="_Toc339441089"/>
      <w:bookmarkStart w:id="1341" w:name="_Toc332270348"/>
      <w:bookmarkStart w:id="1342" w:name="_Toc374454602"/>
      <w:bookmarkStart w:id="1343" w:name="_Toc333238635"/>
      <w:bookmarkStart w:id="1344" w:name="_Toc337632360"/>
      <w:bookmarkStart w:id="1345" w:name="_Toc333935348"/>
      <w:bookmarkStart w:id="1346" w:name="_Toc365967074"/>
      <w:bookmarkStart w:id="1347" w:name="_Toc331684040"/>
      <w:bookmarkStart w:id="1348" w:name="_Toc342296762"/>
      <w:bookmarkStart w:id="1349" w:name="_Toc345513903"/>
      <w:bookmarkStart w:id="1350" w:name="_Toc340507444"/>
      <w:bookmarkStart w:id="1351" w:name="_Toc331512900"/>
      <w:bookmarkStart w:id="1352" w:name="_Toc339019891"/>
      <w:bookmarkStart w:id="1353" w:name="_Toc332206710"/>
      <w:bookmarkStart w:id="1354" w:name="_Toc366072530"/>
      <w:bookmarkStart w:id="1355" w:name="_Toc339020097"/>
      <w:bookmarkStart w:id="1356" w:name="_Toc349143591"/>
      <w:bookmarkStart w:id="1357" w:name="_Toc333935689"/>
      <w:bookmarkStart w:id="1358" w:name="_Toc339020017"/>
      <w:bookmarkStart w:id="1359" w:name="_Toc339020235"/>
      <w:bookmarkStart w:id="1360" w:name="_Toc342060376"/>
      <w:bookmarkStart w:id="1361" w:name="_Toc333237679"/>
      <w:bookmarkStart w:id="1362" w:name="_Toc350756452"/>
      <w:bookmarkStart w:id="1363" w:name="_Toc365985180"/>
      <w:bookmarkStart w:id="1364" w:name="_Toc341348340"/>
      <w:bookmarkStart w:id="1365" w:name="_Toc340677072"/>
      <w:bookmarkStart w:id="1366" w:name="_Toc330459987"/>
      <w:bookmarkStart w:id="1367" w:name="_Toc350438751"/>
      <w:bookmarkStart w:id="1368" w:name="_Toc336681937"/>
      <w:bookmarkStart w:id="1369" w:name="_Toc336681582"/>
      <w:bookmarkStart w:id="1370" w:name="_Toc13332"/>
      <w:bookmarkStart w:id="1371" w:name="_Toc349127628"/>
      <w:r>
        <w:rPr>
          <w:rFonts w:hint="eastAsia"/>
          <w:color w:val="000000" w:themeColor="text1"/>
          <w:highlight w:val="none"/>
        </w:rPr>
        <w:t>接受和拒绝投标的权利</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29.2</w:t>
      </w:r>
      <w:r>
        <w:rPr>
          <w:rFonts w:hint="eastAsia" w:ascii="宋体" w:hAnsi="宋体"/>
          <w:bCs/>
          <w:color w:val="000000" w:themeColor="text1"/>
          <w:highlight w:val="none"/>
        </w:rPr>
        <w:tab/>
      </w:r>
      <w:r>
        <w:rPr>
          <w:rFonts w:hint="eastAsia" w:ascii="宋体" w:hAnsi="宋体"/>
          <w:bCs/>
          <w:color w:val="000000" w:themeColor="text1"/>
          <w:highlight w:val="none"/>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7"/>
        <w:numPr>
          <w:ilvl w:val="4"/>
          <w:numId w:val="25"/>
        </w:numPr>
        <w:tabs>
          <w:tab w:val="left" w:pos="720"/>
        </w:tabs>
        <w:spacing w:before="240" w:after="120"/>
        <w:ind w:left="2432" w:hanging="2432"/>
        <w:rPr>
          <w:color w:val="000000" w:themeColor="text1"/>
          <w:highlight w:val="none"/>
        </w:rPr>
      </w:pPr>
      <w:bookmarkStart w:id="1372" w:name="_Toc366072531"/>
      <w:bookmarkStart w:id="1373" w:name="_Toc23657"/>
      <w:bookmarkStart w:id="1374" w:name="_Toc374454603"/>
      <w:r>
        <w:rPr>
          <w:rFonts w:hint="eastAsia"/>
          <w:color w:val="000000" w:themeColor="text1"/>
          <w:highlight w:val="none"/>
        </w:rPr>
        <w:t>发布中标结果公告和发放中标通知书</w:t>
      </w:r>
      <w:bookmarkEnd w:id="1372"/>
      <w:bookmarkEnd w:id="1373"/>
      <w:bookmarkEnd w:id="1374"/>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75" w:name="_Toc366072532"/>
      <w:r>
        <w:rPr>
          <w:rFonts w:hint="eastAsia" w:ascii="宋体" w:hAnsi="宋体"/>
          <w:color w:val="000000" w:themeColor="text1"/>
          <w:szCs w:val="21"/>
          <w:highlight w:val="none"/>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30.2   中标投标人确认后，中标结果将于指定媒体上公告(</w:t>
      </w:r>
      <w:r>
        <w:rPr>
          <w:rFonts w:hint="eastAsia" w:ascii="黑体" w:eastAsia="黑体"/>
          <w:bCs/>
          <w:color w:val="000000" w:themeColor="text1"/>
          <w:highlight w:val="none"/>
        </w:rPr>
        <w:t>详见第三部份《投标人须知〈投标人须知前附表〉》</w:t>
      </w:r>
      <w:r>
        <w:rPr>
          <w:rFonts w:hint="eastAsia" w:ascii="宋体" w:hAnsi="宋体"/>
          <w:color w:val="000000" w:themeColor="text1"/>
          <w:highlight w:val="none"/>
        </w:rPr>
        <w:t>)</w:t>
      </w:r>
      <w:r>
        <w:rPr>
          <w:rFonts w:hint="eastAsia" w:ascii="宋体" w:hAnsi="宋体"/>
          <w:color w:val="000000" w:themeColor="text1"/>
          <w:szCs w:val="21"/>
          <w:highlight w:val="none"/>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30.4   中标通知书发出后，采购人改变中标结果，或者中标投标人放弃中标，应当承担相应的法律责任。</w:t>
      </w:r>
    </w:p>
    <w:p>
      <w:pPr>
        <w:pStyle w:val="7"/>
        <w:numPr>
          <w:ilvl w:val="4"/>
          <w:numId w:val="25"/>
        </w:numPr>
        <w:tabs>
          <w:tab w:val="left" w:pos="720"/>
        </w:tabs>
        <w:spacing w:before="240" w:after="120"/>
        <w:ind w:left="2432" w:hanging="2432"/>
        <w:rPr>
          <w:color w:val="000000" w:themeColor="text1"/>
          <w:highlight w:val="none"/>
        </w:rPr>
      </w:pPr>
      <w:bookmarkStart w:id="1376" w:name="_Toc29551"/>
      <w:bookmarkStart w:id="1377" w:name="_Toc374454604"/>
      <w:r>
        <w:rPr>
          <w:rFonts w:hint="eastAsia"/>
          <w:color w:val="000000" w:themeColor="text1"/>
          <w:highlight w:val="none"/>
        </w:rPr>
        <w:t>投标人对中标结果的质疑、投诉</w:t>
      </w:r>
      <w:bookmarkEnd w:id="1375"/>
      <w:bookmarkEnd w:id="1376"/>
      <w:bookmarkEnd w:id="1377"/>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78" w:name="_Toc336681940"/>
      <w:bookmarkStart w:id="1379" w:name="_Toc333935692"/>
      <w:bookmarkStart w:id="1380" w:name="_Toc339020100"/>
      <w:bookmarkStart w:id="1381" w:name="_Toc345513906"/>
      <w:bookmarkStart w:id="1382" w:name="_Toc339441092"/>
      <w:bookmarkStart w:id="1383" w:name="_Toc330459990"/>
      <w:bookmarkStart w:id="1384" w:name="_Toc336681585"/>
      <w:bookmarkStart w:id="1385" w:name="_Toc339362305"/>
      <w:bookmarkStart w:id="1386" w:name="_Toc332270351"/>
      <w:bookmarkStart w:id="1387" w:name="_Toc350756455"/>
      <w:bookmarkStart w:id="1388" w:name="_Toc365985183"/>
      <w:bookmarkStart w:id="1389" w:name="_Toc333237793"/>
      <w:bookmarkStart w:id="1390" w:name="_Toc349127631"/>
      <w:bookmarkStart w:id="1391" w:name="_Toc340677075"/>
      <w:bookmarkStart w:id="1392" w:name="_Toc339020020"/>
      <w:bookmarkStart w:id="1393" w:name="_Toc332206713"/>
      <w:bookmarkStart w:id="1394" w:name="_Toc340672874"/>
      <w:bookmarkStart w:id="1395" w:name="_Toc331684043"/>
      <w:bookmarkStart w:id="1396" w:name="_Toc333238638"/>
      <w:bookmarkStart w:id="1397" w:name="_Toc339019894"/>
      <w:bookmarkStart w:id="1398" w:name="_Toc342296765"/>
      <w:bookmarkStart w:id="1399" w:name="_Toc349143594"/>
      <w:bookmarkStart w:id="1400" w:name="_Toc342060379"/>
      <w:bookmarkStart w:id="1401" w:name="_Toc350438754"/>
      <w:bookmarkStart w:id="1402" w:name="_Toc337632363"/>
      <w:bookmarkStart w:id="1403" w:name="_Toc331512903"/>
      <w:bookmarkStart w:id="1404" w:name="_Toc339020238"/>
      <w:bookmarkStart w:id="1405" w:name="_Toc365967077"/>
      <w:bookmarkStart w:id="1406" w:name="_Toc333935351"/>
      <w:bookmarkStart w:id="1407" w:name="_Toc341348343"/>
      <w:bookmarkStart w:id="1408" w:name="_Toc333237682"/>
      <w:bookmarkStart w:id="1409" w:name="_Toc340507447"/>
      <w:r>
        <w:rPr>
          <w:rFonts w:hint="eastAsia" w:ascii="宋体" w:hAnsi="宋体"/>
          <w:color w:val="000000" w:themeColor="text1"/>
          <w:szCs w:val="21"/>
          <w:highlight w:val="none"/>
        </w:rPr>
        <w:t>31.1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31.2   采购人或代理采购机构应当在收到投标投标人书面质疑后七个工作日内，对质疑内容作出答复。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31.6   质疑函应当署名。质疑投标人为自然人的，应当由本人签字；质疑投标人为法人或其他组织的，应由法定代表人（负责人）或者主要负责人签字并盖公章。</w:t>
      </w:r>
    </w:p>
    <w:p>
      <w:pPr>
        <w:pStyle w:val="5"/>
        <w:numPr>
          <w:ilvl w:val="0"/>
          <w:numId w:val="0"/>
        </w:numPr>
        <w:rPr>
          <w:color w:val="000000" w:themeColor="text1"/>
          <w:sz w:val="24"/>
          <w:highlight w:val="none"/>
        </w:rPr>
      </w:pPr>
      <w:bookmarkStart w:id="1410" w:name="_Toc374454605"/>
      <w:bookmarkStart w:id="1411" w:name="_Toc366072533"/>
      <w:r>
        <w:rPr>
          <w:color w:val="000000" w:themeColor="text1"/>
          <w:sz w:val="24"/>
          <w:highlight w:val="none"/>
        </w:rPr>
        <w:br w:type="page"/>
      </w:r>
      <w:bookmarkStart w:id="1412" w:name="_Toc23099"/>
      <w:r>
        <w:rPr>
          <w:rFonts w:hint="eastAsia"/>
          <w:color w:val="000000" w:themeColor="text1"/>
          <w:sz w:val="24"/>
          <w:highlight w:val="none"/>
        </w:rPr>
        <w:t>Ｆ  授予合同</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7"/>
        <w:numPr>
          <w:ilvl w:val="4"/>
          <w:numId w:val="25"/>
        </w:numPr>
        <w:tabs>
          <w:tab w:val="left" w:pos="720"/>
        </w:tabs>
        <w:spacing w:before="240" w:after="120"/>
        <w:ind w:left="2432" w:hanging="2432"/>
        <w:rPr>
          <w:color w:val="000000" w:themeColor="text1"/>
          <w:highlight w:val="none"/>
        </w:rPr>
      </w:pPr>
      <w:bookmarkStart w:id="1413" w:name="_Toc341348344"/>
      <w:bookmarkStart w:id="1414" w:name="_Toc342060380"/>
      <w:bookmarkStart w:id="1415" w:name="_Toc366072534"/>
      <w:bookmarkStart w:id="1416" w:name="_Toc330459991"/>
      <w:bookmarkStart w:id="1417" w:name="_Toc339020021"/>
      <w:bookmarkStart w:id="1418" w:name="_Toc333238639"/>
      <w:bookmarkStart w:id="1419" w:name="_Toc340677076"/>
      <w:bookmarkStart w:id="1420" w:name="_Toc333237794"/>
      <w:bookmarkStart w:id="1421" w:name="_Toc336681586"/>
      <w:bookmarkStart w:id="1422" w:name="_Toc339020239"/>
      <w:bookmarkStart w:id="1423" w:name="_Toc340507448"/>
      <w:bookmarkStart w:id="1424" w:name="_Toc332206714"/>
      <w:bookmarkStart w:id="1425" w:name="_Toc339362306"/>
      <w:bookmarkStart w:id="1426" w:name="_Toc339019895"/>
      <w:bookmarkStart w:id="1427" w:name="_Toc20080"/>
      <w:bookmarkStart w:id="1428" w:name="_Toc342296766"/>
      <w:bookmarkStart w:id="1429" w:name="_Toc468606048"/>
      <w:bookmarkStart w:id="1430" w:name="_Toc331512904"/>
      <w:bookmarkStart w:id="1431" w:name="_Toc350756456"/>
      <w:bookmarkStart w:id="1432" w:name="_Toc339441093"/>
      <w:bookmarkStart w:id="1433" w:name="_Toc480021072"/>
      <w:bookmarkStart w:id="1434" w:name="_Toc467236759"/>
      <w:bookmarkStart w:id="1435" w:name="_Toc350438755"/>
      <w:bookmarkStart w:id="1436" w:name="_Toc332270352"/>
      <w:bookmarkStart w:id="1437" w:name="_Toc337632364"/>
      <w:bookmarkStart w:id="1438" w:name="_Toc365985184"/>
      <w:bookmarkStart w:id="1439" w:name="_Toc491658670"/>
      <w:bookmarkStart w:id="1440" w:name="_Toc333935693"/>
      <w:bookmarkStart w:id="1441" w:name="_Toc365967078"/>
      <w:bookmarkStart w:id="1442" w:name="_Toc500861016"/>
      <w:bookmarkStart w:id="1443" w:name="_Toc339020101"/>
      <w:bookmarkStart w:id="1444" w:name="_Toc467987842"/>
      <w:bookmarkStart w:id="1445" w:name="_Toc333237683"/>
      <w:bookmarkStart w:id="1446" w:name="_Toc480020276"/>
      <w:bookmarkStart w:id="1447" w:name="_Toc340672875"/>
      <w:bookmarkStart w:id="1448" w:name="_Toc468157555"/>
      <w:bookmarkStart w:id="1449" w:name="_Toc336681941"/>
      <w:bookmarkStart w:id="1450" w:name="_Toc349143595"/>
      <w:bookmarkStart w:id="1451" w:name="_Toc349127632"/>
      <w:bookmarkStart w:id="1452" w:name="_Toc331684044"/>
      <w:bookmarkStart w:id="1453" w:name="_Toc480010727"/>
      <w:bookmarkStart w:id="1454" w:name="_Toc345513907"/>
      <w:bookmarkStart w:id="1455" w:name="_Toc333935352"/>
      <w:bookmarkStart w:id="1456" w:name="_Toc374454606"/>
      <w:bookmarkStart w:id="1457" w:name="_Toc479991601"/>
      <w:bookmarkStart w:id="1458" w:name="_Toc454701400"/>
      <w:bookmarkStart w:id="1459" w:name="_Toc458262633"/>
      <w:r>
        <w:rPr>
          <w:rFonts w:hint="eastAsia"/>
          <w:color w:val="000000" w:themeColor="text1"/>
          <w:highlight w:val="none"/>
        </w:rPr>
        <w:t>合同授予标准</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2</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 xml:space="preserve"> 按第30条规定，采购人将把合同授予此次招标的中标投标人。</w:t>
      </w:r>
    </w:p>
    <w:bookmarkEnd w:id="1458"/>
    <w:bookmarkEnd w:id="1459"/>
    <w:p>
      <w:pPr>
        <w:pStyle w:val="7"/>
        <w:numPr>
          <w:ilvl w:val="4"/>
          <w:numId w:val="25"/>
        </w:numPr>
        <w:tabs>
          <w:tab w:val="left" w:pos="720"/>
        </w:tabs>
        <w:spacing w:before="240" w:after="120"/>
        <w:ind w:left="2432" w:hanging="2432"/>
        <w:rPr>
          <w:color w:val="000000" w:themeColor="text1"/>
          <w:highlight w:val="none"/>
        </w:rPr>
      </w:pPr>
      <w:bookmarkStart w:id="1460" w:name="_Toc491658674"/>
      <w:bookmarkStart w:id="1461" w:name="_Toc333935694"/>
      <w:bookmarkStart w:id="1462" w:name="_Toc500861020"/>
      <w:bookmarkStart w:id="1463" w:name="_Toc339020102"/>
      <w:bookmarkStart w:id="1464" w:name="_Toc332270353"/>
      <w:bookmarkStart w:id="1465" w:name="_Toc341348345"/>
      <w:bookmarkStart w:id="1466" w:name="_Toc374454607"/>
      <w:bookmarkStart w:id="1467" w:name="_Toc365967079"/>
      <w:bookmarkStart w:id="1468" w:name="_Toc330459992"/>
      <w:bookmarkStart w:id="1469" w:name="_Toc333237684"/>
      <w:bookmarkStart w:id="1470" w:name="_Toc340672876"/>
      <w:bookmarkStart w:id="1471" w:name="_Toc366072535"/>
      <w:bookmarkStart w:id="1472" w:name="_Toc480021076"/>
      <w:bookmarkStart w:id="1473" w:name="_Toc350438756"/>
      <w:bookmarkStart w:id="1474" w:name="_Toc337632365"/>
      <w:bookmarkStart w:id="1475" w:name="_Toc468606052"/>
      <w:bookmarkStart w:id="1476" w:name="_Toc331512905"/>
      <w:bookmarkStart w:id="1477" w:name="_Toc340677077"/>
      <w:bookmarkStart w:id="1478" w:name="_Toc13176"/>
      <w:bookmarkStart w:id="1479" w:name="_Toc365985185"/>
      <w:bookmarkStart w:id="1480" w:name="_Toc331684045"/>
      <w:bookmarkStart w:id="1481" w:name="_Toc340507449"/>
      <w:bookmarkStart w:id="1482" w:name="_Toc333935353"/>
      <w:bookmarkStart w:id="1483" w:name="_Toc349127633"/>
      <w:bookmarkStart w:id="1484" w:name="_Toc339020022"/>
      <w:bookmarkStart w:id="1485" w:name="_Toc342296767"/>
      <w:bookmarkStart w:id="1486" w:name="_Toc349143596"/>
      <w:bookmarkStart w:id="1487" w:name="_Toc342060381"/>
      <w:bookmarkStart w:id="1488" w:name="_Toc333237795"/>
      <w:bookmarkStart w:id="1489" w:name="_Toc458262635"/>
      <w:bookmarkStart w:id="1490" w:name="_Toc467236763"/>
      <w:bookmarkStart w:id="1491" w:name="_Toc454701402"/>
      <w:bookmarkStart w:id="1492" w:name="_Toc479991605"/>
      <w:bookmarkStart w:id="1493" w:name="_Toc467987846"/>
      <w:bookmarkStart w:id="1494" w:name="_Toc332206715"/>
      <w:bookmarkStart w:id="1495" w:name="_Toc333238640"/>
      <w:bookmarkStart w:id="1496" w:name="_Toc480020280"/>
      <w:bookmarkStart w:id="1497" w:name="_Toc468157559"/>
      <w:bookmarkStart w:id="1498" w:name="_Toc339362307"/>
      <w:bookmarkStart w:id="1499" w:name="_Toc336681587"/>
      <w:bookmarkStart w:id="1500" w:name="_Toc339019896"/>
      <w:bookmarkStart w:id="1501" w:name="_Toc336681942"/>
      <w:bookmarkStart w:id="1502" w:name="_Toc480010731"/>
      <w:bookmarkStart w:id="1503" w:name="_Toc339020240"/>
      <w:bookmarkStart w:id="1504" w:name="_Toc345513908"/>
      <w:bookmarkStart w:id="1505" w:name="_Toc339441094"/>
      <w:bookmarkStart w:id="1506" w:name="_Toc350756457"/>
      <w:r>
        <w:rPr>
          <w:rFonts w:hint="eastAsia"/>
          <w:color w:val="000000" w:themeColor="text1"/>
          <w:highlight w:val="none"/>
        </w:rPr>
        <w:t>签订合同</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widowControl/>
        <w:tabs>
          <w:tab w:val="left" w:pos="753"/>
        </w:tabs>
        <w:adjustRightInd w:val="0"/>
        <w:snapToGrid w:val="0"/>
        <w:spacing w:line="360" w:lineRule="auto"/>
        <w:ind w:left="753" w:hanging="753"/>
        <w:rPr>
          <w:rFonts w:ascii="宋体" w:hAnsi="宋体"/>
          <w:bCs/>
          <w:color w:val="000000" w:themeColor="text1"/>
          <w:highlight w:val="none"/>
        </w:rPr>
      </w:pPr>
      <w:bookmarkStart w:id="1507" w:name="_Toc373401413"/>
      <w:bookmarkStart w:id="1508" w:name="_Toc372209289"/>
      <w:bookmarkStart w:id="1509" w:name="_Toc378261823"/>
      <w:bookmarkStart w:id="1510" w:name="_Toc377129068"/>
      <w:bookmarkStart w:id="1511" w:name="_Toc383069738"/>
      <w:bookmarkStart w:id="1512" w:name="_Toc367095382"/>
      <w:bookmarkStart w:id="1513" w:name="_Toc370983962"/>
      <w:bookmarkStart w:id="1514" w:name="_Toc370309169"/>
      <w:bookmarkStart w:id="1515" w:name="_Toc366072536"/>
      <w:bookmarkStart w:id="1516" w:name="_Toc366681897"/>
      <w:bookmarkStart w:id="1517" w:name="_Toc369700990"/>
      <w:bookmarkStart w:id="1518" w:name="_Toc374093632"/>
      <w:bookmarkStart w:id="1519" w:name="_Toc379896705"/>
      <w:bookmarkStart w:id="1520" w:name="_Toc374454608"/>
      <w:bookmarkStart w:id="1521" w:name="_Toc365967080"/>
      <w:bookmarkStart w:id="1522" w:name="_Toc349143597"/>
      <w:bookmarkStart w:id="1523" w:name="_Toc331512906"/>
      <w:bookmarkStart w:id="1524" w:name="_Toc339441095"/>
      <w:bookmarkStart w:id="1525" w:name="_Toc336681588"/>
      <w:bookmarkStart w:id="1526" w:name="_Toc349127634"/>
      <w:bookmarkStart w:id="1527" w:name="_Toc333935354"/>
      <w:bookmarkStart w:id="1528" w:name="_Toc340672877"/>
      <w:bookmarkStart w:id="1529" w:name="_Toc333237685"/>
      <w:bookmarkStart w:id="1530" w:name="_Toc337632366"/>
      <w:bookmarkStart w:id="1531" w:name="_Toc341348346"/>
      <w:bookmarkStart w:id="1532" w:name="_Toc350756458"/>
      <w:bookmarkStart w:id="1533" w:name="_Toc342296768"/>
      <w:bookmarkStart w:id="1534" w:name="_Toc340507450"/>
      <w:bookmarkStart w:id="1535" w:name="_Toc350438757"/>
      <w:bookmarkStart w:id="1536" w:name="_Toc333237796"/>
      <w:bookmarkStart w:id="1537" w:name="_Toc336681943"/>
      <w:bookmarkStart w:id="1538" w:name="_Toc339020241"/>
      <w:bookmarkStart w:id="1539" w:name="_Toc333935695"/>
      <w:bookmarkStart w:id="1540" w:name="_Toc330459993"/>
      <w:bookmarkStart w:id="1541" w:name="_Toc365985186"/>
      <w:bookmarkStart w:id="1542" w:name="_Toc339019897"/>
      <w:bookmarkStart w:id="1543" w:name="_Toc342060382"/>
      <w:bookmarkStart w:id="1544" w:name="_Toc345513909"/>
      <w:bookmarkStart w:id="1545" w:name="_Toc333238641"/>
      <w:bookmarkStart w:id="1546" w:name="_Toc339020103"/>
      <w:bookmarkStart w:id="1547" w:name="_Toc331684046"/>
      <w:bookmarkStart w:id="1548" w:name="_Toc340677078"/>
      <w:bookmarkStart w:id="1549" w:name="_Toc332206716"/>
      <w:bookmarkStart w:id="1550" w:name="_Toc339020023"/>
      <w:bookmarkStart w:id="1551" w:name="_Toc339362308"/>
      <w:bookmarkStart w:id="1552" w:name="_Toc332270354"/>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采购人应当自采购合同签订之日起七个工作日内，按照有关规定将采购合同副本报同级人民政府财政部门和代理采购机构备案。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hint="eastAsia" w:ascii="宋体" w:hAnsi="宋体" w:cs="Arial"/>
          <w:color w:val="000000" w:themeColor="text1"/>
          <w:szCs w:val="21"/>
          <w:highlight w:val="none"/>
        </w:rPr>
        <w:t xml:space="preserve">33.3   </w:t>
      </w:r>
      <w:r>
        <w:rPr>
          <w:rFonts w:ascii="宋体" w:hAnsi="宋体"/>
          <w:bCs/>
          <w:color w:val="000000" w:themeColor="text1"/>
          <w:highlight w:val="none"/>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rPr>
        <w:t>。</w:t>
      </w: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Pr>
        <w:pStyle w:val="5"/>
        <w:numPr>
          <w:ilvl w:val="0"/>
          <w:numId w:val="0"/>
        </w:numPr>
        <w:rPr>
          <w:color w:val="000000" w:themeColor="text1"/>
          <w:sz w:val="24"/>
          <w:highlight w:val="none"/>
        </w:rPr>
      </w:pPr>
      <w:bookmarkStart w:id="1553" w:name="_Toc19736"/>
      <w:bookmarkStart w:id="1554" w:name="_Toc432682726"/>
      <w:bookmarkStart w:id="1555" w:name="_Toc430771059"/>
      <w:bookmarkStart w:id="1556" w:name="_Toc491658677"/>
      <w:bookmarkStart w:id="1557" w:name="_Toc468157562"/>
      <w:bookmarkStart w:id="1558" w:name="_Toc500861024"/>
      <w:bookmarkStart w:id="1559" w:name="_Toc480020283"/>
      <w:bookmarkStart w:id="1560" w:name="_Toc480010734"/>
      <w:bookmarkStart w:id="1561" w:name="_Toc467987849"/>
      <w:bookmarkStart w:id="1562" w:name="_Toc479991608"/>
      <w:bookmarkStart w:id="1563" w:name="_Toc467236766"/>
      <w:bookmarkStart w:id="1564" w:name="_Toc468606055"/>
      <w:bookmarkStart w:id="1565" w:name="_Toc480021079"/>
      <w:r>
        <w:rPr>
          <w:color w:val="000000" w:themeColor="text1"/>
          <w:sz w:val="24"/>
          <w:highlight w:val="none"/>
        </w:rPr>
        <w:t>G</w:t>
      </w:r>
      <w:r>
        <w:rPr>
          <w:rFonts w:hint="eastAsia"/>
          <w:color w:val="000000" w:themeColor="text1"/>
          <w:sz w:val="24"/>
          <w:highlight w:val="none"/>
        </w:rPr>
        <w:t>、政府采购政策</w:t>
      </w:r>
      <w:bookmarkEnd w:id="1553"/>
      <w:bookmarkEnd w:id="1554"/>
      <w:bookmarkEnd w:id="1555"/>
    </w:p>
    <w:p>
      <w:pPr>
        <w:spacing w:line="360" w:lineRule="auto"/>
        <w:ind w:left="735" w:hanging="735" w:hangingChars="350"/>
        <w:rPr>
          <w:rFonts w:hint="eastAsia" w:ascii="宋体" w:hAnsi="宋体" w:eastAsia="宋体" w:cs="宋体"/>
          <w:color w:val="000000" w:themeColor="text1"/>
          <w:highlight w:val="none"/>
        </w:rPr>
      </w:pPr>
      <w:bookmarkStart w:id="1566" w:name="_Toc430771060"/>
      <w:bookmarkStart w:id="1567" w:name="_Toc430185803"/>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4</w:t>
      </w:r>
      <w:r>
        <w:rPr>
          <w:rFonts w:hint="eastAsia" w:ascii="宋体" w:hAnsi="宋体" w:eastAsia="宋体" w:cs="宋体"/>
          <w:color w:val="000000" w:themeColor="text1"/>
          <w:highlight w:val="none"/>
        </w:rPr>
        <w:t xml:space="preserve">     </w:t>
      </w:r>
      <w:bookmarkStart w:id="1568" w:name="_Hlk499217741"/>
      <w:r>
        <w:rPr>
          <w:rFonts w:hint="eastAsia" w:ascii="宋体" w:hAnsi="宋体" w:eastAsia="宋体" w:cs="宋体"/>
          <w:color w:val="000000" w:themeColor="text1"/>
          <w:highlight w:val="none"/>
        </w:rPr>
        <w:t>若没有明示采购进口产品的，则视为采购产品为非进口产品（进口产品指中国海关验放进入中国境内且产自关境外的产品）。</w:t>
      </w:r>
      <w:bookmarkEnd w:id="1566"/>
      <w:bookmarkEnd w:id="1567"/>
      <w:bookmarkEnd w:id="1568"/>
    </w:p>
    <w:p>
      <w:pPr>
        <w:spacing w:line="360" w:lineRule="auto"/>
        <w:ind w:left="735" w:hanging="735" w:hangingChars="350"/>
        <w:rPr>
          <w:rFonts w:hint="eastAsia" w:ascii="宋体" w:hAnsi="宋体" w:eastAsia="宋体" w:cs="宋体"/>
          <w:color w:val="000000" w:themeColor="text1"/>
          <w:highlight w:val="none"/>
        </w:rPr>
      </w:pPr>
      <w:bookmarkStart w:id="1569" w:name="_Toc430771061"/>
      <w:bookmarkStart w:id="1570" w:name="_Toc430185804"/>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5</w:t>
      </w:r>
      <w:r>
        <w:rPr>
          <w:rFonts w:hint="eastAsia" w:ascii="宋体" w:hAnsi="宋体" w:eastAsia="宋体" w:cs="宋体"/>
          <w:color w:val="000000" w:themeColor="text1"/>
          <w:highlight w:val="none"/>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569"/>
      <w:bookmarkEnd w:id="1570"/>
    </w:p>
    <w:p>
      <w:pPr>
        <w:spacing w:line="360" w:lineRule="auto"/>
        <w:ind w:left="735" w:hanging="735" w:hangingChars="350"/>
        <w:rPr>
          <w:rFonts w:hint="eastAsia" w:ascii="宋体" w:hAnsi="宋体" w:eastAsia="宋体" w:cs="宋体"/>
          <w:color w:val="000000" w:themeColor="text1"/>
          <w:highlight w:val="none"/>
        </w:rPr>
      </w:pPr>
      <w:bookmarkStart w:id="1571" w:name="_Toc430185805"/>
      <w:bookmarkStart w:id="1572" w:name="_Toc430771062"/>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6</w:t>
      </w:r>
      <w:r>
        <w:rPr>
          <w:rFonts w:hint="eastAsia" w:ascii="宋体" w:hAnsi="宋体" w:eastAsia="宋体" w:cs="宋体"/>
          <w:color w:val="000000" w:themeColor="text1"/>
          <w:highlight w:val="none"/>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http://www.ccgp.gov.cn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/）、国家环境保护总局网（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http://www.sepa.gov.cn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/）、中国绿色采购网（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"http://www.cgpn.cn"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http://www.cgpn.cn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/）上发布。</w:t>
      </w:r>
      <w:bookmarkEnd w:id="1571"/>
      <w:bookmarkEnd w:id="1572"/>
    </w:p>
    <w:p>
      <w:pPr>
        <w:spacing w:line="360" w:lineRule="auto"/>
        <w:ind w:left="735" w:hanging="735" w:hangingChars="350"/>
        <w:rPr>
          <w:rFonts w:hint="eastAsia" w:ascii="宋体" w:hAnsi="宋体" w:eastAsia="宋体" w:cs="宋体"/>
          <w:color w:val="000000" w:themeColor="text1"/>
          <w:highlight w:val="none"/>
        </w:rPr>
      </w:pPr>
      <w:bookmarkStart w:id="1573" w:name="_Toc430771063"/>
      <w:bookmarkStart w:id="1574" w:name="_Toc430185806"/>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7</w:t>
      </w:r>
      <w:r>
        <w:rPr>
          <w:rFonts w:hint="eastAsia" w:ascii="宋体" w:hAnsi="宋体" w:eastAsia="宋体" w:cs="宋体"/>
          <w:color w:val="000000" w:themeColor="text1"/>
          <w:highlight w:val="none"/>
        </w:rPr>
        <w:t xml:space="preserve">     根据《关于印发《政府采购促进中小企业发展管理方法》的通知》（财库[2020]46号）的规定，投标人投标时需注意：</w:t>
      </w:r>
      <w:bookmarkEnd w:id="1573"/>
      <w:bookmarkEnd w:id="1574"/>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lang w:val="en-US" w:eastAsia="zh-CN"/>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kern w:val="2"/>
          <w:sz w:val="21"/>
          <w:szCs w:val="24"/>
          <w:highlight w:val="none"/>
          <w:lang w:val="en-US" w:eastAsia="zh-CN" w:bidi="ar-SA"/>
        </w:rPr>
        <w:t>3</w:t>
      </w:r>
      <w:r>
        <w:rPr>
          <w:rFonts w:hint="eastAsia" w:ascii="宋体" w:hAnsi="宋体" w:cs="宋体"/>
          <w:bCs/>
          <w:color w:val="000000" w:themeColor="text1"/>
          <w:kern w:val="2"/>
          <w:sz w:val="21"/>
          <w:szCs w:val="24"/>
          <w:highlight w:val="none"/>
          <w:lang w:val="en-US" w:eastAsia="zh-CN" w:bidi="ar-SA"/>
        </w:rPr>
        <w:t>7</w:t>
      </w:r>
      <w:r>
        <w:rPr>
          <w:rFonts w:hint="eastAsia" w:ascii="宋体" w:hAnsi="宋体" w:eastAsia="宋体" w:cs="宋体"/>
          <w:bCs/>
          <w:color w:val="000000" w:themeColor="text1"/>
          <w:kern w:val="2"/>
          <w:sz w:val="21"/>
          <w:szCs w:val="24"/>
          <w:highlight w:val="none"/>
          <w:lang w:val="en-US" w:eastAsia="zh-CN" w:bidi="ar-SA"/>
        </w:rPr>
        <w:t>.</w:t>
      </w:r>
      <w:r>
        <w:rPr>
          <w:rFonts w:hint="eastAsia" w:ascii="宋体" w:hAnsi="宋体" w:cs="宋体"/>
          <w:bCs/>
          <w:color w:val="000000" w:themeColor="text1"/>
          <w:kern w:val="2"/>
          <w:sz w:val="21"/>
          <w:szCs w:val="24"/>
          <w:highlight w:val="none"/>
          <w:lang w:val="en-US" w:eastAsia="zh-CN" w:bidi="ar-SA"/>
        </w:rPr>
        <w:t>5</w:t>
      </w:r>
      <w:r>
        <w:rPr>
          <w:rFonts w:hint="eastAsia" w:ascii="宋体" w:hAnsi="宋体" w:eastAsia="宋体" w:cs="宋体"/>
          <w:bCs/>
          <w:color w:val="000000" w:themeColor="text1"/>
          <w:kern w:val="2"/>
          <w:sz w:val="21"/>
          <w:szCs w:val="24"/>
          <w:highlight w:val="none"/>
          <w:lang w:val="en-US" w:eastAsia="zh-CN" w:bidi="ar-SA"/>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rPr>
      </w:pPr>
    </w:p>
    <w:tbl>
      <w:tblPr>
        <w:tblStyle w:val="46"/>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eastAsia="宋体" w:cs="宋体"/>
                <w:color w:val="000000" w:themeColor="text1"/>
                <w:szCs w:val="21"/>
                <w:highlight w:val="none"/>
                <w:u w:val="single"/>
              </w:rPr>
              <w:t>6%</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评标价=总投标报价-小型和微型企业产品的价格×</w:t>
            </w:r>
            <w:r>
              <w:rPr>
                <w:rFonts w:hint="eastAsia" w:ascii="宋体" w:hAnsi="宋体" w:eastAsia="宋体" w:cs="宋体"/>
                <w:color w:val="000000" w:themeColor="text1"/>
                <w:szCs w:val="21"/>
                <w:highlight w:val="none"/>
                <w:u w:val="singl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eastAsia="宋体" w:cs="宋体"/>
                <w:color w:val="000000" w:themeColor="text1"/>
                <w:szCs w:val="21"/>
                <w:highlight w:val="none"/>
                <w:u w:val="single"/>
              </w:rPr>
              <w:t>6%</w:t>
            </w:r>
            <w:r>
              <w:rPr>
                <w:rFonts w:hint="eastAsia" w:ascii="宋体" w:hAnsi="宋体" w:eastAsia="宋体" w:cs="宋体"/>
                <w:color w:val="000000" w:themeColor="text1"/>
                <w:szCs w:val="21"/>
                <w:highlight w:val="none"/>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对联合体总金额扣除</w:t>
            </w:r>
            <w:r>
              <w:rPr>
                <w:rFonts w:hint="eastAsia" w:ascii="宋体" w:hAnsi="宋体" w:eastAsia="宋体" w:cs="宋体"/>
                <w:color w:val="000000" w:themeColor="text1"/>
                <w:szCs w:val="21"/>
                <w:highlight w:val="none"/>
                <w:u w:val="single"/>
              </w:rPr>
              <w:t>2%</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w:t>
            </w:r>
            <w:r>
              <w:rPr>
                <w:rFonts w:hint="eastAsia" w:ascii="宋体" w:hAnsi="宋体" w:eastAsia="宋体" w:cs="宋体"/>
                <w:color w:val="000000" w:themeColor="text1"/>
                <w:szCs w:val="21"/>
                <w:highlight w:val="none"/>
                <w:u w:val="single"/>
              </w:rPr>
              <w:t>1-2%</w:t>
            </w:r>
            <w:r>
              <w:rPr>
                <w:rFonts w:hint="eastAsia" w:ascii="宋体" w:hAnsi="宋体" w:eastAsia="宋体" w:cs="宋体"/>
                <w:color w:val="000000" w:themeColor="text1"/>
                <w:szCs w:val="21"/>
                <w:highlight w:val="none"/>
              </w:rPr>
              <w:t>）</w:t>
            </w:r>
          </w:p>
        </w:tc>
      </w:tr>
    </w:tbl>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pStyle w:val="5"/>
        <w:numPr>
          <w:ilvl w:val="0"/>
          <w:numId w:val="0"/>
        </w:numPr>
        <w:rPr>
          <w:color w:val="000000" w:themeColor="text1"/>
          <w:sz w:val="24"/>
          <w:highlight w:val="none"/>
        </w:rPr>
      </w:pPr>
      <w:bookmarkStart w:id="1575" w:name="_Toc15614"/>
      <w:r>
        <w:rPr>
          <w:rFonts w:hint="eastAsia"/>
          <w:color w:val="000000" w:themeColor="text1"/>
          <w:sz w:val="24"/>
          <w:highlight w:val="none"/>
        </w:rPr>
        <w:t>H、评标细则</w:t>
      </w:r>
      <w:bookmarkEnd w:id="1575"/>
    </w:p>
    <w:p>
      <w:pPr>
        <w:pStyle w:val="24"/>
        <w:widowControl/>
        <w:tabs>
          <w:tab w:val="left" w:pos="753"/>
        </w:tabs>
        <w:adjustRightInd w:val="0"/>
        <w:snapToGrid w:val="0"/>
        <w:spacing w:line="360" w:lineRule="auto"/>
        <w:ind w:left="752" w:hanging="751" w:hangingChars="358"/>
        <w:rPr>
          <w:rFonts w:hAnsi="宋体"/>
          <w:bCs/>
          <w:color w:val="000000" w:themeColor="text1"/>
          <w:highlight w:val="none"/>
        </w:rPr>
      </w:pPr>
      <w:r>
        <w:rPr>
          <w:rFonts w:hint="eastAsia" w:hAnsi="宋体"/>
          <w:bCs/>
          <w:color w:val="000000" w:themeColor="text1"/>
          <w:highlight w:val="none"/>
        </w:rPr>
        <w:t>采用计分法（综合评价法）来确定各投标人的排名。其操作程序为：</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根据招标文件和评标原则，按下表（评价指标和权重表）所列评价指标和各评价指标的权重进行评标。</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color w:val="000000" w:themeColor="text1"/>
          <w:sz w:val="21"/>
          <w:highlight w:val="none"/>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rPr>
        <w:t>经济价格标得分＝(评标基准价/投标报价)×价格指标权重×100。</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由评委独立地根据各项指标的评价标准，结合每个投标人的实际情况，分别就投标报价以外的各项指标对每个投标人独立打分。</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技术部分和商务部分得分结果为全部评委评价指标评分的算术平均值。</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将所有评价指标所得实际评价分数相加，即为该投标人的综合得分。</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评标委员会将推荐综合得分最高的投标人为该项目的中标候选人。</w:t>
      </w:r>
    </w:p>
    <w:p>
      <w:pPr>
        <w:spacing w:line="360" w:lineRule="auto"/>
        <w:rPr>
          <w:rFonts w:hint="eastAsia"/>
          <w:color w:val="000000" w:themeColor="text1"/>
          <w:highlight w:val="none"/>
        </w:rPr>
      </w:pPr>
      <w:r>
        <w:rPr>
          <w:rFonts w:hint="eastAsia"/>
          <w:color w:val="000000" w:themeColor="text1"/>
          <w:highlight w:val="none"/>
        </w:rPr>
        <w:t>评价指标及权重：</w:t>
      </w:r>
    </w:p>
    <w:p>
      <w:pPr>
        <w:spacing w:line="360" w:lineRule="auto"/>
        <w:rPr>
          <w:rFonts w:hint="eastAsia" w:eastAsia="宋体"/>
          <w:b/>
          <w:bCs/>
          <w:color w:val="000000" w:themeColor="text1"/>
          <w:highlight w:val="none"/>
          <w:lang w:eastAsia="zh-CN"/>
        </w:rPr>
      </w:pPr>
      <w:r>
        <w:rPr>
          <w:rFonts w:hint="eastAsia"/>
          <w:b/>
          <w:bCs/>
          <w:color w:val="000000" w:themeColor="text1"/>
          <w:highlight w:val="none"/>
          <w:lang w:eastAsia="zh-CN"/>
        </w:rPr>
        <w:t>（</w:t>
      </w:r>
      <w:r>
        <w:rPr>
          <w:rFonts w:hint="eastAsia"/>
          <w:b/>
          <w:bCs/>
          <w:color w:val="000000" w:themeColor="text1"/>
          <w:highlight w:val="none"/>
          <w:lang w:val="en-US" w:eastAsia="zh-CN"/>
        </w:rPr>
        <w:t>包组一、包组二</w:t>
      </w:r>
      <w:r>
        <w:rPr>
          <w:rFonts w:hint="eastAsia"/>
          <w:b/>
          <w:bCs/>
          <w:color w:val="000000" w:themeColor="text1"/>
          <w:highlight w:val="none"/>
          <w:lang w:eastAsia="zh-CN"/>
        </w:rPr>
        <w:t>）</w:t>
      </w:r>
    </w:p>
    <w:p>
      <w:pPr>
        <w:rPr>
          <w:color w:val="000000" w:themeColor="text1"/>
          <w:highlight w:val="none"/>
        </w:rPr>
      </w:pPr>
    </w:p>
    <w:tbl>
      <w:tblPr>
        <w:tblStyle w:val="46"/>
        <w:tblW w:w="8874" w:type="dxa"/>
        <w:jc w:val="center"/>
        <w:tblLayout w:type="fixed"/>
        <w:tblCellMar>
          <w:top w:w="0" w:type="dxa"/>
          <w:left w:w="0" w:type="dxa"/>
          <w:bottom w:w="0" w:type="dxa"/>
          <w:right w:w="0" w:type="dxa"/>
        </w:tblCellMar>
      </w:tblPr>
      <w:tblGrid>
        <w:gridCol w:w="2570"/>
        <w:gridCol w:w="2239"/>
        <w:gridCol w:w="2160"/>
        <w:gridCol w:w="1905"/>
      </w:tblGrid>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评分项目</w:t>
            </w:r>
          </w:p>
        </w:tc>
        <w:tc>
          <w:tcPr>
            <w:tcW w:w="22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技术评分</w:t>
            </w:r>
          </w:p>
        </w:tc>
        <w:tc>
          <w:tcPr>
            <w:tcW w:w="2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商务评分</w:t>
            </w:r>
          </w:p>
        </w:tc>
        <w:tc>
          <w:tcPr>
            <w:tcW w:w="19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价格评分</w:t>
            </w:r>
          </w:p>
        </w:tc>
      </w:tr>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分值</w:t>
            </w:r>
          </w:p>
        </w:tc>
        <w:tc>
          <w:tcPr>
            <w:tcW w:w="22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rFonts w:hint="eastAsia"/>
                <w:color w:val="000000" w:themeColor="text1"/>
                <w:kern w:val="0"/>
                <w:sz w:val="24"/>
                <w:highlight w:val="none"/>
                <w:lang w:val="en-US" w:eastAsia="zh-CN"/>
              </w:rPr>
              <w:t>44</w:t>
            </w:r>
            <w:r>
              <w:rPr>
                <w:color w:val="000000" w:themeColor="text1"/>
                <w:kern w:val="0"/>
                <w:sz w:val="24"/>
                <w:highlight w:val="none"/>
              </w:rPr>
              <w:t>分</w:t>
            </w:r>
          </w:p>
        </w:tc>
        <w:tc>
          <w:tcPr>
            <w:tcW w:w="2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rFonts w:hint="eastAsia"/>
                <w:color w:val="000000" w:themeColor="text1"/>
                <w:kern w:val="0"/>
                <w:sz w:val="24"/>
                <w:highlight w:val="none"/>
                <w:lang w:val="en-US" w:eastAsia="zh-CN"/>
              </w:rPr>
              <w:t>46</w:t>
            </w:r>
            <w:r>
              <w:rPr>
                <w:color w:val="000000" w:themeColor="text1"/>
                <w:kern w:val="0"/>
                <w:sz w:val="24"/>
                <w:highlight w:val="none"/>
              </w:rPr>
              <w:t>分</w:t>
            </w:r>
          </w:p>
        </w:tc>
        <w:tc>
          <w:tcPr>
            <w:tcW w:w="19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rFonts w:hint="eastAsia"/>
                <w:color w:val="000000" w:themeColor="text1"/>
                <w:kern w:val="0"/>
                <w:sz w:val="24"/>
                <w:highlight w:val="none"/>
                <w:lang w:val="en-US" w:eastAsia="zh-CN"/>
              </w:rPr>
              <w:t>10</w:t>
            </w:r>
            <w:r>
              <w:rPr>
                <w:color w:val="000000" w:themeColor="text1"/>
                <w:kern w:val="0"/>
                <w:sz w:val="24"/>
                <w:highlight w:val="none"/>
              </w:rPr>
              <w:t>分</w:t>
            </w:r>
          </w:p>
        </w:tc>
      </w:tr>
    </w:tbl>
    <w:p>
      <w:pPr>
        <w:rPr>
          <w:rFonts w:hint="eastAsia" w:eastAsia="宋体"/>
          <w:b/>
          <w:bCs/>
          <w:color w:val="000000" w:themeColor="text1"/>
          <w:highlight w:val="none"/>
          <w:lang w:eastAsia="zh-CN"/>
        </w:rPr>
      </w:pPr>
    </w:p>
    <w:p>
      <w:pPr>
        <w:rPr>
          <w:color w:val="000000" w:themeColor="text1"/>
          <w:highlight w:val="none"/>
        </w:rPr>
      </w:pPr>
      <w:r>
        <w:rPr>
          <w:rFonts w:hint="eastAsia"/>
          <w:color w:val="000000" w:themeColor="text1"/>
          <w:highlight w:val="none"/>
        </w:rPr>
        <w:t>技术评分细则：</w:t>
      </w:r>
    </w:p>
    <w:tbl>
      <w:tblPr>
        <w:tblStyle w:val="46"/>
        <w:tblW w:w="9613" w:type="dxa"/>
        <w:jc w:val="center"/>
        <w:shd w:val="clear" w:color="auto" w:fill="FFFFFF"/>
        <w:tblLayout w:type="fixed"/>
        <w:tblCellMar>
          <w:top w:w="0" w:type="dxa"/>
          <w:left w:w="0" w:type="dxa"/>
          <w:bottom w:w="0" w:type="dxa"/>
          <w:right w:w="0" w:type="dxa"/>
        </w:tblCellMar>
      </w:tblPr>
      <w:tblGrid>
        <w:gridCol w:w="913"/>
        <w:gridCol w:w="1202"/>
        <w:gridCol w:w="967"/>
        <w:gridCol w:w="6531"/>
      </w:tblGrid>
      <w:tr>
        <w:tblPrEx>
          <w:shd w:val="clear" w:color="auto" w:fill="FFFFFF"/>
          <w:tblCellMar>
            <w:top w:w="0" w:type="dxa"/>
            <w:left w:w="0" w:type="dxa"/>
            <w:bottom w:w="0" w:type="dxa"/>
            <w:right w:w="0" w:type="dxa"/>
          </w:tblCellMar>
        </w:tblPrEx>
        <w:trPr>
          <w:cantSplit/>
          <w:trHeight w:val="460" w:hRule="atLeast"/>
          <w:tblHeader/>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项目实施</w:t>
            </w:r>
          </w:p>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sz w:val="21"/>
                <w:szCs w:val="21"/>
                <w:highlight w:val="none"/>
              </w:rPr>
              <w:t>方案</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10</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项目实施方案（包括但不限于工作方法、质量控制措施方法、预防性管理方法、抽样方法、样品保存及运输、应急响应实施等）项目内容进行评审 ：</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方案合理科学、操作性强得10分；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方案较为合理科学，操作性较强，得6分；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方案合理性科学性一般，操作性一般，得2分；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不提供方案不得分</w:t>
            </w:r>
            <w:r>
              <w:rPr>
                <w:rFonts w:hint="eastAsia" w:ascii="宋体" w:hAnsi="宋体" w:eastAsia="宋体" w:cs="宋体"/>
                <w:color w:val="000000" w:themeColor="text1"/>
                <w:sz w:val="21"/>
                <w:szCs w:val="21"/>
                <w:highlight w:val="none"/>
                <w:lang w:eastAsia="zh-CN"/>
              </w:rPr>
              <w:t>。</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风险预警方案</w:t>
            </w:r>
          </w:p>
          <w:p>
            <w:pPr>
              <w:pStyle w:val="25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3</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对开展本项目现列抽检计划外的农药或兽药的毒性试验风险预警服务方案（包含但不限于试验目的、试验指导原则、试验对象与材料、试验主要仪器设备及试剂、试验设计、结果评价分析等）内容进行评审：</w:t>
            </w:r>
          </w:p>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方案合理科学、操作性强得3分；</w:t>
            </w:r>
          </w:p>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方案较为合理科学，操作性较强，得2分；</w:t>
            </w:r>
          </w:p>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方案合理性科学性一般，操作性一般，得1分；</w:t>
            </w:r>
          </w:p>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不提供方案不得分</w:t>
            </w:r>
            <w:r>
              <w:rPr>
                <w:rFonts w:hint="eastAsia" w:ascii="宋体" w:hAnsi="宋体" w:eastAsia="宋体" w:cs="宋体"/>
                <w:color w:val="000000" w:themeColor="text1"/>
                <w:sz w:val="21"/>
                <w:szCs w:val="21"/>
                <w:highlight w:val="none"/>
                <w:lang w:eastAsia="zh-CN"/>
              </w:rPr>
              <w:t>。</w:t>
            </w:r>
          </w:p>
        </w:tc>
      </w:tr>
      <w:tr>
        <w:tblPrEx>
          <w:shd w:val="clear" w:color="auto" w:fill="FFFFFF"/>
          <w:tblCellMar>
            <w:top w:w="0" w:type="dxa"/>
            <w:left w:w="0" w:type="dxa"/>
            <w:bottom w:w="0" w:type="dxa"/>
            <w:right w:w="0" w:type="dxa"/>
          </w:tblCellMar>
        </w:tblPrEx>
        <w:trPr>
          <w:cantSplit/>
          <w:jc w:val="center"/>
        </w:trPr>
        <w:tc>
          <w:tcPr>
            <w:tcW w:w="913"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202"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抽样车辆及样品运输储藏</w:t>
            </w:r>
          </w:p>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rPr>
              <w:t>保障</w:t>
            </w:r>
          </w:p>
        </w:tc>
        <w:tc>
          <w:tcPr>
            <w:tcW w:w="967"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10</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1</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投标人拟投入本项目的抽样车辆及抽样冷藏车辆情况：</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1）投入用于本项目食品专业抽样车辆5台得3分，少于5台不得分；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2）投入用于本项目食品专业抽样冷藏车辆1台得3分，无不得分；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注：需提供车辆的车辆行驶证及提供车辆正面、侧面及后面共3张照片，正面及后面的照片需把车牌拍进去（如为租赁车辆还需提供有效租赁合同）复印件并加盖公章。</w:t>
            </w:r>
          </w:p>
        </w:tc>
      </w:tr>
      <w:tr>
        <w:tblPrEx>
          <w:shd w:val="clear" w:color="auto" w:fill="FFFFFF"/>
          <w:tblCellMar>
            <w:top w:w="0" w:type="dxa"/>
            <w:left w:w="0" w:type="dxa"/>
            <w:bottom w:w="0" w:type="dxa"/>
            <w:right w:w="0" w:type="dxa"/>
          </w:tblCellMar>
        </w:tblPrEx>
        <w:trPr>
          <w:cantSplit/>
          <w:jc w:val="center"/>
        </w:trPr>
        <w:tc>
          <w:tcPr>
            <w:tcW w:w="913" w:type="dxa"/>
            <w:vMerge w:val="continue"/>
            <w:tcBorders>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p>
        </w:tc>
        <w:tc>
          <w:tcPr>
            <w:tcW w:w="1202" w:type="dxa"/>
            <w:vMerge w:val="continue"/>
            <w:tcBorders>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rPr>
            </w:pPr>
          </w:p>
        </w:tc>
        <w:tc>
          <w:tcPr>
            <w:tcW w:w="967" w:type="dxa"/>
            <w:vMerge w:val="continue"/>
            <w:tcBorders>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投标人投入本项目用于样品冷藏储藏的食品样品冷藏库情况：投入面积：</w:t>
            </w:r>
          </w:p>
          <w:p>
            <w:pP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1）25平方米以上，得4分；</w:t>
            </w:r>
          </w:p>
          <w:p>
            <w:pP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2）2</w:t>
            </w:r>
            <w:r>
              <w:rPr>
                <w:rFonts w:hint="eastAsia" w:ascii="宋体" w:hAnsi="宋体" w:cs="宋体"/>
                <w:color w:val="000000" w:themeColor="text1"/>
                <w:highlight w:val="none"/>
                <w:lang w:val="en-US" w:eastAsia="zh-CN"/>
              </w:rPr>
              <w:t>1</w:t>
            </w:r>
            <w:r>
              <w:rPr>
                <w:rFonts w:hint="eastAsia" w:ascii="宋体" w:hAnsi="宋体" w:eastAsia="宋体" w:cs="宋体"/>
                <w:color w:val="000000" w:themeColor="text1"/>
                <w:highlight w:val="none"/>
              </w:rPr>
              <w:t>-25（含）平方米得2分；</w:t>
            </w:r>
          </w:p>
          <w:p>
            <w:pP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3）1</w:t>
            </w:r>
            <w:r>
              <w:rPr>
                <w:rFonts w:hint="eastAsia" w:ascii="宋体" w:hAnsi="宋体" w:cs="宋体"/>
                <w:color w:val="000000" w:themeColor="text1"/>
                <w:highlight w:val="none"/>
                <w:lang w:val="en-US" w:eastAsia="zh-CN"/>
              </w:rPr>
              <w:t>6</w:t>
            </w:r>
            <w:r>
              <w:rPr>
                <w:rFonts w:hint="eastAsia" w:ascii="宋体" w:hAnsi="宋体" w:eastAsia="宋体" w:cs="宋体"/>
                <w:color w:val="000000" w:themeColor="text1"/>
                <w:highlight w:val="none"/>
              </w:rPr>
              <w:t>-20（含）平方米得1分；</w:t>
            </w:r>
          </w:p>
          <w:p>
            <w:pP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4）0-15（含）平方米不得分。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注：需提冷藏库地址、场地证明、冷藏库所有权证明（如为租赁需提供开标截止日之后租赁期不低于一年的租赁合同）等相关证明材料复印件并加盖公章。</w:t>
            </w:r>
          </w:p>
        </w:tc>
      </w:tr>
      <w:tr>
        <w:tblPrEx>
          <w:shd w:val="clear" w:color="auto" w:fill="FFFFFF"/>
          <w:tblCellMar>
            <w:top w:w="0" w:type="dxa"/>
            <w:left w:w="0" w:type="dxa"/>
            <w:bottom w:w="0" w:type="dxa"/>
            <w:right w:w="0" w:type="dxa"/>
          </w:tblCellMar>
        </w:tblPrEx>
        <w:trPr>
          <w:cantSplit/>
          <w:trHeight w:val="929" w:hRule="atLeas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sz w:val="21"/>
                <w:szCs w:val="21"/>
                <w:highlight w:val="none"/>
              </w:rPr>
              <w:t>对农药、兽药分析能力</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10</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投标人具备农药或兽药生产企业产品检测能力，熟悉市面最新使用农药或兽药品种情况。每为1家农药或兽药生产企业提供过农药或兽药产品毒性技术服务，得1分，本项最高得10分。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sz w:val="21"/>
                <w:szCs w:val="21"/>
                <w:highlight w:val="none"/>
              </w:rPr>
              <w:t>注：投标人同时提供有关农药或兽药产品检测能力的CMA证书附表复印件、与农药或兽药生产企业签订的农药或兽药产品检测服务协议或合同复印件、以及相应的技术服务报告复印件，缺少任一材料者均不得分（CMA证书附表原件备查，服务协议/合同以及服务报告原件核查</w:t>
            </w:r>
            <w:r>
              <w:rPr>
                <w:rFonts w:hint="eastAsia" w:cs="宋体"/>
                <w:b/>
                <w:bCs/>
                <w:color w:val="000000" w:themeColor="text1"/>
                <w:sz w:val="21"/>
                <w:szCs w:val="21"/>
                <w:highlight w:val="none"/>
                <w:lang w:eastAsia="zh-CN"/>
              </w:rPr>
              <w:t>，</w:t>
            </w:r>
            <w:r>
              <w:rPr>
                <w:rFonts w:hint="eastAsia" w:cs="宋体"/>
                <w:b/>
                <w:bCs/>
                <w:color w:val="000000" w:themeColor="text1"/>
                <w:sz w:val="21"/>
                <w:szCs w:val="21"/>
                <w:highlight w:val="none"/>
                <w:lang w:val="en-US" w:eastAsia="zh-CN"/>
              </w:rPr>
              <w:t>不提供原件不得分</w:t>
            </w:r>
            <w:r>
              <w:rPr>
                <w:rFonts w:hint="eastAsia" w:ascii="宋体" w:hAnsi="宋体" w:eastAsia="宋体" w:cs="宋体"/>
                <w:b/>
                <w:bCs/>
                <w:color w:val="000000" w:themeColor="text1"/>
                <w:sz w:val="21"/>
                <w:szCs w:val="21"/>
                <w:highlight w:val="none"/>
              </w:rPr>
              <w:t>）</w:t>
            </w:r>
          </w:p>
        </w:tc>
      </w:tr>
      <w:tr>
        <w:tblPrEx>
          <w:tblCellMar>
            <w:top w:w="0" w:type="dxa"/>
            <w:left w:w="0" w:type="dxa"/>
            <w:bottom w:w="0" w:type="dxa"/>
            <w:right w:w="0" w:type="dxa"/>
          </w:tblCellMar>
        </w:tblPrEx>
        <w:trPr>
          <w:cantSplit/>
          <w:trHeight w:val="929" w:hRule="atLeas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实验室资质</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11</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57"/>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投标人获得国家级食品企业质量安全检测技术示范中心资质的得6分</w:t>
            </w:r>
            <w:r>
              <w:rPr>
                <w:rFonts w:hint="eastAsia" w:ascii="宋体" w:hAnsi="宋体" w:eastAsia="宋体" w:cs="宋体"/>
                <w:color w:val="000000" w:themeColor="text1"/>
                <w:sz w:val="21"/>
                <w:szCs w:val="21"/>
                <w:highlight w:val="none"/>
                <w:lang w:val="en-US" w:eastAsia="zh-CN"/>
              </w:rPr>
              <w:t>；</w:t>
            </w:r>
          </w:p>
          <w:p>
            <w:pPr>
              <w:pStyle w:val="257"/>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投标人具有省级食品工业公共实验室资质的得5分</w:t>
            </w:r>
            <w:r>
              <w:rPr>
                <w:rFonts w:hint="eastAsia" w:ascii="宋体" w:hAnsi="宋体" w:eastAsia="宋体" w:cs="宋体"/>
                <w:color w:val="000000" w:themeColor="text1"/>
                <w:sz w:val="21"/>
                <w:szCs w:val="21"/>
                <w:highlight w:val="none"/>
                <w:lang w:eastAsia="zh-CN"/>
              </w:rPr>
              <w:t>。</w:t>
            </w:r>
          </w:p>
          <w:p>
            <w:pPr>
              <w:pStyle w:val="257"/>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b/>
                <w:bCs/>
                <w:color w:val="000000" w:themeColor="text1"/>
                <w:sz w:val="21"/>
                <w:szCs w:val="21"/>
                <w:highlight w:val="none"/>
                <w:lang w:val="en-US" w:eastAsia="zh-CN"/>
              </w:rPr>
              <w:t>注：</w:t>
            </w:r>
            <w:r>
              <w:rPr>
                <w:rFonts w:hint="eastAsia" w:ascii="宋体" w:hAnsi="宋体" w:eastAsia="宋体" w:cs="宋体"/>
                <w:b/>
                <w:bCs/>
                <w:color w:val="000000" w:themeColor="text1"/>
                <w:sz w:val="21"/>
                <w:szCs w:val="21"/>
                <w:highlight w:val="none"/>
              </w:rPr>
              <w:t>提供证书复印件作为评审依据，原件备查</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shd w:val="clear" w:color="auto" w:fill="FFFFFF"/>
          <w:tblCellMar>
            <w:top w:w="0" w:type="dxa"/>
            <w:left w:w="0" w:type="dxa"/>
            <w:bottom w:w="0" w:type="dxa"/>
            <w:right w:w="0" w:type="dxa"/>
          </w:tblCellMar>
        </w:tblPrEx>
        <w:trPr>
          <w:cantSplit/>
          <w:trHeight w:val="75" w:hRule="atLeast"/>
          <w:jc w:val="center"/>
        </w:trPr>
        <w:tc>
          <w:tcPr>
            <w:tcW w:w="211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44</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tc>
      </w:tr>
    </w:tbl>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t>商务</w:t>
      </w:r>
      <w:r>
        <w:rPr>
          <w:rFonts w:hint="eastAsia"/>
          <w:color w:val="000000" w:themeColor="text1"/>
          <w:highlight w:val="none"/>
        </w:rPr>
        <w:t>评</w:t>
      </w:r>
      <w:r>
        <w:rPr>
          <w:color w:val="000000" w:themeColor="text1"/>
          <w:highlight w:val="none"/>
        </w:rPr>
        <w:t>分</w:t>
      </w:r>
      <w:r>
        <w:rPr>
          <w:rFonts w:hint="eastAsia"/>
          <w:color w:val="000000" w:themeColor="text1"/>
          <w:highlight w:val="none"/>
        </w:rPr>
        <w:t>细则</w:t>
      </w:r>
    </w:p>
    <w:tbl>
      <w:tblPr>
        <w:tblStyle w:val="46"/>
        <w:tblW w:w="9662"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70"/>
        <w:gridCol w:w="1274"/>
        <w:gridCol w:w="957"/>
        <w:gridCol w:w="656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403" w:hRule="atLeast"/>
          <w:jc w:val="center"/>
        </w:trPr>
        <w:tc>
          <w:tcPr>
            <w:tcW w:w="870" w:type="dxa"/>
            <w:tcBorders>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274"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957"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561" w:type="dxa"/>
            <w:tcBorders>
              <w:left w:val="single" w:color="auto" w:sz="8" w:space="0"/>
              <w:bottom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716" w:hRule="atLeast"/>
          <w:jc w:val="center"/>
        </w:trPr>
        <w:tc>
          <w:tcPr>
            <w:tcW w:w="870"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企业商务</w:t>
            </w:r>
          </w:p>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rPr>
              <w:t>资质、技术实力</w:t>
            </w:r>
          </w:p>
        </w:tc>
        <w:tc>
          <w:tcPr>
            <w:tcW w:w="957"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320" w:lineRule="exact"/>
              <w:ind w:right="-73" w:rightChars="-35"/>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kern w:val="0"/>
                <w:sz w:val="21"/>
                <w:szCs w:val="21"/>
                <w:highlight w:val="none"/>
              </w:rPr>
              <w:t>8</w:t>
            </w:r>
            <w:r>
              <w:rPr>
                <w:rFonts w:hint="eastAsia" w:ascii="宋体" w:hAnsi="宋体" w:eastAsia="宋体" w:cs="宋体"/>
                <w:color w:val="000000" w:themeColor="text1"/>
                <w:kern w:val="0"/>
                <w:sz w:val="21"/>
                <w:szCs w:val="21"/>
                <w:highlight w:val="none"/>
                <w:lang w:val="en-US" w:eastAsia="zh-CN"/>
              </w:rPr>
              <w:t>分</w:t>
            </w:r>
          </w:p>
        </w:tc>
        <w:tc>
          <w:tcPr>
            <w:tcW w:w="6561" w:type="dxa"/>
            <w:tcBorders>
              <w:top w:val="single" w:color="auto" w:sz="8" w:space="0"/>
              <w:lef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1.</w:t>
            </w:r>
            <w:r>
              <w:rPr>
                <w:rFonts w:hint="eastAsia" w:ascii="宋体" w:hAnsi="宋体" w:eastAsia="宋体" w:cs="宋体"/>
                <w:color w:val="000000" w:themeColor="text1"/>
                <w:kern w:val="0"/>
                <w:sz w:val="21"/>
                <w:szCs w:val="21"/>
                <w:highlight w:val="none"/>
              </w:rPr>
              <w:t>投标人具有中国质量万里行消费投诉平台产品质量检测合作单位、质量管理体系认证证书、职业健康安全管理体系认证证书。</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上述每一项得2分，最高6分。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2.</w:t>
            </w:r>
            <w:r>
              <w:rPr>
                <w:rFonts w:hint="eastAsia" w:ascii="宋体" w:hAnsi="宋体" w:eastAsia="宋体" w:cs="宋体"/>
                <w:color w:val="000000" w:themeColor="text1"/>
                <w:kern w:val="0"/>
                <w:sz w:val="21"/>
                <w:szCs w:val="21"/>
                <w:highlight w:val="none"/>
              </w:rPr>
              <w:t>投标人具备开展农药或兽药毒理学试验资质或复检资质的得2分。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注：提供相关资质文件复印件或相关网站查询凭证</w:t>
            </w:r>
            <w:r>
              <w:rPr>
                <w:rFonts w:hint="eastAsia" w:ascii="宋体" w:hAnsi="宋体" w:eastAsia="宋体" w:cs="宋体"/>
                <w:b/>
                <w:bCs/>
                <w:color w:val="000000" w:themeColor="text1"/>
                <w:kern w:val="0"/>
                <w:sz w:val="21"/>
                <w:szCs w:val="21"/>
                <w:highlight w:val="none"/>
                <w:lang w:val="en-US" w:eastAsia="zh-CN"/>
              </w:rPr>
              <w:t>并</w:t>
            </w:r>
            <w:r>
              <w:rPr>
                <w:rFonts w:hint="eastAsia" w:ascii="宋体" w:hAnsi="宋体" w:eastAsia="宋体" w:cs="宋体"/>
                <w:b/>
                <w:bCs/>
                <w:color w:val="000000" w:themeColor="text1"/>
                <w:kern w:val="0"/>
                <w:sz w:val="21"/>
                <w:szCs w:val="21"/>
                <w:highlight w:val="none"/>
              </w:rPr>
              <w:t>加盖公章</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620" w:hRule="atLeast"/>
          <w:jc w:val="center"/>
        </w:trPr>
        <w:tc>
          <w:tcPr>
            <w:tcW w:w="870"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rPr>
              <w:t>本项目技术人员投入</w:t>
            </w:r>
          </w:p>
        </w:tc>
        <w:tc>
          <w:tcPr>
            <w:tcW w:w="9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kern w:val="0"/>
                <w:sz w:val="21"/>
                <w:szCs w:val="21"/>
                <w:highlight w:val="none"/>
              </w:rPr>
              <w:t>18</w:t>
            </w:r>
            <w:r>
              <w:rPr>
                <w:rFonts w:hint="eastAsia" w:ascii="宋体" w:hAnsi="宋体" w:eastAsia="宋体" w:cs="宋体"/>
                <w:color w:val="000000" w:themeColor="text1"/>
                <w:kern w:val="0"/>
                <w:sz w:val="21"/>
                <w:szCs w:val="21"/>
                <w:highlight w:val="none"/>
                <w:lang w:val="en-US" w:eastAsia="zh-CN"/>
              </w:rPr>
              <w:t>分</w:t>
            </w:r>
          </w:p>
        </w:tc>
        <w:tc>
          <w:tcPr>
            <w:tcW w:w="6561" w:type="dxa"/>
            <w:tcBorders>
              <w:top w:val="single" w:color="auto" w:sz="8" w:space="0"/>
              <w:left w:val="single" w:color="auto" w:sz="8" w:space="0"/>
              <w:bottom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投标人拟投入本项目的技术人员情况：</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1</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拟投入本项目的食品类或化学分析类高级职称人员每人得3分，最高得6分</w:t>
            </w:r>
            <w:r>
              <w:rPr>
                <w:rFonts w:hint="eastAsia" w:ascii="宋体" w:hAnsi="宋体" w:eastAsia="宋体" w:cs="宋体"/>
                <w:color w:val="000000" w:themeColor="text1"/>
                <w:kern w:val="0"/>
                <w:sz w:val="21"/>
                <w:szCs w:val="21"/>
                <w:highlight w:val="none"/>
                <w:lang w:val="en-US" w:eastAsia="zh-CN"/>
              </w:rPr>
              <w:t>；</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2</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拟投入本项目的食品类或化学分析类中级职称人员每人得1分，最高得6分</w:t>
            </w:r>
            <w:r>
              <w:rPr>
                <w:rFonts w:hint="eastAsia" w:ascii="宋体" w:hAnsi="宋体" w:eastAsia="宋体" w:cs="宋体"/>
                <w:color w:val="000000" w:themeColor="text1"/>
                <w:kern w:val="0"/>
                <w:sz w:val="21"/>
                <w:szCs w:val="21"/>
                <w:highlight w:val="none"/>
                <w:lang w:val="en-US" w:eastAsia="zh-CN"/>
              </w:rPr>
              <w:t>；</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3</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拟投入本项目的食品类或化学分析类初级职称人员每人的0.3分，最高3分</w:t>
            </w:r>
            <w:r>
              <w:rPr>
                <w:rFonts w:hint="eastAsia" w:ascii="宋体" w:hAnsi="宋体" w:eastAsia="宋体" w:cs="宋体"/>
                <w:color w:val="000000" w:themeColor="text1"/>
                <w:kern w:val="0"/>
                <w:sz w:val="21"/>
                <w:szCs w:val="21"/>
                <w:highlight w:val="none"/>
                <w:lang w:val="en-US" w:eastAsia="zh-CN"/>
              </w:rPr>
              <w:t>；</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val="en-US" w:eastAsia="zh-CN"/>
              </w:rPr>
            </w:pPr>
            <w:r>
              <w:rPr>
                <w:rFonts w:hint="eastAsia" w:ascii="宋体" w:hAnsi="宋体" w:eastAsia="宋体" w:cs="宋体"/>
                <w:color w:val="000000" w:themeColor="text1"/>
                <w:kern w:val="0"/>
                <w:sz w:val="21"/>
                <w:szCs w:val="21"/>
                <w:highlight w:val="none"/>
              </w:rPr>
              <w:t>4</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投标人具有危害食品安全涉嫌犯罪案件涉案食品评估认定专家库专家的得3分</w:t>
            </w:r>
            <w:r>
              <w:rPr>
                <w:rFonts w:hint="eastAsia" w:ascii="宋体" w:hAnsi="宋体" w:eastAsia="宋体" w:cs="宋体"/>
                <w:color w:val="000000" w:themeColor="text1"/>
                <w:kern w:val="0"/>
                <w:sz w:val="21"/>
                <w:szCs w:val="21"/>
                <w:highlight w:val="none"/>
                <w:lang w:val="en-US" w:eastAsia="zh-CN"/>
              </w:rPr>
              <w:t>；</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本项累计最高得分18分。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注：提供职称证书及投标截止时间（不含当月）前半年中任意连续3个月在投标单位购买社会保险证明材料复印件并加盖公章</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620" w:hRule="atLeast"/>
          <w:jc w:val="center"/>
        </w:trPr>
        <w:tc>
          <w:tcPr>
            <w:tcW w:w="870"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pStyle w:val="257"/>
              <w:keepNext w:val="0"/>
              <w:keepLines w:val="0"/>
              <w:pageBreakBefore w:val="0"/>
              <w:widowControl/>
              <w:kinsoku/>
              <w:wordWrap/>
              <w:overflowPunct/>
              <w:topLinePunct w:val="0"/>
              <w:autoSpaceDE/>
              <w:autoSpaceDN/>
              <w:bidi w:val="0"/>
              <w:spacing w:line="320" w:lineRule="exact"/>
              <w:jc w:val="left"/>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left"/>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left"/>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left"/>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检验检测</w:t>
            </w:r>
          </w:p>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sz w:val="21"/>
                <w:szCs w:val="21"/>
                <w:highlight w:val="none"/>
              </w:rPr>
              <w:t>仪器</w:t>
            </w:r>
          </w:p>
        </w:tc>
        <w:tc>
          <w:tcPr>
            <w:tcW w:w="9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kern w:val="0"/>
                <w:sz w:val="21"/>
                <w:szCs w:val="21"/>
                <w:highlight w:val="none"/>
              </w:rPr>
              <w:t>10</w:t>
            </w:r>
            <w:r>
              <w:rPr>
                <w:rFonts w:hint="eastAsia" w:ascii="宋体" w:hAnsi="宋体" w:eastAsia="宋体" w:cs="宋体"/>
                <w:color w:val="000000" w:themeColor="text1"/>
                <w:kern w:val="0"/>
                <w:sz w:val="21"/>
                <w:szCs w:val="21"/>
                <w:highlight w:val="none"/>
                <w:lang w:val="en-US" w:eastAsia="zh-CN"/>
              </w:rPr>
              <w:t>分</w:t>
            </w:r>
          </w:p>
        </w:tc>
        <w:tc>
          <w:tcPr>
            <w:tcW w:w="6561" w:type="dxa"/>
            <w:tcBorders>
              <w:top w:val="single" w:color="auto" w:sz="8" w:space="0"/>
              <w:left w:val="single" w:color="auto" w:sz="8" w:space="0"/>
              <w:bottom w:val="single" w:color="auto" w:sz="8" w:space="0"/>
            </w:tcBorders>
            <w:tcMar>
              <w:top w:w="0" w:type="dxa"/>
              <w:left w:w="108" w:type="dxa"/>
              <w:bottom w:w="0" w:type="dxa"/>
              <w:right w:w="108" w:type="dxa"/>
            </w:tcMar>
            <w:vAlign w:val="top"/>
          </w:tcPr>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投标人具备的仪器设备情况：</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1.</w:t>
            </w:r>
            <w:r>
              <w:rPr>
                <w:rFonts w:hint="eastAsia" w:ascii="宋体" w:hAnsi="宋体" w:eastAsia="宋体" w:cs="宋体"/>
                <w:color w:val="000000" w:themeColor="text1"/>
                <w:kern w:val="0"/>
                <w:sz w:val="21"/>
                <w:szCs w:val="21"/>
                <w:highlight w:val="none"/>
              </w:rPr>
              <w:t>同时具有气相色谱仪、液相色谱仪、原子吸收分光光度计（原子吸收光谱仪）、原子荧光分光光度计、离子色谱仪、紫外分光光度计这6种基础仪器设备的，得3分，缺少任意一种的不得分；上述仪器设备数量每增加1台，得0.5分。本项最高得6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2.</w:t>
            </w:r>
            <w:r>
              <w:rPr>
                <w:rFonts w:hint="eastAsia" w:ascii="宋体" w:hAnsi="宋体" w:eastAsia="宋体" w:cs="宋体"/>
                <w:color w:val="000000" w:themeColor="text1"/>
                <w:kern w:val="0"/>
                <w:sz w:val="21"/>
                <w:szCs w:val="21"/>
                <w:highlight w:val="none"/>
              </w:rPr>
              <w:t>具有气相色谱质谱联用仪、液相色谱质谱联用仪、电感耦合等离子体质谱联用仪、凝胶渗透色谱仪每一种得1分，此项最高得4分。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注：提供仪器设备购置发票复印件，同时提供有效期内的检验证书或效准证书等证明材料并加盖公章</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620" w:hRule="atLeast"/>
          <w:jc w:val="center"/>
        </w:trPr>
        <w:tc>
          <w:tcPr>
            <w:tcW w:w="870"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4</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rPr>
              <w:t>同类业绩</w:t>
            </w:r>
          </w:p>
        </w:tc>
        <w:tc>
          <w:tcPr>
            <w:tcW w:w="9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kern w:val="0"/>
                <w:sz w:val="21"/>
                <w:szCs w:val="21"/>
                <w:highlight w:val="none"/>
              </w:rPr>
              <w:t>10</w:t>
            </w:r>
            <w:r>
              <w:rPr>
                <w:rFonts w:hint="eastAsia" w:ascii="宋体" w:hAnsi="宋体" w:eastAsia="宋体" w:cs="宋体"/>
                <w:color w:val="000000" w:themeColor="text1"/>
                <w:kern w:val="0"/>
                <w:sz w:val="21"/>
                <w:szCs w:val="21"/>
                <w:highlight w:val="none"/>
                <w:lang w:val="en-US" w:eastAsia="zh-CN"/>
              </w:rPr>
              <w:t>分</w:t>
            </w:r>
          </w:p>
        </w:tc>
        <w:tc>
          <w:tcPr>
            <w:tcW w:w="6561" w:type="dxa"/>
            <w:tcBorders>
              <w:top w:val="single" w:color="auto" w:sz="8" w:space="0"/>
              <w:left w:val="single" w:color="auto" w:sz="8" w:space="0"/>
              <w:bottom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从2017年1月1日至今（以合同签订时间为准）承担同类型服务项目的，每提供一份业绩得1分，满分10分。</w:t>
            </w:r>
          </w:p>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b/>
                <w:bCs/>
                <w:color w:val="000000" w:themeColor="text1"/>
                <w:sz w:val="21"/>
                <w:szCs w:val="21"/>
                <w:highlight w:val="none"/>
                <w:lang w:val="en-US" w:eastAsia="zh-CN"/>
              </w:rPr>
              <w:t>注：</w:t>
            </w:r>
            <w:r>
              <w:rPr>
                <w:rFonts w:hint="eastAsia" w:ascii="宋体" w:hAnsi="宋体" w:eastAsia="宋体" w:cs="宋体"/>
                <w:b/>
                <w:bCs/>
                <w:color w:val="000000" w:themeColor="text1"/>
                <w:sz w:val="21"/>
                <w:szCs w:val="21"/>
                <w:highlight w:val="none"/>
              </w:rPr>
              <w:t>提供合同复印件加盖公章</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429" w:hRule="atLeast"/>
          <w:jc w:val="center"/>
        </w:trPr>
        <w:tc>
          <w:tcPr>
            <w:tcW w:w="2144" w:type="dxa"/>
            <w:gridSpan w:val="2"/>
            <w:tcBorders>
              <w:top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957"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46</w:t>
            </w:r>
            <w:r>
              <w:rPr>
                <w:rFonts w:hint="eastAsia" w:ascii="宋体" w:hAnsi="宋体" w:eastAsia="宋体" w:cs="宋体"/>
                <w:color w:val="000000" w:themeColor="text1"/>
                <w:sz w:val="21"/>
                <w:szCs w:val="21"/>
                <w:highlight w:val="none"/>
              </w:rPr>
              <w:t>分</w:t>
            </w:r>
          </w:p>
        </w:tc>
        <w:tc>
          <w:tcPr>
            <w:tcW w:w="6561" w:type="dxa"/>
            <w:tcBorders>
              <w:top w:val="single" w:color="auto" w:sz="8" w:space="0"/>
              <w:lef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p>
        </w:tc>
      </w:tr>
    </w:tbl>
    <w:p>
      <w:pPr>
        <w:rPr>
          <w:rFonts w:ascii="宋体"/>
          <w:color w:val="000000" w:themeColor="text1"/>
          <w:szCs w:val="21"/>
          <w:highlight w:val="none"/>
        </w:rPr>
      </w:pPr>
      <w:r>
        <w:rPr>
          <w:rFonts w:hint="eastAsia"/>
          <w:color w:val="000000" w:themeColor="text1"/>
          <w:highlight w:val="none"/>
        </w:rPr>
        <w:t>注：对照每项评价指标要求，投标文件完全不满足要求的，不得分。</w:t>
      </w: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bookmarkEnd w:id="1556"/>
    <w:bookmarkEnd w:id="1557"/>
    <w:bookmarkEnd w:id="1558"/>
    <w:bookmarkEnd w:id="1559"/>
    <w:bookmarkEnd w:id="1560"/>
    <w:bookmarkEnd w:id="1561"/>
    <w:bookmarkEnd w:id="1562"/>
    <w:bookmarkEnd w:id="1563"/>
    <w:bookmarkEnd w:id="1564"/>
    <w:bookmarkEnd w:id="1565"/>
    <w:p>
      <w:pPr>
        <w:pStyle w:val="4"/>
        <w:numPr>
          <w:ilvl w:val="0"/>
          <w:numId w:val="0"/>
        </w:numPr>
        <w:spacing w:beforeLines="0"/>
        <w:rPr>
          <w:color w:val="000000" w:themeColor="text1"/>
          <w:highlight w:val="none"/>
        </w:rPr>
      </w:pPr>
      <w:bookmarkStart w:id="1576" w:name="_Hlt21939000"/>
      <w:bookmarkEnd w:id="1576"/>
      <w:bookmarkStart w:id="1577" w:name="_Toc366072538"/>
      <w:bookmarkStart w:id="1578" w:name="_Toc331512907"/>
      <w:bookmarkStart w:id="1579" w:name="_Toc336681944"/>
      <w:bookmarkStart w:id="1580" w:name="_Toc333237797"/>
      <w:bookmarkStart w:id="1581" w:name="_Toc340507451"/>
      <w:bookmarkStart w:id="1582" w:name="_Toc332206717"/>
      <w:bookmarkStart w:id="1583" w:name="_Toc349143598"/>
      <w:bookmarkStart w:id="1584" w:name="_Toc340677079"/>
      <w:bookmarkStart w:id="1585" w:name="_Toc340672878"/>
      <w:bookmarkStart w:id="1586" w:name="_Toc339020024"/>
      <w:bookmarkStart w:id="1587" w:name="_Toc333237686"/>
      <w:bookmarkStart w:id="1588" w:name="_Toc331684047"/>
      <w:bookmarkStart w:id="1589" w:name="_Toc374454610"/>
      <w:bookmarkStart w:id="1590" w:name="_Toc350756459"/>
      <w:bookmarkStart w:id="1591" w:name="_Toc333238642"/>
      <w:bookmarkStart w:id="1592" w:name="_Toc341348347"/>
      <w:bookmarkStart w:id="1593" w:name="_Toc349127635"/>
      <w:bookmarkStart w:id="1594" w:name="_Toc345513910"/>
      <w:bookmarkStart w:id="1595" w:name="_Toc337632367"/>
      <w:bookmarkStart w:id="1596" w:name="_Toc339020242"/>
      <w:bookmarkStart w:id="1597" w:name="_Toc333935696"/>
      <w:bookmarkStart w:id="1598" w:name="_Toc339441096"/>
      <w:bookmarkStart w:id="1599" w:name="_Toc342060383"/>
      <w:bookmarkStart w:id="1600" w:name="_Toc336681589"/>
      <w:bookmarkStart w:id="1601" w:name="_Toc365985187"/>
      <w:bookmarkStart w:id="1602" w:name="_Toc330459994"/>
      <w:bookmarkStart w:id="1603" w:name="_Toc342296769"/>
      <w:bookmarkStart w:id="1604" w:name="_Toc350438758"/>
      <w:bookmarkStart w:id="1605" w:name="_Toc339019898"/>
      <w:bookmarkStart w:id="1606" w:name="_Toc339020104"/>
      <w:bookmarkStart w:id="1607" w:name="_Toc339362309"/>
      <w:bookmarkStart w:id="1608" w:name="_Toc333935355"/>
      <w:bookmarkStart w:id="1609" w:name="_Toc332270355"/>
      <w:bookmarkStart w:id="1610" w:name="_Toc365967081"/>
      <w:bookmarkStart w:id="1611" w:name="_Toc12843"/>
      <w:r>
        <w:rPr>
          <w:rFonts w:hint="eastAsia"/>
          <w:color w:val="000000" w:themeColor="text1"/>
          <w:highlight w:val="none"/>
        </w:rPr>
        <w:t>第四部分  采购项目合同</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Start w:id="1612" w:name="_Hlt97188170"/>
      <w:bookmarkEnd w:id="1612"/>
      <w:r>
        <w:rPr>
          <w:rFonts w:hint="eastAsia"/>
          <w:color w:val="000000" w:themeColor="text1"/>
          <w:highlight w:val="none"/>
        </w:rPr>
        <w:t>（参考范本）</w:t>
      </w:r>
      <w:bookmarkEnd w:id="1611"/>
    </w:p>
    <w:p>
      <w:pPr>
        <w:rPr>
          <w:bCs/>
          <w:color w:val="000000" w:themeColor="text1"/>
          <w:highlight w:val="none"/>
        </w:rPr>
      </w:pPr>
    </w:p>
    <w:p>
      <w:pPr>
        <w:rPr>
          <w:color w:val="000000" w:themeColor="text1"/>
          <w:highlight w:val="none"/>
        </w:rPr>
      </w:pPr>
    </w:p>
    <w:p>
      <w:pPr>
        <w:jc w:val="center"/>
        <w:rPr>
          <w:rFonts w:hint="eastAsia" w:ascii="宋体" w:hAnsi="宋体"/>
          <w:b/>
          <w:color w:val="000000" w:themeColor="text1"/>
          <w:sz w:val="30"/>
          <w:szCs w:val="30"/>
          <w:highlight w:val="none"/>
        </w:rPr>
      </w:pPr>
    </w:p>
    <w:p>
      <w:pPr>
        <w:jc w:val="center"/>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jc w:val="center"/>
        <w:rPr>
          <w:rFonts w:hint="eastAsia" w:ascii="宋体" w:hAnsi="宋体"/>
          <w:b/>
          <w:color w:val="000000" w:themeColor="text1"/>
          <w:sz w:val="72"/>
          <w:szCs w:val="72"/>
          <w:highlight w:val="none"/>
        </w:rPr>
      </w:pPr>
      <w:r>
        <w:rPr>
          <w:rFonts w:hint="eastAsia" w:ascii="宋体" w:hAnsi="宋体"/>
          <w:b/>
          <w:color w:val="000000" w:themeColor="text1"/>
          <w:sz w:val="72"/>
          <w:szCs w:val="72"/>
          <w:highlight w:val="none"/>
        </w:rPr>
        <w:t>合 同 书</w:t>
      </w: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采购编号：</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项目名称：</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Cs w:val="21"/>
          <w:highlight w:val="none"/>
        </w:rPr>
      </w:pPr>
      <w:r>
        <w:rPr>
          <w:rFonts w:hint="eastAsia" w:ascii="宋体" w:hAnsi="宋体"/>
          <w:b/>
          <w:color w:val="000000" w:themeColor="text1"/>
          <w:szCs w:val="21"/>
          <w:highlight w:val="none"/>
        </w:rPr>
        <w:t>注：本合同仅为合同草案文本，合同签订双方可根据项目的具体要求进行修订和细化。</w:t>
      </w:r>
    </w:p>
    <w:p>
      <w:pPr>
        <w:ind w:firstLine="5670" w:firstLineChars="2700"/>
        <w:rPr>
          <w:rFonts w:hint="eastAsia" w:ascii="宋体" w:hAnsi="宋体"/>
          <w:color w:val="000000" w:themeColor="text1"/>
          <w:szCs w:val="21"/>
          <w:highlight w:val="none"/>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甲    方：</w:t>
      </w:r>
      <w:r>
        <w:rPr>
          <w:rFonts w:hint="eastAsia" w:ascii="宋体" w:hAnsi="宋体" w:eastAsia="宋体" w:cs="宋体"/>
          <w:b/>
          <w:color w:val="000000" w:themeColor="text1"/>
          <w:sz w:val="2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乙    方：</w:t>
      </w:r>
      <w:r>
        <w:rPr>
          <w:rFonts w:hint="eastAsia" w:ascii="宋体" w:hAnsi="宋体" w:eastAsia="宋体" w:cs="宋体"/>
          <w:b/>
          <w:color w:val="000000" w:themeColor="text1"/>
          <w:sz w:val="2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color w:val="000000" w:themeColor="text1"/>
          <w:sz w:val="21"/>
          <w:szCs w:val="21"/>
          <w:highlight w:val="none"/>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55"/>
        <w:jc w:val="lef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根据 </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rPr>
        <w:t>项目（采购编号：</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rPr>
        <w:t>）的采购结果</w:t>
      </w:r>
      <w:r>
        <w:rPr>
          <w:rFonts w:hint="eastAsia" w:ascii="宋体" w:hAnsi="宋体" w:eastAsia="宋体" w:cs="宋体"/>
          <w:color w:val="000000" w:themeColor="text1"/>
          <w:sz w:val="21"/>
          <w:szCs w:val="21"/>
          <w:highlight w:val="none"/>
          <w:lang w:val="en-US" w:eastAsia="zh-CN"/>
        </w:rPr>
        <w:t>及</w:t>
      </w:r>
      <w:r>
        <w:rPr>
          <w:rFonts w:hint="eastAsia" w:ascii="宋体" w:hAnsi="宋体" w:eastAsia="宋体" w:cs="宋体"/>
          <w:color w:val="000000" w:themeColor="text1"/>
          <w:sz w:val="21"/>
          <w:szCs w:val="21"/>
          <w:highlight w:val="none"/>
        </w:rPr>
        <w:t>招标投标文件中的相关约定，按照《中华人民共和国政府采购法》、</w:t>
      </w:r>
      <w:r>
        <w:rPr>
          <w:rFonts w:hint="eastAsia" w:ascii="宋体" w:hAnsi="宋体" w:cs="宋体"/>
          <w:color w:val="000000" w:themeColor="text1"/>
          <w:sz w:val="21"/>
          <w:szCs w:val="21"/>
          <w:highlight w:val="none"/>
          <w:lang w:eastAsia="zh-CN"/>
        </w:rPr>
        <w:t>《中华人民共和国民法典》</w:t>
      </w:r>
      <w:r>
        <w:rPr>
          <w:rFonts w:hint="eastAsia" w:ascii="宋体" w:hAnsi="宋体" w:eastAsia="宋体" w:cs="宋体"/>
          <w:color w:val="000000" w:themeColor="text1"/>
          <w:sz w:val="21"/>
          <w:szCs w:val="21"/>
          <w:highlight w:val="none"/>
        </w:rPr>
        <w:t>的规定，</w:t>
      </w:r>
      <w:r>
        <w:rPr>
          <w:rFonts w:hint="eastAsia" w:ascii="宋体" w:hAnsi="宋体" w:eastAsia="宋体" w:cs="宋体"/>
          <w:color w:val="000000" w:themeColor="text1"/>
          <w:kern w:val="28"/>
          <w:sz w:val="21"/>
          <w:szCs w:val="21"/>
          <w:highlight w:val="none"/>
        </w:rPr>
        <w:t>经双方协商，</w:t>
      </w:r>
      <w:r>
        <w:rPr>
          <w:rFonts w:hint="eastAsia" w:ascii="宋体" w:hAnsi="宋体" w:eastAsia="宋体" w:cs="宋体"/>
          <w:color w:val="000000" w:themeColor="text1"/>
          <w:sz w:val="21"/>
          <w:szCs w:val="21"/>
          <w:highlight w:val="none"/>
        </w:rPr>
        <w:t>本着平等互利和诚实信用的原则，</w:t>
      </w:r>
      <w:r>
        <w:rPr>
          <w:rFonts w:hint="eastAsia" w:ascii="宋体" w:hAnsi="宋体" w:eastAsia="宋体" w:cs="宋体"/>
          <w:color w:val="000000" w:themeColor="text1"/>
          <w:kern w:val="28"/>
          <w:sz w:val="21"/>
          <w:szCs w:val="21"/>
          <w:highlight w:val="none"/>
        </w:rPr>
        <w:t>一致同意签订本合同如下。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一、</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合同金额为人民币（大写</w:t>
      </w:r>
      <w:r>
        <w:rPr>
          <w:rFonts w:hint="eastAsia" w:ascii="宋体" w:hAnsi="宋体" w:cs="宋体"/>
          <w:color w:val="000000" w:themeColor="text1"/>
          <w:sz w:val="21"/>
          <w:szCs w:val="21"/>
          <w:highlight w:val="none"/>
          <w:lang w:val="en-US" w:eastAsia="zh-CN"/>
        </w:rPr>
        <w:t xml:space="preserve">              </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 xml:space="preserve">        </w:t>
      </w:r>
      <w:r>
        <w:rPr>
          <w:rFonts w:hint="eastAsia" w:ascii="宋体" w:hAnsi="宋体" w:eastAsia="宋体" w:cs="宋体"/>
          <w:color w:val="000000" w:themeColor="text1"/>
          <w:sz w:val="21"/>
          <w:szCs w:val="21"/>
          <w:highlight w:val="none"/>
        </w:rPr>
        <w:t xml:space="preserve">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二、</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服务范围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甲方聘请乙方提供以下服务：</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u w:val="single"/>
          <w:lang w:val="en-US" w:eastAsia="zh-CN"/>
        </w:rPr>
        <w:t xml:space="preserve">             </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u w:val="single"/>
        </w:rPr>
      </w:pPr>
      <w:r>
        <w:rPr>
          <w:rFonts w:hint="eastAsia" w:ascii="宋体" w:hAnsi="宋体" w:eastAsia="宋体" w:cs="宋体"/>
          <w:color w:val="000000" w:themeColor="text1"/>
          <w:sz w:val="21"/>
          <w:szCs w:val="21"/>
          <w:highlight w:val="none"/>
          <w:u w:val="single"/>
          <w:lang w:val="en-US" w:eastAsia="zh-CN"/>
        </w:rPr>
        <w:t xml:space="preserve">            </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u w:val="single"/>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eastAsia="宋体"/>
          <w:b/>
          <w:bCs/>
          <w:color w:val="000000" w:themeColor="text1"/>
          <w:highlight w:val="none"/>
          <w:lang w:val="en-US" w:eastAsia="zh-CN"/>
        </w:rPr>
        <w:t>三、</w:t>
      </w:r>
      <w:r>
        <w:rPr>
          <w:rFonts w:hint="eastAsia" w:ascii="宋体" w:hAnsi="宋体" w:eastAsia="宋体" w:cs="宋体"/>
          <w:b/>
          <w:bCs/>
          <w:color w:val="000000" w:themeColor="text1"/>
          <w:sz w:val="21"/>
          <w:szCs w:val="21"/>
          <w:highlight w:val="none"/>
        </w:rPr>
        <w:t>甲方乙方的权利和义务</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甲方的权利和义务</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乙方的权利和义务</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四、</w:t>
      </w:r>
      <w:r>
        <w:rPr>
          <w:rFonts w:hint="eastAsia" w:ascii="宋体" w:hAnsi="宋体" w:eastAsia="宋体" w:cs="宋体"/>
          <w:b/>
          <w:bCs/>
          <w:color w:val="000000" w:themeColor="text1"/>
          <w:sz w:val="21"/>
          <w:szCs w:val="21"/>
          <w:highlight w:val="none"/>
        </w:rPr>
        <w:t>服务期间（项目完成期限）</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 xml:space="preserve">委托服务期间自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年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月至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年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月止。</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五、付款方式</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六、 知识产权归属</w:t>
      </w:r>
    </w:p>
    <w:p>
      <w:pPr>
        <w:pStyle w:val="53"/>
        <w:rPr>
          <w:rFonts w:hint="eastAsia"/>
          <w:color w:val="000000" w:themeColor="text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七 、 保 密</w:t>
      </w:r>
    </w:p>
    <w:p>
      <w:pPr>
        <w:pStyle w:val="53"/>
        <w:rPr>
          <w:rFonts w:hint="eastAsia"/>
          <w:color w:val="000000" w:themeColor="text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八、 违约责任与赔偿损失</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乙方提供的服务不符合本合同规定的，甲方有权拒收，并且乙方须向甲方支付本合同总价 5%的违约金。</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乙方未能按本合同规定的交货时间提供服务，从逾期之日起每日按本合同总价 3‰ 的数额向甲方支付违约金；逾期半个月以上的，甲方有权终止合同，由此造成的甲方经济损失由乙方承担。</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甲方无正当理由拒收接受服务，到期拒付服务款项的，甲方向乙方偿付本合同总的5%的违约金。甲方人逾期付款，则每日按本合同总价的 3‰向乙方偿付违约金。</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对于因甲方原因导致变更、中止或者终止政府采购合同的，甲方应当依照以下合同约定对供应商受到的损失予以赔偿或者补偿：</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其它违约责任按</w:t>
      </w:r>
      <w:r>
        <w:rPr>
          <w:rFonts w:hint="eastAsia" w:ascii="宋体" w:hAnsi="宋体" w:cs="宋体"/>
          <w:color w:val="000000" w:themeColor="text1"/>
          <w:sz w:val="21"/>
          <w:szCs w:val="21"/>
          <w:highlight w:val="none"/>
          <w:lang w:eastAsia="zh-CN"/>
        </w:rPr>
        <w:t>《中华人民共和国民法典》</w:t>
      </w:r>
      <w:r>
        <w:rPr>
          <w:rFonts w:hint="eastAsia" w:ascii="宋体" w:hAnsi="宋体" w:eastAsia="宋体" w:cs="宋体"/>
          <w:color w:val="000000" w:themeColor="text1"/>
          <w:sz w:val="21"/>
          <w:szCs w:val="21"/>
          <w:highlight w:val="none"/>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九、 争议的解决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1.合同执行过程中发生的任何争议，如双方不能通过友好协商解决，按相关法律法规处理。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 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十一、  税费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1.在中国境内、外发生的与本合同执行有关的一切税费均由乙方负担。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十二、 其它</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本合同所有附件、招标文件、投标文件、中标通知书均为合同的有效组成部分，与本合同具有同等法律效力。</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在执行本合同的过程中，所有经双方签署确认的文件（包括会议纪要、补充协议、往来信函）即成为本合同的有效组成部分。</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如一方地址、电话、传真号码有变更，应在变更当日内书面通知对方，否则，应承担相应责任。</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除甲方事先书面同意外，乙方不得部分或全部转让其应履行的合同项下的义务。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十三、</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合同生效</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本合同在甲乙双方法人代表或其授权代表签字盖章后生效。</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合同一式 </w:t>
      </w:r>
      <w:r>
        <w:rPr>
          <w:rFonts w:hint="eastAsia" w:ascii="宋体" w:hAnsi="宋体" w:cs="宋体"/>
          <w:color w:val="000000" w:themeColor="text1"/>
          <w:sz w:val="21"/>
          <w:szCs w:val="21"/>
          <w:highlight w:val="none"/>
          <w:u w:val="single"/>
          <w:lang w:val="en-US" w:eastAsia="zh-CN"/>
        </w:rPr>
        <w:t xml:space="preserve">    </w:t>
      </w:r>
      <w:r>
        <w:rPr>
          <w:rFonts w:hint="eastAsia" w:ascii="宋体" w:hAnsi="宋体" w:eastAsia="宋体" w:cs="宋体"/>
          <w:color w:val="000000" w:themeColor="text1"/>
          <w:sz w:val="21"/>
          <w:szCs w:val="21"/>
          <w:highlight w:val="none"/>
          <w:u w:val="single"/>
        </w:rPr>
        <w:tab/>
      </w:r>
      <w:r>
        <w:rPr>
          <w:rFonts w:hint="eastAsia" w:ascii="宋体" w:hAnsi="宋体" w:eastAsia="宋体" w:cs="宋体"/>
          <w:color w:val="000000" w:themeColor="text1"/>
          <w:sz w:val="21"/>
          <w:szCs w:val="21"/>
          <w:highlight w:val="none"/>
        </w:rPr>
        <w:t>份。</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本项目合同订立后，应提供</w:t>
      </w:r>
      <w:r>
        <w:rPr>
          <w:rFonts w:hint="eastAsia" w:ascii="宋体" w:hAnsi="宋体" w:eastAsia="宋体" w:cs="宋体"/>
          <w:color w:val="000000" w:themeColor="text1"/>
          <w:sz w:val="21"/>
          <w:szCs w:val="21"/>
          <w:highlight w:val="none"/>
          <w:lang w:val="en-US" w:eastAsia="zh-CN"/>
        </w:rPr>
        <w:t>一份</w:t>
      </w:r>
      <w:r>
        <w:rPr>
          <w:rFonts w:hint="eastAsia" w:ascii="宋体" w:hAnsi="宋体" w:eastAsia="宋体" w:cs="宋体"/>
          <w:color w:val="000000" w:themeColor="text1"/>
          <w:sz w:val="21"/>
          <w:szCs w:val="21"/>
          <w:highlight w:val="none"/>
        </w:rPr>
        <w:t>至</w:t>
      </w:r>
      <w:r>
        <w:rPr>
          <w:rFonts w:hint="eastAsia" w:ascii="宋体" w:hAnsi="宋体" w:cs="宋体"/>
          <w:color w:val="000000" w:themeColor="text1"/>
          <w:sz w:val="21"/>
          <w:szCs w:val="21"/>
          <w:highlight w:val="none"/>
          <w:u w:val="single"/>
          <w:lang w:eastAsia="zh-CN"/>
        </w:rPr>
        <w:t>广东业信招标有限公司</w:t>
      </w:r>
      <w:r>
        <w:rPr>
          <w:rFonts w:hint="eastAsia" w:ascii="宋体" w:hAnsi="宋体" w:eastAsia="宋体" w:cs="宋体"/>
          <w:color w:val="000000" w:themeColor="text1"/>
          <w:sz w:val="21"/>
          <w:szCs w:val="21"/>
          <w:highlight w:val="none"/>
        </w:rPr>
        <w:t xml:space="preserve">备案；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甲方（盖章）：                         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 xml:space="preserve">代表：                                代表：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签定地点：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签定日期：   年   月  日              签定日期：    年   月   日    </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开户名称：</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银行帐号：</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ascii="宋体" w:hAnsi="宋体"/>
          <w:bCs/>
          <w:color w:val="000000" w:themeColor="text1"/>
          <w:szCs w:val="21"/>
          <w:highlight w:val="none"/>
        </w:rPr>
      </w:pPr>
      <w:r>
        <w:rPr>
          <w:rFonts w:hint="eastAsia" w:ascii="宋体" w:hAnsi="宋体" w:eastAsia="宋体" w:cs="宋体"/>
          <w:color w:val="000000" w:themeColor="text1"/>
          <w:sz w:val="21"/>
          <w:szCs w:val="21"/>
          <w:highlight w:val="none"/>
        </w:rPr>
        <w:t>开 户 行：</w:t>
      </w:r>
    </w:p>
    <w:p>
      <w:pPr>
        <w:rPr>
          <w:color w:val="000000" w:themeColor="text1"/>
          <w:highlight w:val="none"/>
        </w:rPr>
      </w:pPr>
    </w:p>
    <w:p>
      <w:pPr>
        <w:tabs>
          <w:tab w:val="left" w:pos="1004"/>
        </w:tabs>
        <w:spacing w:line="440" w:lineRule="exact"/>
        <w:ind w:right="31" w:rightChars="15"/>
        <w:rPr>
          <w:rFonts w:ascii="宋体" w:hAnsi="宋体"/>
          <w:b/>
          <w:bCs/>
          <w:color w:val="000000" w:themeColor="text1"/>
          <w:szCs w:val="21"/>
          <w:highlight w:val="none"/>
        </w:rPr>
        <w:sectPr>
          <w:footerReference r:id="rId10" w:type="first"/>
          <w:footerReference r:id="rId9" w:type="default"/>
          <w:pgSz w:w="11906" w:h="16838"/>
          <w:pgMar w:top="1418" w:right="1474" w:bottom="1418" w:left="1474" w:header="851" w:footer="851" w:gutter="0"/>
          <w:cols w:space="720" w:num="1"/>
          <w:titlePg/>
          <w:docGrid w:linePitch="312" w:charSpace="0"/>
        </w:sectPr>
      </w:pPr>
    </w:p>
    <w:p>
      <w:pPr>
        <w:pStyle w:val="4"/>
        <w:numPr>
          <w:ilvl w:val="0"/>
          <w:numId w:val="0"/>
        </w:numPr>
        <w:spacing w:beforeLines="0"/>
        <w:rPr>
          <w:color w:val="000000" w:themeColor="text1"/>
          <w:highlight w:val="none"/>
        </w:rPr>
      </w:pPr>
      <w:bookmarkStart w:id="1613" w:name="_Toc339020243"/>
      <w:bookmarkStart w:id="1614" w:name="_Toc331684048"/>
      <w:bookmarkStart w:id="1615" w:name="_Toc365985188"/>
      <w:bookmarkStart w:id="1616" w:name="_Toc336681945"/>
      <w:bookmarkStart w:id="1617" w:name="_Toc340672879"/>
      <w:bookmarkStart w:id="1618" w:name="_Toc339020105"/>
      <w:bookmarkStart w:id="1619" w:name="_Toc349127636"/>
      <w:bookmarkStart w:id="1620" w:name="_Toc333237687"/>
      <w:bookmarkStart w:id="1621" w:name="_Toc339019899"/>
      <w:bookmarkStart w:id="1622" w:name="_Toc366072539"/>
      <w:bookmarkStart w:id="1623" w:name="_Toc340677080"/>
      <w:bookmarkStart w:id="1624" w:name="_Toc333935356"/>
      <w:bookmarkStart w:id="1625" w:name="_Toc337632368"/>
      <w:bookmarkStart w:id="1626" w:name="_Toc336681590"/>
      <w:bookmarkStart w:id="1627" w:name="_Toc349143599"/>
      <w:bookmarkStart w:id="1628" w:name="_Toc339362310"/>
      <w:bookmarkStart w:id="1629" w:name="_Toc491658678"/>
      <w:bookmarkStart w:id="1630" w:name="_Toc341348348"/>
      <w:bookmarkStart w:id="1631" w:name="_Toc333237798"/>
      <w:bookmarkStart w:id="1632" w:name="_Toc333935697"/>
      <w:bookmarkStart w:id="1633" w:name="_Toc365967082"/>
      <w:bookmarkStart w:id="1634" w:name="_Toc500861025"/>
      <w:bookmarkStart w:id="1635" w:name="_Toc345513911"/>
      <w:bookmarkStart w:id="1636" w:name="_Toc332270356"/>
      <w:bookmarkStart w:id="1637" w:name="_Toc350756460"/>
      <w:bookmarkStart w:id="1638" w:name="_Toc350438759"/>
      <w:bookmarkStart w:id="1639" w:name="_Toc330459995"/>
      <w:bookmarkStart w:id="1640" w:name="_Toc339441097"/>
      <w:bookmarkStart w:id="1641" w:name="_Toc340507452"/>
      <w:bookmarkStart w:id="1642" w:name="_Toc333238643"/>
      <w:bookmarkStart w:id="1643" w:name="_Toc21106"/>
      <w:bookmarkStart w:id="1644" w:name="_Toc339020025"/>
      <w:bookmarkStart w:id="1645" w:name="_Toc331512908"/>
      <w:bookmarkStart w:id="1646" w:name="_Toc342296770"/>
      <w:bookmarkStart w:id="1647" w:name="_Toc332206718"/>
      <w:bookmarkStart w:id="1648" w:name="_Toc342060384"/>
      <w:r>
        <w:rPr>
          <w:rFonts w:hint="eastAsia"/>
          <w:color w:val="000000" w:themeColor="text1"/>
          <w:highlight w:val="none"/>
        </w:rPr>
        <w:t>第五部分</w:t>
      </w:r>
      <w:bookmarkStart w:id="1649" w:name="_Hlt97188172"/>
      <w:bookmarkEnd w:id="1649"/>
      <w:r>
        <w:rPr>
          <w:rFonts w:hint="eastAsia"/>
          <w:color w:val="000000" w:themeColor="text1"/>
          <w:highlight w:val="none"/>
        </w:rPr>
        <w:t>投标文件格式</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Start w:id="1650" w:name="_Hlt21938933"/>
      <w:bookmarkEnd w:id="1650"/>
    </w:p>
    <w:p>
      <w:pPr>
        <w:pStyle w:val="5"/>
        <w:numPr>
          <w:ilvl w:val="0"/>
          <w:numId w:val="0"/>
        </w:numPr>
        <w:rPr>
          <w:color w:val="000000" w:themeColor="text1"/>
          <w:sz w:val="24"/>
          <w:highlight w:val="none"/>
        </w:rPr>
      </w:pPr>
      <w:bookmarkStart w:id="1651" w:name="_Toc18149"/>
      <w:bookmarkStart w:id="1652" w:name="_Toc18699"/>
      <w:r>
        <w:rPr>
          <w:rFonts w:hint="eastAsia"/>
          <w:color w:val="000000" w:themeColor="text1"/>
          <w:sz w:val="24"/>
          <w:highlight w:val="none"/>
        </w:rPr>
        <w:t>资格审查封面格式</w:t>
      </w:r>
      <w:bookmarkEnd w:id="1651"/>
      <w:bookmarkEnd w:id="1652"/>
    </w:p>
    <w:p>
      <w:pPr>
        <w:pStyle w:val="6"/>
        <w:rPr>
          <w:rFonts w:hAnsi="宋体"/>
          <w:bCs/>
          <w:color w:val="000000" w:themeColor="text1"/>
          <w:sz w:val="21"/>
          <w:highlight w:val="none"/>
        </w:rPr>
      </w:pP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 xml:space="preserve">1、投标内容应当编有目录、页码，按页码排序并装订成册。  </w:t>
      </w:r>
    </w:p>
    <w:p>
      <w:pPr>
        <w:pStyle w:val="6"/>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6"/>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（资格审查文件）</w:t>
      </w: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440" w:lineRule="exact"/>
        <w:jc w:val="center"/>
        <w:rPr>
          <w:rFonts w:hAnsi="宋体"/>
          <w:bCs/>
          <w:color w:val="000000" w:themeColor="text1"/>
          <w:sz w:val="21"/>
          <w:highlight w:val="none"/>
        </w:rPr>
      </w:pPr>
    </w:p>
    <w:p>
      <w:pPr>
        <w:pStyle w:val="6"/>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6"/>
        <w:spacing w:line="440" w:lineRule="exact"/>
        <w:rPr>
          <w:rFonts w:hint="eastAsia" w:hAnsi="宋体"/>
          <w:bCs/>
          <w:color w:val="000000" w:themeColor="text1"/>
          <w:sz w:val="21"/>
          <w:highlight w:val="none"/>
        </w:rPr>
      </w:pPr>
      <w:r>
        <w:rPr>
          <w:rFonts w:hint="eastAsia" w:hAnsi="宋体"/>
          <w:bCs/>
          <w:color w:val="000000" w:themeColor="text1"/>
          <w:sz w:val="21"/>
          <w:highlight w:val="none"/>
        </w:rPr>
        <w:t>包组号：</w:t>
      </w:r>
      <w:r>
        <w:rPr>
          <w:rFonts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6"/>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pStyle w:val="5"/>
        <w:numPr>
          <w:ilvl w:val="7"/>
          <w:numId w:val="6"/>
        </w:numPr>
        <w:tabs>
          <w:tab w:val="clear" w:pos="720"/>
        </w:tabs>
        <w:spacing w:before="240" w:after="240" w:line="360" w:lineRule="exact"/>
        <w:ind w:left="0" w:firstLine="0"/>
        <w:rPr>
          <w:color w:val="000000" w:themeColor="text1"/>
          <w:sz w:val="24"/>
          <w:highlight w:val="none"/>
        </w:rPr>
      </w:pPr>
      <w:r>
        <w:rPr>
          <w:rFonts w:hint="eastAsia"/>
          <w:color w:val="000000" w:themeColor="text1"/>
          <w:sz w:val="24"/>
          <w:highlight w:val="none"/>
        </w:rPr>
        <w:t xml:space="preserve">  </w:t>
      </w:r>
      <w:bookmarkStart w:id="1653" w:name="_Toc31809"/>
      <w:bookmarkStart w:id="1654" w:name="_Toc11172"/>
      <w:r>
        <w:rPr>
          <w:rFonts w:hint="eastAsia"/>
          <w:color w:val="000000" w:themeColor="text1"/>
          <w:sz w:val="24"/>
          <w:highlight w:val="none"/>
        </w:rPr>
        <w:t>自查表</w:t>
      </w:r>
      <w:bookmarkEnd w:id="1653"/>
      <w:bookmarkEnd w:id="1654"/>
    </w:p>
    <w:p>
      <w:pPr>
        <w:pStyle w:val="5"/>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655" w:name="_Toc15898"/>
      <w:r>
        <w:rPr>
          <w:rFonts w:hint="eastAsia" w:ascii="宋体"/>
          <w:b/>
          <w:bCs w:val="0"/>
          <w:color w:val="000000" w:themeColor="text1"/>
          <w:szCs w:val="21"/>
          <w:highlight w:val="none"/>
        </w:rPr>
        <w:t xml:space="preserve"> </w:t>
      </w:r>
      <w:bookmarkStart w:id="1656" w:name="_Toc12621"/>
      <w:r>
        <w:rPr>
          <w:rFonts w:hint="eastAsia" w:ascii="宋体"/>
          <w:b/>
          <w:bCs w:val="0"/>
          <w:color w:val="000000" w:themeColor="text1"/>
          <w:szCs w:val="21"/>
          <w:highlight w:val="none"/>
        </w:rPr>
        <w:t>资格性自查表</w:t>
      </w:r>
      <w:bookmarkEnd w:id="1655"/>
      <w:bookmarkEnd w:id="1656"/>
    </w:p>
    <w:p>
      <w:pPr>
        <w:jc w:val="center"/>
        <w:rPr>
          <w:rFonts w:hint="eastAsia" w:ascii="宋体" w:hAnsi="宋体" w:eastAsia="宋体"/>
          <w:b/>
          <w:bCs/>
          <w:color w:val="000000" w:themeColor="text1"/>
          <w:szCs w:val="21"/>
          <w:highlight w:val="none"/>
          <w:lang w:eastAsia="zh-CN"/>
        </w:rPr>
      </w:pPr>
      <w:r>
        <w:rPr>
          <w:rFonts w:hint="eastAsia" w:ascii="宋体" w:hAnsi="宋体"/>
          <w:b/>
          <w:bCs/>
          <w:color w:val="000000" w:themeColor="text1"/>
          <w:szCs w:val="21"/>
          <w:highlight w:val="none"/>
          <w:lang w:eastAsia="zh-CN"/>
        </w:rPr>
        <w:t>（</w:t>
      </w:r>
      <w:r>
        <w:rPr>
          <w:rFonts w:hint="eastAsia" w:ascii="宋体" w:hAnsi="宋体"/>
          <w:b/>
          <w:bCs/>
          <w:color w:val="000000" w:themeColor="text1"/>
          <w:szCs w:val="21"/>
          <w:highlight w:val="none"/>
          <w:lang w:val="en-US" w:eastAsia="zh-CN"/>
        </w:rPr>
        <w:t>包组一、包组二</w:t>
      </w:r>
      <w:r>
        <w:rPr>
          <w:rFonts w:hint="eastAsia" w:ascii="宋体" w:hAnsi="宋体"/>
          <w:b/>
          <w:bCs/>
          <w:color w:val="000000" w:themeColor="text1"/>
          <w:szCs w:val="21"/>
          <w:highlight w:val="none"/>
          <w:lang w:eastAsia="zh-CN"/>
        </w:rPr>
        <w:t>）</w:t>
      </w:r>
    </w:p>
    <w:tbl>
      <w:tblPr>
        <w:tblStyle w:val="46"/>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00"/>
        <w:gridCol w:w="3444"/>
        <w:gridCol w:w="197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8"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344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48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988" w:type="dxa"/>
            <w:vMerge w:val="restart"/>
            <w:vAlign w:val="center"/>
          </w:tcPr>
          <w:p>
            <w:pPr>
              <w:tabs>
                <w:tab w:val="left" w:pos="480"/>
              </w:tabs>
              <w:ind w:left="480" w:hanging="480"/>
              <w:rPr>
                <w:rFonts w:hint="eastAsia" w:ascii="宋体" w:hAnsi="宋体"/>
                <w:color w:val="000000" w:themeColor="text1"/>
                <w:szCs w:val="21"/>
                <w:highlight w:val="none"/>
              </w:rPr>
            </w:pPr>
            <w:r>
              <w:rPr>
                <w:rFonts w:hint="eastAsia" w:ascii="宋体" w:hAnsi="宋体"/>
                <w:color w:val="000000" w:themeColor="text1"/>
                <w:szCs w:val="21"/>
                <w:highlight w:val="none"/>
              </w:rPr>
              <w:t>资格</w:t>
            </w:r>
          </w:p>
          <w:p>
            <w:pPr>
              <w:tabs>
                <w:tab w:val="left" w:pos="480"/>
              </w:tabs>
              <w:ind w:left="480" w:hanging="480"/>
              <w:rPr>
                <w:rFonts w:ascii="宋体" w:hAnsi="宋体"/>
                <w:b/>
                <w:bCs/>
                <w:color w:val="000000" w:themeColor="text1"/>
                <w:szCs w:val="21"/>
                <w:highlight w:val="none"/>
              </w:rPr>
            </w:pPr>
            <w:r>
              <w:rPr>
                <w:rFonts w:hint="eastAsia" w:ascii="宋体" w:hAnsi="宋体"/>
                <w:color w:val="000000" w:themeColor="text1"/>
                <w:szCs w:val="21"/>
                <w:highlight w:val="none"/>
              </w:rPr>
              <w:t>性检查</w:t>
            </w:r>
          </w:p>
        </w:tc>
        <w:tc>
          <w:tcPr>
            <w:tcW w:w="1200" w:type="dxa"/>
            <w:vMerge w:val="restart"/>
            <w:vAlign w:val="center"/>
          </w:tcPr>
          <w:p>
            <w:pPr>
              <w:tabs>
                <w:tab w:val="left" w:pos="146"/>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投标人</w:t>
            </w:r>
          </w:p>
          <w:p>
            <w:pPr>
              <w:tabs>
                <w:tab w:val="left" w:pos="146"/>
              </w:tabs>
              <w:jc w:val="center"/>
              <w:rPr>
                <w:rFonts w:ascii="宋体" w:hAnsi="宋体"/>
                <w:color w:val="000000" w:themeColor="text1"/>
                <w:szCs w:val="21"/>
                <w:highlight w:val="none"/>
              </w:rPr>
            </w:pPr>
            <w:r>
              <w:rPr>
                <w:rFonts w:hint="eastAsia" w:ascii="宋体" w:hAnsi="宋体"/>
                <w:color w:val="000000" w:themeColor="text1"/>
                <w:szCs w:val="21"/>
                <w:highlight w:val="none"/>
              </w:rPr>
              <w:t>资格要求</w:t>
            </w:r>
          </w:p>
        </w:tc>
        <w:tc>
          <w:tcPr>
            <w:tcW w:w="3444"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tabs>
                <w:tab w:val="left" w:pos="0"/>
              </w:tabs>
              <w:rPr>
                <w:rFonts w:ascii="宋体" w:hAnsi="宋体"/>
                <w:b/>
                <w:bCs/>
                <w:color w:val="000000" w:themeColor="text1"/>
                <w:szCs w:val="21"/>
                <w:highlight w:val="none"/>
              </w:rPr>
            </w:pP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见投标文件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要求：提交合法有效的营业执照复印件加盖公章、</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98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200" w:type="dxa"/>
            <w:vMerge w:val="continue"/>
            <w:vAlign w:val="center"/>
          </w:tcPr>
          <w:p>
            <w:pPr>
              <w:tabs>
                <w:tab w:val="left" w:pos="146"/>
              </w:tabs>
              <w:ind w:left="146"/>
              <w:jc w:val="center"/>
              <w:rPr>
                <w:rFonts w:ascii="宋体" w:hAnsi="宋体"/>
                <w:color w:val="000000" w:themeColor="text1"/>
                <w:szCs w:val="21"/>
                <w:highlight w:val="none"/>
              </w:rPr>
            </w:pPr>
          </w:p>
        </w:tc>
        <w:tc>
          <w:tcPr>
            <w:tcW w:w="3444" w:type="dxa"/>
            <w:vAlign w:val="center"/>
          </w:tcPr>
          <w:p>
            <w:pPr>
              <w:tabs>
                <w:tab w:val="left" w:pos="0"/>
              </w:tabs>
              <w:rPr>
                <w:rFonts w:ascii="宋体" w:hAnsi="宋体"/>
                <w:color w:val="000000" w:themeColor="text1"/>
                <w:szCs w:val="21"/>
                <w:highlight w:val="none"/>
              </w:rPr>
            </w:pPr>
            <w:r>
              <w:rPr>
                <w:rFonts w:hint="eastAsia" w:ascii="宋体" w:hAnsi="宋体" w:eastAsia="宋体" w:cs="宋体"/>
                <w:color w:val="000000" w:themeColor="text1"/>
                <w:szCs w:val="21"/>
                <w:highlight w:val="none"/>
              </w:rPr>
              <w:t>投标人或其实验室必须具有有效期内的计量认证CMA证书，或具有有效的检验检测能力（含食品）的检验检测机构资质认定CMA证书，需提供有效期内的证书复印件，并加盖公章</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98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200" w:type="dxa"/>
            <w:vMerge w:val="continue"/>
            <w:vAlign w:val="center"/>
          </w:tcPr>
          <w:p>
            <w:pPr>
              <w:tabs>
                <w:tab w:val="left" w:pos="146"/>
              </w:tabs>
              <w:ind w:left="146"/>
              <w:jc w:val="center"/>
              <w:rPr>
                <w:rFonts w:ascii="宋体" w:hAnsi="宋体"/>
                <w:color w:val="000000" w:themeColor="text1"/>
                <w:szCs w:val="21"/>
                <w:highlight w:val="none"/>
              </w:rPr>
            </w:pPr>
          </w:p>
        </w:tc>
        <w:tc>
          <w:tcPr>
            <w:tcW w:w="3444" w:type="dxa"/>
            <w:vAlign w:val="center"/>
          </w:tcPr>
          <w:p>
            <w:pPr>
              <w:tabs>
                <w:tab w:val="left" w:pos="0"/>
              </w:tabs>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lang w:val="en-US" w:eastAsia="zh-CN"/>
              </w:rPr>
              <w:t>为采购项目提供整体设计、规范编制或者项目管理、监理、检测等服务的供应商，不得再参加该采购项目的其他采购活动。（提供《投标函》承诺）</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98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200" w:type="dxa"/>
            <w:vMerge w:val="continue"/>
            <w:vAlign w:val="center"/>
          </w:tcPr>
          <w:p>
            <w:pPr>
              <w:tabs>
                <w:tab w:val="left" w:pos="146"/>
              </w:tabs>
              <w:ind w:left="146"/>
              <w:jc w:val="center"/>
              <w:rPr>
                <w:rFonts w:ascii="宋体" w:hAnsi="宋体"/>
                <w:color w:val="000000" w:themeColor="text1"/>
                <w:szCs w:val="21"/>
                <w:highlight w:val="none"/>
              </w:rPr>
            </w:pPr>
          </w:p>
        </w:tc>
        <w:tc>
          <w:tcPr>
            <w:tcW w:w="3444" w:type="dxa"/>
            <w:vAlign w:val="center"/>
          </w:tcPr>
          <w:p>
            <w:pPr>
              <w:tabs>
                <w:tab w:val="left" w:pos="0"/>
              </w:tabs>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单位负责人为同一人或者存在直接控股、管理关系的不同供应商，不得参加同一合同项下的政府采购活动。（提供《投标函》承诺）</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200" w:type="dxa"/>
            <w:vAlign w:val="center"/>
          </w:tcPr>
          <w:p>
            <w:pPr>
              <w:tabs>
                <w:tab w:val="left" w:pos="146"/>
              </w:tabs>
              <w:jc w:val="both"/>
              <w:rPr>
                <w:rFonts w:ascii="宋体" w:hAnsi="宋体"/>
                <w:b/>
                <w:bCs/>
                <w:color w:val="000000" w:themeColor="text1"/>
                <w:szCs w:val="21"/>
                <w:highlight w:val="none"/>
              </w:rPr>
            </w:pPr>
            <w:r>
              <w:rPr>
                <w:rFonts w:hint="eastAsia" w:ascii="宋体" w:hAnsi="宋体"/>
                <w:color w:val="000000" w:themeColor="text1"/>
                <w:szCs w:val="21"/>
                <w:highlight w:val="none"/>
              </w:rPr>
              <w:t>不接受联合体投标</w:t>
            </w:r>
          </w:p>
        </w:tc>
        <w:tc>
          <w:tcPr>
            <w:tcW w:w="3444"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107" w:leftChars="-51" w:firstLine="106"/>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adjustRightInd w:val="0"/>
        <w:snapToGrid w:val="0"/>
        <w:spacing w:line="300" w:lineRule="auto"/>
        <w:rPr>
          <w:color w:val="000000" w:themeColor="text1"/>
          <w:sz w:val="24"/>
          <w:highlight w:val="none"/>
        </w:rPr>
      </w:pPr>
    </w:p>
    <w:p>
      <w:pPr>
        <w:pStyle w:val="5"/>
        <w:numPr>
          <w:ilvl w:val="0"/>
          <w:numId w:val="0"/>
        </w:numPr>
        <w:rPr>
          <w:color w:val="000000" w:themeColor="text1"/>
          <w:highlight w:val="none"/>
        </w:rPr>
      </w:pPr>
      <w:bookmarkStart w:id="1657" w:name="_Toc22035"/>
      <w:bookmarkStart w:id="1658" w:name="_Toc21470"/>
      <w:r>
        <w:rPr>
          <w:rFonts w:hint="eastAsia"/>
          <w:color w:val="000000" w:themeColor="text1"/>
          <w:highlight w:val="none"/>
        </w:rPr>
        <w:t>（一）资格审查文件要求提交的有效证明文件</w:t>
      </w:r>
      <w:bookmarkEnd w:id="1657"/>
      <w:bookmarkEnd w:id="1658"/>
    </w:p>
    <w:p>
      <w:pPr>
        <w:adjustRightInd w:val="0"/>
        <w:snapToGrid w:val="0"/>
        <w:spacing w:line="360" w:lineRule="auto"/>
        <w:jc w:val="left"/>
        <w:rPr>
          <w:rFonts w:ascii="宋体" w:hAnsi="宋体"/>
          <w:b/>
          <w:bCs/>
          <w:cap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hint="eastAsia" w:ascii="宋体" w:hAnsi="宋体"/>
          <w:bCs/>
          <w:color w:val="000000" w:themeColor="text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pStyle w:val="6"/>
        <w:rPr>
          <w:color w:val="000000" w:themeColor="text1"/>
          <w:highlight w:val="none"/>
        </w:rPr>
      </w:pP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1、合法有效的营业执照复印件加盖公章；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3、缴税证明复印件加盖公章；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4、社会保险证明复印件加盖公章；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5、</w:t>
      </w:r>
      <w:r>
        <w:rPr>
          <w:rFonts w:hint="eastAsia" w:hAnsi="黑体"/>
          <w:color w:val="000000" w:themeColor="text1"/>
          <w:szCs w:val="21"/>
          <w:highlight w:val="none"/>
        </w:rPr>
        <w:t>无重大违法记录声明函</w:t>
      </w:r>
      <w:r>
        <w:rPr>
          <w:rFonts w:hint="eastAsia" w:ascii="宋体" w:hAnsi="宋体"/>
          <w:color w:val="000000" w:themeColor="text1"/>
          <w:szCs w:val="21"/>
          <w:highlight w:val="none"/>
        </w:rPr>
        <w:t>；</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6、相关资质证明文件：</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7、</w:t>
      </w:r>
      <w:r>
        <w:rPr>
          <w:rFonts w:ascii="宋体" w:hAnsi="宋体"/>
          <w:color w:val="000000" w:themeColor="text1"/>
          <w:szCs w:val="21"/>
          <w:highlight w:val="none"/>
        </w:rPr>
        <w:t>………</w:t>
      </w:r>
    </w:p>
    <w:p>
      <w:pPr>
        <w:pStyle w:val="6"/>
        <w:rPr>
          <w:rFonts w:hAnsi="宋体"/>
          <w:bCs/>
          <w:color w:val="000000" w:themeColor="text1"/>
          <w:sz w:val="21"/>
          <w:szCs w:val="21"/>
          <w:highlight w:val="none"/>
        </w:rPr>
      </w:pPr>
    </w:p>
    <w:p>
      <w:pPr>
        <w:pStyle w:val="6"/>
        <w:rPr>
          <w:rFonts w:hAnsi="宋体"/>
          <w:bCs/>
          <w:color w:val="000000" w:themeColor="text1"/>
          <w:sz w:val="21"/>
          <w:szCs w:val="21"/>
          <w:highlight w:val="none"/>
        </w:rPr>
      </w:pPr>
    </w:p>
    <w:p>
      <w:pPr>
        <w:pStyle w:val="6"/>
        <w:rPr>
          <w:rFonts w:hAnsi="宋体"/>
          <w:bCs/>
          <w:color w:val="000000" w:themeColor="text1"/>
          <w:sz w:val="21"/>
          <w:szCs w:val="21"/>
          <w:highlight w:val="none"/>
        </w:rPr>
      </w:pPr>
    </w:p>
    <w:p>
      <w:pPr>
        <w:pStyle w:val="6"/>
        <w:rPr>
          <w:rFonts w:hAnsi="宋体"/>
          <w:bCs/>
          <w:color w:val="000000" w:themeColor="text1"/>
          <w:sz w:val="21"/>
          <w:szCs w:val="21"/>
          <w:highlight w:val="none"/>
        </w:rPr>
      </w:pPr>
    </w:p>
    <w:p>
      <w:pPr>
        <w:pStyle w:val="6"/>
        <w:rPr>
          <w:rFonts w:hAnsi="宋体"/>
          <w:color w:val="000000" w:themeColor="text1"/>
          <w:sz w:val="21"/>
          <w:szCs w:val="21"/>
          <w:highlight w:val="none"/>
        </w:rPr>
      </w:pPr>
      <w:r>
        <w:rPr>
          <w:rFonts w:hint="eastAsia" w:hAnsi="宋体"/>
          <w:bCs/>
          <w:color w:val="000000" w:themeColor="text1"/>
          <w:sz w:val="21"/>
          <w:szCs w:val="21"/>
          <w:highlight w:val="none"/>
        </w:rPr>
        <w:t>提供招标文件要求的资格</w:t>
      </w:r>
      <w:r>
        <w:rPr>
          <w:rFonts w:hint="eastAsia" w:hAnsi="宋体"/>
          <w:color w:val="000000" w:themeColor="text1"/>
          <w:sz w:val="21"/>
          <w:szCs w:val="21"/>
          <w:highlight w:val="none"/>
        </w:rPr>
        <w:t>证明文件复印件加盖公章。</w:t>
      </w: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5"/>
        <w:numPr>
          <w:ilvl w:val="0"/>
          <w:numId w:val="0"/>
        </w:numPr>
        <w:rPr>
          <w:rFonts w:hAnsi="黑体"/>
          <w:color w:val="000000" w:themeColor="text1"/>
          <w:szCs w:val="21"/>
          <w:highlight w:val="none"/>
        </w:rPr>
      </w:pPr>
      <w:bookmarkStart w:id="1659" w:name="_Toc4658"/>
      <w:bookmarkStart w:id="1660" w:name="_Toc26194"/>
      <w:r>
        <w:rPr>
          <w:rFonts w:hint="eastAsia" w:hAnsi="黑体"/>
          <w:color w:val="000000" w:themeColor="text1"/>
          <w:szCs w:val="21"/>
          <w:highlight w:val="none"/>
        </w:rPr>
        <w:t>（二）无重大违法记录声明函</w:t>
      </w:r>
      <w:bookmarkEnd w:id="1659"/>
      <w:bookmarkEnd w:id="1660"/>
    </w:p>
    <w:p>
      <w:pPr>
        <w:pStyle w:val="6"/>
        <w:spacing w:line="360" w:lineRule="auto"/>
        <w:ind w:left="420" w:firstLine="0"/>
        <w:rPr>
          <w:color w:val="000000" w:themeColor="text1"/>
          <w:highlight w:val="none"/>
        </w:rPr>
      </w:pPr>
    </w:p>
    <w:p>
      <w:pPr>
        <w:spacing w:line="360" w:lineRule="auto"/>
        <w:rPr>
          <w:color w:val="000000" w:themeColor="text1"/>
          <w:szCs w:val="21"/>
          <w:highlight w:val="none"/>
        </w:rPr>
      </w:pPr>
      <w:r>
        <w:rPr>
          <w:rFonts w:hint="eastAsia"/>
          <w:color w:val="000000" w:themeColor="text1"/>
          <w:szCs w:val="21"/>
          <w:highlight w:val="none"/>
        </w:rPr>
        <w:t>致</w:t>
      </w:r>
      <w:r>
        <w:rPr>
          <w:rFonts w:hint="eastAsia"/>
          <w:color w:val="000000" w:themeColor="text1"/>
          <w:szCs w:val="21"/>
          <w:highlight w:val="none"/>
          <w:lang w:eastAsia="zh-CN"/>
        </w:rPr>
        <w:t>广东业信招标有限公司</w:t>
      </w:r>
      <w:r>
        <w:rPr>
          <w:rFonts w:hint="eastAsia"/>
          <w:color w:val="000000" w:themeColor="text1"/>
          <w:szCs w:val="21"/>
          <w:highlight w:val="none"/>
        </w:rPr>
        <w:t>：</w:t>
      </w:r>
    </w:p>
    <w:p>
      <w:pPr>
        <w:spacing w:line="360" w:lineRule="auto"/>
        <w:rPr>
          <w:rFonts w:ascii="宋体" w:hAnsi="宋体"/>
          <w:bCs/>
          <w:color w:val="000000" w:themeColor="text1"/>
          <w:highlight w:val="none"/>
          <w:u w:val="single"/>
        </w:rPr>
      </w:pPr>
      <w:r>
        <w:rPr>
          <w:rFonts w:hint="eastAsia"/>
          <w:color w:val="000000" w:themeColor="text1"/>
          <w:szCs w:val="21"/>
          <w:highlight w:val="none"/>
        </w:rPr>
        <w:t xml:space="preserve">    针对贵</w:t>
      </w:r>
      <w:r>
        <w:rPr>
          <w:rFonts w:hint="eastAsia" w:ascii="宋体" w:hAnsi="宋体"/>
          <w:color w:val="000000" w:themeColor="text1"/>
          <w:szCs w:val="21"/>
          <w:highlight w:val="none"/>
        </w:rPr>
        <w:t>方</w:t>
      </w:r>
      <w:r>
        <w:rPr>
          <w:rFonts w:hint="eastAsia"/>
          <w:color w:val="000000" w:themeColor="text1"/>
          <w:szCs w:val="21"/>
          <w:highlight w:val="none"/>
        </w:rPr>
        <w:t>组织的（项目名称：</w:t>
      </w:r>
      <w:r>
        <w:rPr>
          <w:rFonts w:hint="eastAsia"/>
          <w:color w:val="000000" w:themeColor="text1"/>
          <w:szCs w:val="21"/>
          <w:highlight w:val="none"/>
          <w:u w:val="single"/>
        </w:rPr>
        <w:t xml:space="preserve">                         </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color w:val="000000" w:themeColor="text1"/>
          <w:szCs w:val="21"/>
          <w:highlight w:val="none"/>
        </w:rPr>
        <w:t>）</w:t>
      </w: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color w:val="000000" w:themeColor="text1"/>
          <w:szCs w:val="21"/>
          <w:highlight w:val="none"/>
        </w:rPr>
        <w:t>，我方郑重承诺：</w:t>
      </w:r>
    </w:p>
    <w:p>
      <w:pPr>
        <w:spacing w:line="360" w:lineRule="auto"/>
        <w:rPr>
          <w:color w:val="000000" w:themeColor="text1"/>
          <w:szCs w:val="21"/>
          <w:highlight w:val="none"/>
        </w:rPr>
      </w:pPr>
      <w:r>
        <w:rPr>
          <w:rFonts w:hint="eastAsia"/>
          <w:color w:val="000000" w:themeColor="text1"/>
          <w:szCs w:val="21"/>
          <w:highlight w:val="none"/>
        </w:rPr>
        <w:t xml:space="preserve">    参加本次政府采购活动前三年内，在经营活动中没有重大违法记录。</w:t>
      </w:r>
    </w:p>
    <w:p>
      <w:pPr>
        <w:spacing w:line="360" w:lineRule="auto"/>
        <w:rPr>
          <w:color w:val="000000" w:themeColor="text1"/>
          <w:szCs w:val="21"/>
          <w:highlight w:val="none"/>
        </w:rPr>
      </w:pPr>
      <w:r>
        <w:rPr>
          <w:rFonts w:hint="eastAsia"/>
          <w:color w:val="000000" w:themeColor="text1"/>
          <w:szCs w:val="21"/>
          <w:highlight w:val="none"/>
        </w:rPr>
        <w:t xml:space="preserve">    本公司对上述声明的真实性负责。如有虚假，将依法承担相关责任。</w:t>
      </w:r>
    </w:p>
    <w:p>
      <w:pPr>
        <w:spacing w:line="360" w:lineRule="auto"/>
        <w:rPr>
          <w:color w:val="000000" w:themeColor="text1"/>
          <w:szCs w:val="21"/>
          <w:highlight w:val="none"/>
        </w:rPr>
      </w:pPr>
      <w:r>
        <w:rPr>
          <w:rFonts w:hint="eastAsia"/>
          <w:color w:val="000000" w:themeColor="text1"/>
          <w:szCs w:val="21"/>
          <w:highlight w:val="none"/>
        </w:rPr>
        <w:t xml:space="preserve">    特此声明。</w:t>
      </w: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rPr>
          <w:color w:val="000000" w:themeColor="text1"/>
          <w:szCs w:val="21"/>
          <w:highlight w:val="non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color w:val="000000" w:themeColor="text1"/>
          <w:szCs w:val="21"/>
          <w:highlight w:val="none"/>
        </w:rPr>
        <w:t>投标人名称（公章）：</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firstLine="0"/>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5"/>
        <w:numPr>
          <w:ilvl w:val="7"/>
          <w:numId w:val="6"/>
        </w:numPr>
        <w:tabs>
          <w:tab w:val="clear" w:pos="720"/>
        </w:tabs>
        <w:ind w:left="720"/>
        <w:rPr>
          <w:color w:val="000000" w:themeColor="text1"/>
          <w:highlight w:val="none"/>
        </w:rPr>
      </w:pPr>
      <w:bookmarkStart w:id="1661" w:name="_Toc5256"/>
      <w:bookmarkStart w:id="1662" w:name="_Toc15215"/>
      <w:r>
        <w:rPr>
          <w:rFonts w:hint="eastAsia"/>
          <w:color w:val="000000" w:themeColor="text1"/>
          <w:highlight w:val="none"/>
        </w:rPr>
        <w:t>投标文件商务及技术部分</w:t>
      </w:r>
      <w:bookmarkEnd w:id="1661"/>
      <w:bookmarkEnd w:id="1662"/>
    </w:p>
    <w:p>
      <w:pPr>
        <w:pStyle w:val="5"/>
        <w:numPr>
          <w:ilvl w:val="0"/>
          <w:numId w:val="0"/>
        </w:numPr>
        <w:rPr>
          <w:color w:val="000000" w:themeColor="text1"/>
          <w:sz w:val="24"/>
          <w:highlight w:val="none"/>
        </w:rPr>
      </w:pPr>
      <w:bookmarkStart w:id="1663" w:name="_Toc20511"/>
      <w:r>
        <w:rPr>
          <w:rFonts w:hint="eastAsia"/>
          <w:color w:val="000000" w:themeColor="text1"/>
          <w:sz w:val="24"/>
          <w:highlight w:val="none"/>
        </w:rPr>
        <w:t>商务及技术封面格式</w:t>
      </w:r>
      <w:bookmarkEnd w:id="1663"/>
    </w:p>
    <w:p>
      <w:pPr>
        <w:pStyle w:val="6"/>
        <w:rPr>
          <w:rFonts w:hAnsi="宋体"/>
          <w:bCs/>
          <w:color w:val="000000" w:themeColor="text1"/>
          <w:sz w:val="21"/>
          <w:highlight w:val="none"/>
        </w:rPr>
      </w:pPr>
    </w:p>
    <w:p>
      <w:pPr>
        <w:pStyle w:val="6"/>
        <w:spacing w:line="360" w:lineRule="auto"/>
        <w:rPr>
          <w:rFonts w:hAnsi="宋体"/>
          <w:bCs/>
          <w:color w:val="000000" w:themeColor="text1"/>
          <w:sz w:val="21"/>
          <w:highlight w:val="none"/>
        </w:rPr>
      </w:pPr>
      <w:r>
        <w:rPr>
          <w:rFonts w:hAnsi="宋体"/>
          <w:bCs/>
          <w:color w:val="000000" w:themeColor="text1"/>
          <w:sz w:val="21"/>
          <w:highlight w:val="none"/>
        </w:rPr>
        <w:t>1</w:t>
      </w:r>
      <w:r>
        <w:rPr>
          <w:rFonts w:hint="eastAsia" w:hAnsi="宋体"/>
          <w:bCs/>
          <w:color w:val="000000" w:themeColor="text1"/>
          <w:sz w:val="21"/>
          <w:highlight w:val="none"/>
        </w:rPr>
        <w:t xml:space="preserve">、投标内容应当编有目录、页码，按页码排序并装订成册。   </w:t>
      </w:r>
    </w:p>
    <w:p>
      <w:pPr>
        <w:pStyle w:val="6"/>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ind w:firstLine="0"/>
        <w:jc w:val="both"/>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6"/>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（商务及技术文件）</w:t>
      </w: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440" w:lineRule="exact"/>
        <w:jc w:val="center"/>
        <w:rPr>
          <w:rFonts w:hAnsi="宋体"/>
          <w:bCs/>
          <w:color w:val="000000" w:themeColor="text1"/>
          <w:sz w:val="21"/>
          <w:highlight w:val="none"/>
        </w:rPr>
      </w:pPr>
    </w:p>
    <w:p>
      <w:pPr>
        <w:pStyle w:val="6"/>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6"/>
        <w:spacing w:line="440" w:lineRule="exact"/>
        <w:rPr>
          <w:rFonts w:hint="eastAsia" w:hAnsi="宋体"/>
          <w:bCs/>
          <w:color w:val="000000" w:themeColor="text1"/>
          <w:sz w:val="21"/>
          <w:highlight w:val="none"/>
        </w:rPr>
      </w:pPr>
      <w:r>
        <w:rPr>
          <w:rFonts w:hint="eastAsia" w:hAnsi="宋体"/>
          <w:bCs/>
          <w:color w:val="000000" w:themeColor="text1"/>
          <w:sz w:val="21"/>
          <w:highlight w:val="none"/>
        </w:rPr>
        <w:t>包组号：</w:t>
      </w:r>
      <w:r>
        <w:rPr>
          <w:rFonts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6"/>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ind w:firstLine="0"/>
        <w:rPr>
          <w:color w:val="000000" w:themeColor="text1"/>
          <w:highlight w:val="none"/>
        </w:rPr>
      </w:pPr>
    </w:p>
    <w:p>
      <w:pPr>
        <w:pStyle w:val="5"/>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664" w:name="_Toc9548"/>
      <w:r>
        <w:rPr>
          <w:rFonts w:hint="eastAsia" w:ascii="宋体"/>
          <w:b/>
          <w:bCs w:val="0"/>
          <w:color w:val="000000" w:themeColor="text1"/>
          <w:szCs w:val="21"/>
          <w:highlight w:val="none"/>
        </w:rPr>
        <w:t>符合性自查表</w:t>
      </w:r>
      <w:bookmarkEnd w:id="1664"/>
    </w:p>
    <w:p>
      <w:pPr>
        <w:jc w:val="center"/>
        <w:rPr>
          <w:rFonts w:ascii="宋体" w:hAnsi="宋体"/>
          <w:b/>
          <w:bCs/>
          <w:color w:val="000000" w:themeColor="text1"/>
          <w:szCs w:val="21"/>
          <w:highlight w:val="none"/>
        </w:rPr>
      </w:pPr>
    </w:p>
    <w:tbl>
      <w:tblPr>
        <w:tblStyle w:val="46"/>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48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服务期须满足要求</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投标报价未超出报价上限</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保证金须满足要求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975" w:type="dxa"/>
            <w:vAlign w:val="center"/>
          </w:tcPr>
          <w:p>
            <w:pPr>
              <w:pStyle w:val="10"/>
              <w:rPr>
                <w:rFonts w:ascii="宋体" w:hAnsi="宋体"/>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其他要求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按投标资料清单中规定提供“必须提交”的文件资料</w:t>
            </w:r>
          </w:p>
        </w:tc>
        <w:tc>
          <w:tcPr>
            <w:tcW w:w="1975" w:type="dxa"/>
            <w:vAlign w:val="center"/>
          </w:tcPr>
          <w:p>
            <w:pPr>
              <w:tabs>
                <w:tab w:val="left" w:pos="480"/>
              </w:tabs>
              <w:ind w:left="480" w:hanging="480"/>
              <w:rPr>
                <w:color w:val="000000" w:themeColor="text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 xml:space="preserve">    2.</w:t>
      </w:r>
      <w:r>
        <w:rPr>
          <w:rFonts w:hint="eastAsia" w:ascii="宋体" w:hAnsi="宋体"/>
          <w:bCs/>
          <w:color w:val="000000" w:themeColor="text1"/>
          <w:szCs w:val="21"/>
          <w:highlight w:val="none"/>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pStyle w:val="5"/>
        <w:keepLines w:val="0"/>
        <w:numPr>
          <w:ilvl w:val="0"/>
          <w:numId w:val="0"/>
        </w:numPr>
        <w:tabs>
          <w:tab w:val="left" w:pos="4320"/>
        </w:tabs>
        <w:spacing w:before="240" w:after="60" w:line="480" w:lineRule="exact"/>
        <w:rPr>
          <w:rFonts w:ascii="宋体"/>
          <w:b/>
          <w:color w:val="000000" w:themeColor="text1"/>
          <w:szCs w:val="21"/>
          <w:highlight w:val="none"/>
        </w:rPr>
      </w:pPr>
      <w:r>
        <w:rPr>
          <w:rFonts w:ascii="宋体"/>
          <w:b/>
          <w:bCs w:val="0"/>
          <w:color w:val="000000" w:themeColor="text1"/>
          <w:szCs w:val="21"/>
          <w:highlight w:val="none"/>
        </w:rPr>
        <w:t xml:space="preserve">  </w:t>
      </w:r>
      <w:bookmarkStart w:id="1665" w:name="_Toc26704"/>
      <w:r>
        <w:rPr>
          <w:rFonts w:hint="eastAsia" w:ascii="宋体"/>
          <w:b/>
          <w:color w:val="000000" w:themeColor="text1"/>
          <w:szCs w:val="21"/>
          <w:highlight w:val="none"/>
        </w:rPr>
        <w:t xml:space="preserve"> </w:t>
      </w:r>
      <w:bookmarkStart w:id="1666" w:name="_Toc24254"/>
      <w:r>
        <w:rPr>
          <w:rFonts w:hint="eastAsia" w:ascii="宋体"/>
          <w:b/>
          <w:color w:val="000000" w:themeColor="text1"/>
          <w:szCs w:val="21"/>
          <w:highlight w:val="none"/>
        </w:rPr>
        <w:t>评审项目投标资料表</w:t>
      </w:r>
      <w:bookmarkEnd w:id="1665"/>
      <w:bookmarkEnd w:id="1666"/>
    </w:p>
    <w:p>
      <w:pPr>
        <w:jc w:val="center"/>
        <w:rPr>
          <w:rFonts w:ascii="宋体" w:hAnsi="宋体" w:eastAsia="黑体"/>
          <w:b/>
          <w:color w:val="000000" w:themeColor="text1"/>
          <w:kern w:val="44"/>
          <w:szCs w:val="21"/>
          <w:highlight w:val="none"/>
        </w:rPr>
      </w:pPr>
    </w:p>
    <w:tbl>
      <w:tblPr>
        <w:tblStyle w:val="46"/>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5"/>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评审分项</w:t>
            </w:r>
          </w:p>
        </w:tc>
        <w:tc>
          <w:tcPr>
            <w:tcW w:w="5202" w:type="dxa"/>
            <w:vAlign w:val="center"/>
          </w:tcPr>
          <w:p>
            <w:pPr>
              <w:pStyle w:val="305"/>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评审细则</w:t>
            </w:r>
          </w:p>
        </w:tc>
        <w:tc>
          <w:tcPr>
            <w:tcW w:w="2300" w:type="dxa"/>
            <w:vAlign w:val="center"/>
          </w:tcPr>
          <w:p>
            <w:pPr>
              <w:pStyle w:val="305"/>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39"/>
              <w:jc w:val="both"/>
              <w:rPr>
                <w:rFonts w:ascii="宋体" w:hAnsi="宋体" w:eastAsia="宋体" w:cs="Times New Roman"/>
                <w:color w:val="000000" w:themeColor="text1"/>
                <w:sz w:val="2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3"/>
              <w:ind w:left="420" w:firstLine="420"/>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bl>
    <w:p>
      <w:pPr>
        <w:adjustRightInd w:val="0"/>
        <w:snapToGrid w:val="0"/>
        <w:spacing w:line="300" w:lineRule="auto"/>
        <w:rPr>
          <w:rFonts w:ascii="宋体" w:hAnsi="宋体"/>
          <w:color w:val="000000" w:themeColor="text1"/>
          <w:szCs w:val="21"/>
          <w:highlight w:val="none"/>
        </w:rPr>
      </w:pPr>
    </w:p>
    <w:p>
      <w:pPr>
        <w:adjustRightInd w:val="0"/>
        <w:snapToGrid w:val="0"/>
        <w:spacing w:line="30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6"/>
        <w:rPr>
          <w:color w:val="000000" w:themeColor="text1"/>
          <w:highlight w:val="none"/>
        </w:rPr>
      </w:pPr>
    </w:p>
    <w:p>
      <w:pPr>
        <w:pStyle w:val="6"/>
        <w:rPr>
          <w:color w:val="000000" w:themeColor="text1"/>
          <w:highlight w:val="none"/>
        </w:rPr>
      </w:pPr>
    </w:p>
    <w:bookmarkEnd w:id="1332"/>
    <w:bookmarkEnd w:id="1333"/>
    <w:bookmarkEnd w:id="1334"/>
    <w:bookmarkEnd w:id="1335"/>
    <w:bookmarkEnd w:id="1336"/>
    <w:p>
      <w:pPr>
        <w:tabs>
          <w:tab w:val="center" w:pos="4483"/>
        </w:tabs>
        <w:rPr>
          <w:rFonts w:ascii="宋体" w:hAnsi="宋体"/>
          <w:bCs/>
          <w:color w:val="000000" w:themeColor="text1"/>
          <w:szCs w:val="21"/>
          <w:highlight w:val="none"/>
        </w:rPr>
      </w:pPr>
      <w:bookmarkStart w:id="1667" w:name="_Toc467987851"/>
      <w:bookmarkStart w:id="1668" w:name="_Toc468606057"/>
      <w:bookmarkStart w:id="1669" w:name="_Toc491658679"/>
      <w:bookmarkStart w:id="1670" w:name="_Toc454701405"/>
      <w:bookmarkStart w:id="1671" w:name="_Toc479991610"/>
      <w:bookmarkStart w:id="1672" w:name="_Toc6727971"/>
      <w:bookmarkStart w:id="1673" w:name="_Toc6397150"/>
      <w:bookmarkStart w:id="1674" w:name="_Toc500861026"/>
      <w:bookmarkStart w:id="1675" w:name="_Toc458262638"/>
      <w:bookmarkStart w:id="1676" w:name="_Toc467236768"/>
      <w:bookmarkStart w:id="1677" w:name="_Toc480021081"/>
      <w:bookmarkStart w:id="1678" w:name="_Toc480020285"/>
      <w:bookmarkStart w:id="1679" w:name="_Toc468157564"/>
      <w:bookmarkStart w:id="1680" w:name="_Toc480010736"/>
    </w:p>
    <w:p>
      <w:pPr>
        <w:pStyle w:val="5"/>
        <w:numPr>
          <w:ilvl w:val="0"/>
          <w:numId w:val="0"/>
        </w:numPr>
        <w:rPr>
          <w:color w:val="000000" w:themeColor="text1"/>
          <w:highlight w:val="none"/>
        </w:rPr>
      </w:pPr>
      <w:bookmarkStart w:id="1681" w:name="_Toc13455"/>
      <w:bookmarkStart w:id="1682" w:name="_Toc28524"/>
      <w:r>
        <w:rPr>
          <w:rFonts w:hint="eastAsia"/>
          <w:color w:val="000000" w:themeColor="text1"/>
          <w:highlight w:val="none"/>
        </w:rPr>
        <w:t>（一）法定代表人（负责人）证明书</w:t>
      </w:r>
      <w:bookmarkEnd w:id="1681"/>
      <w:bookmarkEnd w:id="1682"/>
    </w:p>
    <w:p>
      <w:pPr>
        <w:pStyle w:val="6"/>
        <w:rPr>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投标人名称                  </w:t>
      </w:r>
      <w:r>
        <w:rPr>
          <w:rFonts w:hint="eastAsia" w:ascii="宋体" w:hAnsi="宋体"/>
          <w:color w:val="000000" w:themeColor="text1"/>
          <w:highlight w:val="none"/>
        </w:rPr>
        <w:t>的</w:t>
      </w:r>
      <w:r>
        <w:rPr>
          <w:rFonts w:hint="eastAsia" w:ascii="宋体" w:hAnsi="宋体"/>
          <w:color w:val="000000" w:themeColor="text1"/>
          <w:highlight w:val="none"/>
          <w:u w:val="single"/>
        </w:rPr>
        <w:t xml:space="preserve">   职务    </w:t>
      </w:r>
      <w:r>
        <w:rPr>
          <w:rFonts w:hint="eastAsia" w:ascii="宋体" w:hAnsi="宋体"/>
          <w:color w:val="000000" w:themeColor="text1"/>
          <w:highlight w:val="none"/>
        </w:rPr>
        <w:t>，为法定代表人（负责人），特此证明。</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 xml:space="preserve">      </w:t>
      </w:r>
    </w:p>
    <w:p>
      <w:pPr>
        <w:spacing w:line="560" w:lineRule="exact"/>
        <w:ind w:firstLine="420" w:firstLineChars="200"/>
        <w:rPr>
          <w:rFonts w:ascii="宋体" w:hAnsi="宋体"/>
          <w:color w:val="000000" w:themeColor="text1"/>
          <w:highlight w:val="none"/>
          <w:u w:val="singl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560" w:lineRule="exact"/>
        <w:ind w:firstLine="420" w:firstLineChars="200"/>
        <w:rPr>
          <w:rFonts w:ascii="宋体" w:hAnsi="宋体"/>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附：代表人性别：</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年龄：</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岁    </w:t>
      </w:r>
    </w:p>
    <w:p>
      <w:pPr>
        <w:spacing w:line="480" w:lineRule="exact"/>
        <w:ind w:firstLine="420" w:firstLineChars="200"/>
        <w:rPr>
          <w:rFonts w:ascii="宋体" w:hAnsi="宋体"/>
          <w:color w:val="000000" w:themeColor="text1"/>
          <w:highlight w:val="none"/>
        </w:rPr>
      </w:pPr>
    </w:p>
    <w:p>
      <w:pPr>
        <w:spacing w:line="480" w:lineRule="exact"/>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spacing w:line="480" w:lineRule="exact"/>
        <w:ind w:firstLine="420" w:firstLineChars="200"/>
        <w:rPr>
          <w:rFonts w:ascii="宋体" w:hAnsi="宋体"/>
          <w:color w:val="000000" w:themeColor="text1"/>
          <w:highlight w:val="none"/>
        </w:rPr>
      </w:pPr>
    </w:p>
    <w:p>
      <w:pPr>
        <w:pStyle w:val="6"/>
        <w:rPr>
          <w:rFonts w:hAnsi="宋体"/>
          <w:color w:val="000000" w:themeColor="text1"/>
          <w:sz w:val="21"/>
          <w:highlight w:val="none"/>
        </w:rPr>
      </w:pPr>
    </w:p>
    <w:p>
      <w:pPr>
        <w:pStyle w:val="6"/>
        <w:rPr>
          <w:color w:val="000000" w:themeColor="text1"/>
          <w:highlight w:val="none"/>
        </w:rPr>
        <w:sectPr>
          <w:footerReference r:id="rId12" w:type="first"/>
          <w:footerReference r:id="rId11" w:type="default"/>
          <w:pgSz w:w="11906" w:h="16838"/>
          <w:pgMar w:top="1474" w:right="1418" w:bottom="1474" w:left="1418" w:header="851" w:footer="851" w:gutter="0"/>
          <w:cols w:space="720" w:num="1"/>
          <w:titlePg/>
          <w:docGrid w:linePitch="312" w:charSpace="0"/>
        </w:sectPr>
      </w:pPr>
      <w:r>
        <w:rPr>
          <w:color w:val="000000" w:themeColor="text1"/>
          <w:highlight w:val="none"/>
        </w:rPr>
        <w:pict>
          <v:shape id="_x0000_s1026" o:spid="_x0000_s1026" o:spt="176" type="#_x0000_t176" style="position:absolute;left:0pt;margin-left:68.25pt;margin-top:27.3pt;height:135.65pt;width:273.55pt;z-index:251660288;mso-width-relative:page;mso-height-relative:page;"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6YT0S2AAAAAoBAAAPAAAAAAAAAAEAIAAAACIAAABkcnMv&#10;ZG93bnJldi54bWxQSwECFAAUAAAACACHTuJAIXfpTzwCAABWBAAADgAAAAAAAAABACAAAAAnAQAA&#10;ZHJzL2Uyb0RvYy54bWxQSwUGAAAAAAYABgBZAQAA1QUAAAAA&#10;">
            <v:path/>
            <v:fill focussize="0,0"/>
            <v:stroke joinstyle="miter"/>
            <v:imagedata o:title=""/>
            <o:lock v:ext="edit"/>
            <v:textbox>
              <w:txbxContent>
                <w:p/>
                <w:p/>
                <w:p>
                  <w:pPr>
                    <w:jc w:val="center"/>
                  </w:pPr>
                  <w:r>
                    <w:rPr>
                      <w:rFonts w:hint="eastAsia"/>
                    </w:rPr>
                    <w:t>身份证正反面复印件</w:t>
                  </w:r>
                </w:p>
              </w:txbxContent>
            </v:textbox>
          </v:shape>
        </w:pict>
      </w:r>
    </w:p>
    <w:p>
      <w:pPr>
        <w:pStyle w:val="5"/>
        <w:numPr>
          <w:ilvl w:val="0"/>
          <w:numId w:val="0"/>
        </w:numPr>
        <w:rPr>
          <w:color w:val="000000" w:themeColor="text1"/>
          <w:highlight w:val="none"/>
        </w:rPr>
      </w:pPr>
      <w:bookmarkStart w:id="1683" w:name="_Toc27194"/>
      <w:bookmarkStart w:id="1684" w:name="_Toc3716"/>
      <w:r>
        <w:rPr>
          <w:rFonts w:hint="eastAsia"/>
          <w:color w:val="000000" w:themeColor="text1"/>
          <w:highlight w:val="none"/>
        </w:rPr>
        <w:t>（二）法定代表人（负责人）授权书</w:t>
      </w:r>
      <w:bookmarkEnd w:id="1683"/>
      <w:bookmarkEnd w:id="1684"/>
    </w:p>
    <w:p>
      <w:pPr>
        <w:spacing w:line="360" w:lineRule="auto"/>
        <w:ind w:firstLine="420" w:firstLineChars="200"/>
        <w:rPr>
          <w:rFonts w:ascii="宋体" w:hAnsi="宋体"/>
          <w:bCs/>
          <w:color w:val="000000" w:themeColor="text1"/>
          <w:kern w:val="0"/>
          <w:highlight w:val="none"/>
        </w:rPr>
      </w:pPr>
    </w:p>
    <w:p>
      <w:pPr>
        <w:spacing w:line="360" w:lineRule="auto"/>
        <w:ind w:firstLine="420" w:firstLineChars="200"/>
        <w:rPr>
          <w:color w:val="000000" w:themeColor="text1"/>
          <w:highlight w:val="none"/>
        </w:rPr>
      </w:pPr>
      <w:r>
        <w:rPr>
          <w:rFonts w:hint="eastAsia" w:ascii="宋体" w:hAnsi="宋体"/>
          <w:bCs/>
          <w:color w:val="000000" w:themeColor="text1"/>
          <w:kern w:val="0"/>
          <w:highlight w:val="none"/>
        </w:rPr>
        <w:t>本授权委托书声明：我</w:t>
      </w:r>
      <w:r>
        <w:rPr>
          <w:rFonts w:hint="eastAsia" w:ascii="宋体" w:hAnsi="宋体"/>
          <w:bCs/>
          <w:color w:val="000000" w:themeColor="text1"/>
          <w:kern w:val="0"/>
          <w:highlight w:val="none"/>
          <w:u w:val="single"/>
        </w:rPr>
        <w:t xml:space="preserve">       （单位法定代表人（负责人）姓名）</w:t>
      </w:r>
      <w:r>
        <w:rPr>
          <w:rFonts w:hint="eastAsia" w:ascii="宋体" w:hAnsi="宋体"/>
          <w:bCs/>
          <w:color w:val="000000" w:themeColor="text1"/>
          <w:kern w:val="0"/>
          <w:highlight w:val="none"/>
        </w:rPr>
        <w:t xml:space="preserve"> 系</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的法定代表人（负责人），现授权委托</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w:t>
      </w:r>
      <w:r>
        <w:rPr>
          <w:rFonts w:hint="eastAsia" w:ascii="宋体" w:hAnsi="宋体"/>
          <w:bCs/>
          <w:color w:val="000000" w:themeColor="text1"/>
          <w:kern w:val="0"/>
          <w:highlight w:val="none"/>
          <w:u w:val="single"/>
        </w:rPr>
        <w:t xml:space="preserve">            （代理人姓名）</w:t>
      </w:r>
      <w:r>
        <w:rPr>
          <w:rFonts w:hint="eastAsia" w:ascii="宋体" w:hAnsi="宋体"/>
          <w:bCs/>
          <w:color w:val="000000" w:themeColor="text1"/>
          <w:kern w:val="0"/>
          <w:highlight w:val="none"/>
        </w:rPr>
        <w:t>为我公司代理人，以本公司的名义参加</w:t>
      </w:r>
      <w:r>
        <w:rPr>
          <w:rFonts w:hint="eastAsia" w:ascii="宋体" w:hAnsi="宋体"/>
          <w:bCs/>
          <w:color w:val="000000" w:themeColor="text1"/>
          <w:kern w:val="0"/>
          <w:highlight w:val="none"/>
          <w:lang w:eastAsia="zh-CN"/>
        </w:rPr>
        <w:t>广东业信招标有限公司</w:t>
      </w:r>
      <w:r>
        <w:rPr>
          <w:rFonts w:hint="eastAsia" w:ascii="宋体" w:hAnsi="宋体"/>
          <w:bCs/>
          <w:color w:val="000000" w:themeColor="text1"/>
          <w:kern w:val="0"/>
          <w:highlight w:val="none"/>
        </w:rPr>
        <w:t>组织的</w:t>
      </w:r>
      <w:r>
        <w:rPr>
          <w:rFonts w:hint="eastAsia"/>
          <w:color w:val="000000" w:themeColor="text1"/>
          <w:szCs w:val="21"/>
          <w:highlight w:val="none"/>
        </w:rPr>
        <w:t>（项目名称：</w:t>
      </w:r>
      <w:r>
        <w:rPr>
          <w:rFonts w:hint="eastAsia"/>
          <w:color w:val="000000" w:themeColor="text1"/>
          <w:szCs w:val="21"/>
          <w:highlight w:val="none"/>
          <w:u w:val="single"/>
        </w:rPr>
        <w:t xml:space="preserve">                      </w:t>
      </w:r>
      <w:r>
        <w:rPr>
          <w:rFonts w:hint="eastAsia"/>
          <w:color w:val="000000" w:themeColor="text1"/>
          <w:szCs w:val="21"/>
          <w:highlight w:val="none"/>
        </w:rPr>
        <w:t>）</w:t>
      </w:r>
      <w:r>
        <w:rPr>
          <w:rFonts w:hint="eastAsia" w:ascii="宋体" w:hAnsi="宋体"/>
          <w:bCs/>
          <w:color w:val="000000" w:themeColor="text1"/>
          <w:highlight w:val="none"/>
        </w:rPr>
        <w:t>招标（</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w:t>
      </w: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ascii="宋体" w:hAnsi="宋体"/>
          <w:bCs/>
          <w:color w:val="000000" w:themeColor="text1"/>
          <w:kern w:val="0"/>
          <w:highlight w:val="none"/>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代理人无转移委托权。</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rPr>
      </w:pP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代理人：</w:t>
      </w:r>
      <w:r>
        <w:rPr>
          <w:rFonts w:hint="eastAsia" w:ascii="宋体" w:hAnsi="宋体"/>
          <w:bCs/>
          <w:color w:val="000000" w:themeColor="text1"/>
          <w:kern w:val="0"/>
          <w:highlight w:val="none"/>
          <w:u w:val="single"/>
        </w:rPr>
        <w:t xml:space="preserve">   </w:t>
      </w:r>
      <w:r>
        <w:rPr>
          <w:rFonts w:ascii="宋体" w:hAnsi="宋体"/>
          <w:bCs/>
          <w:color w:val="000000" w:themeColor="text1"/>
          <w:kern w:val="0"/>
          <w:highlight w:val="none"/>
          <w:u w:val="single"/>
        </w:rPr>
        <w:t xml:space="preserve"> </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性别：</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年龄：</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职务：</w:t>
      </w:r>
      <w:r>
        <w:rPr>
          <w:rFonts w:hint="eastAsia" w:ascii="宋体" w:hAnsi="宋体"/>
          <w:bCs/>
          <w:color w:val="000000" w:themeColor="text1"/>
          <w:kern w:val="0"/>
          <w:highlight w:val="none"/>
          <w:u w:val="single"/>
        </w:rPr>
        <w:t xml:space="preserve">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投标人：</w:t>
      </w:r>
      <w:r>
        <w:rPr>
          <w:rFonts w:hint="eastAsia" w:ascii="宋体" w:hAnsi="宋体"/>
          <w:bCs/>
          <w:color w:val="000000" w:themeColor="text1"/>
          <w:kern w:val="0"/>
          <w:highlight w:val="none"/>
          <w:u w:val="single"/>
        </w:rPr>
        <w:t xml:space="preserve">          （名称并加盖公章）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法定代表人（负责人）：</w:t>
      </w:r>
      <w:r>
        <w:rPr>
          <w:rFonts w:hint="eastAsia" w:ascii="宋体" w:hAnsi="宋体"/>
          <w:bCs/>
          <w:color w:val="000000" w:themeColor="text1"/>
          <w:kern w:val="0"/>
          <w:highlight w:val="none"/>
          <w:u w:val="single"/>
        </w:rPr>
        <w:t xml:space="preserve">    （签字或盖章）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autoSpaceDE w:val="0"/>
        <w:autoSpaceDN w:val="0"/>
        <w:adjustRightInd w:val="0"/>
        <w:snapToGrid w:val="0"/>
        <w:spacing w:line="360" w:lineRule="auto"/>
        <w:ind w:firstLine="630"/>
        <w:rPr>
          <w:rFonts w:ascii="宋体" w:hAnsi="宋体"/>
          <w:bCs/>
          <w:color w:val="000000" w:themeColor="text1"/>
          <w:kern w:val="0"/>
          <w:highlight w:val="none"/>
        </w:rPr>
      </w:pPr>
    </w:p>
    <w:p>
      <w:pPr>
        <w:rPr>
          <w:rFonts w:ascii="宋体" w:hAnsi="宋体"/>
          <w:b/>
          <w:color w:val="000000" w:themeColor="text1"/>
          <w:szCs w:val="21"/>
          <w:highlight w:val="none"/>
        </w:rPr>
      </w:pPr>
      <w:r>
        <w:rPr>
          <w:rFonts w:hint="eastAsia" w:ascii="宋体" w:hAnsi="宋体"/>
          <w:b/>
          <w:color w:val="000000" w:themeColor="text1"/>
          <w:szCs w:val="21"/>
          <w:highlight w:val="none"/>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pict>
          <v:shape id="_x0000_s1027" o:spid="_x0000_s1027" o:spt="176" type="#_x0000_t176" style="position:absolute;left:0pt;margin-left:99.75pt;margin-top:-0.05pt;height:137.65pt;width:275.8pt;z-index:251659264;mso-width-relative:page;mso-height-relative:page;"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9gKkNcAAAAJAQAADwAAAAAAAAABACAAAAAiAAAAZHJzL2Rv&#10;d25yZXYueG1sUEsBAhQAFAAAAAgAh07iQF9ptNI7AgAAVgQAAA4AAAAAAAAAAQAgAAAAJgEAAGRy&#10;cy9lMm9Eb2MueG1sUEsFBgAAAAAGAAYAWQEAANMFAAAAAA==&#10;">
            <v:path/>
            <v:fill focussize="0,0"/>
            <v:stroke joinstyle="miter"/>
            <v:imagedata o:title=""/>
            <o:lock v:ext="edit"/>
            <v:textbox>
              <w:txbxContent>
                <w:p/>
                <w:p/>
                <w:p/>
                <w:p>
                  <w:pPr>
                    <w:jc w:val="center"/>
                  </w:pPr>
                  <w:r>
                    <w:rPr>
                      <w:rFonts w:hint="eastAsia"/>
                    </w:rPr>
                    <w:t>身份证正反面复印件</w:t>
                  </w:r>
                </w:p>
              </w:txbxContent>
            </v:textbox>
          </v:shape>
        </w:pic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sectPr>
          <w:footerReference r:id="rId13" w:type="default"/>
          <w:pgSz w:w="11906" w:h="16838"/>
          <w:pgMar w:top="1418" w:right="1474" w:bottom="1418" w:left="1474" w:header="851" w:footer="851" w:gutter="0"/>
          <w:cols w:space="720" w:num="1"/>
          <w:titlePg/>
          <w:docGrid w:linePitch="312" w:charSpace="0"/>
        </w:sectPr>
      </w:pPr>
    </w:p>
    <w:p>
      <w:pPr>
        <w:pStyle w:val="5"/>
        <w:numPr>
          <w:ilvl w:val="0"/>
          <w:numId w:val="0"/>
        </w:numPr>
        <w:rPr>
          <w:color w:val="000000" w:themeColor="text1"/>
          <w:highlight w:val="none"/>
        </w:rPr>
      </w:pPr>
      <w:bookmarkStart w:id="1685" w:name="_Toc345312618"/>
      <w:bookmarkStart w:id="1686" w:name="_Toc342060396"/>
      <w:bookmarkStart w:id="1687" w:name="_Toc337632379"/>
      <w:bookmarkStart w:id="1688" w:name="_Toc366072550"/>
      <w:bookmarkStart w:id="1689" w:name="_Toc342398151"/>
      <w:bookmarkStart w:id="1690" w:name="_Toc339020254"/>
      <w:bookmarkStart w:id="1691" w:name="_Toc341348361"/>
      <w:bookmarkStart w:id="1692" w:name="_Toc339362321"/>
      <w:bookmarkStart w:id="1693" w:name="_Toc332206730"/>
      <w:bookmarkStart w:id="1694" w:name="_Toc365967093"/>
      <w:bookmarkStart w:id="1695" w:name="_Toc350438770"/>
      <w:bookmarkStart w:id="1696" w:name="_Toc333238655"/>
      <w:bookmarkStart w:id="1697" w:name="_Toc342312464"/>
      <w:bookmarkStart w:id="1698" w:name="_Toc350756471"/>
      <w:bookmarkStart w:id="1699" w:name="_Toc343248439"/>
      <w:bookmarkStart w:id="1700" w:name="_Toc339019910"/>
      <w:bookmarkStart w:id="1701" w:name="_Toc331512922"/>
      <w:bookmarkStart w:id="1702" w:name="_Toc340672890"/>
      <w:bookmarkStart w:id="1703" w:name="_Toc332270368"/>
      <w:bookmarkStart w:id="1704" w:name="_Toc339020036"/>
      <w:bookmarkStart w:id="1705" w:name="_Toc342296782"/>
      <w:bookmarkStart w:id="1706" w:name="_Toc333935708"/>
      <w:bookmarkStart w:id="1707" w:name="_Toc333237699"/>
      <w:bookmarkStart w:id="1708" w:name="_Toc365985199"/>
      <w:bookmarkStart w:id="1709" w:name="_Toc333237810"/>
      <w:bookmarkStart w:id="1710" w:name="_Toc340677091"/>
      <w:bookmarkStart w:id="1711" w:name="_Toc339020116"/>
      <w:bookmarkStart w:id="1712" w:name="_Toc331684063"/>
      <w:bookmarkStart w:id="1713" w:name="_Toc330460007"/>
      <w:bookmarkStart w:id="1714" w:name="_Toc340507463"/>
      <w:bookmarkStart w:id="1715" w:name="_Toc333935367"/>
      <w:bookmarkStart w:id="1716" w:name="_Toc343612941"/>
      <w:bookmarkStart w:id="1717" w:name="_Toc343247121"/>
      <w:bookmarkStart w:id="1718" w:name="_Toc25922"/>
      <w:bookmarkStart w:id="1719" w:name="_Toc339441108"/>
      <w:bookmarkStart w:id="1720" w:name="_Toc336681956"/>
      <w:bookmarkStart w:id="1721" w:name="_Toc336681601"/>
      <w:r>
        <w:rPr>
          <w:rFonts w:hint="eastAsia"/>
          <w:color w:val="000000" w:themeColor="text1"/>
          <w:highlight w:val="none"/>
        </w:rPr>
        <w:t>附件一：投标</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rFonts w:hint="eastAsia"/>
          <w:color w:val="000000" w:themeColor="text1"/>
          <w:highlight w:val="none"/>
        </w:rPr>
        <w:t>函</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widowControl/>
        <w:spacing w:line="400" w:lineRule="exact"/>
        <w:jc w:val="left"/>
        <w:rPr>
          <w:rFonts w:ascii="宋体" w:hAnsi="宋体" w:cs="宋体"/>
          <w:b/>
          <w:color w:val="000000" w:themeColor="text1"/>
          <w:kern w:val="0"/>
          <w:sz w:val="24"/>
          <w:highlight w:val="none"/>
          <w:u w:val="single"/>
        </w:rPr>
      </w:pPr>
      <w:r>
        <w:rPr>
          <w:rFonts w:ascii="宋体" w:hAnsi="宋体"/>
          <w:b/>
          <w:bCs/>
          <w:color w:val="000000" w:themeColor="text1"/>
          <w:highlight w:val="none"/>
        </w:rPr>
        <w:t>致</w:t>
      </w:r>
      <w:r>
        <w:rPr>
          <w:rFonts w:ascii="宋体" w:hAnsi="宋体"/>
          <w:b/>
          <w:bCs/>
          <w:color w:val="000000" w:themeColor="text1"/>
          <w:highlight w:val="none"/>
          <w:u w:val="single"/>
        </w:rPr>
        <w:t>（采购人</w:t>
      </w:r>
      <w:r>
        <w:rPr>
          <w:rFonts w:hint="eastAsia" w:ascii="宋体" w:hAnsi="宋体"/>
          <w:b/>
          <w:bCs/>
          <w:color w:val="000000" w:themeColor="text1"/>
          <w:highlight w:val="none"/>
          <w:u w:val="single"/>
        </w:rPr>
        <w:t>名称</w:t>
      </w:r>
      <w:r>
        <w:rPr>
          <w:rFonts w:ascii="宋体" w:hAnsi="宋体"/>
          <w:b/>
          <w:bCs/>
          <w:color w:val="000000" w:themeColor="text1"/>
          <w:highlight w:val="none"/>
          <w:u w:val="single"/>
        </w:rPr>
        <w:t>）           </w:t>
      </w:r>
      <w:r>
        <w:rPr>
          <w:rFonts w:ascii="宋体" w:hAnsi="宋体" w:cs="宋体"/>
          <w:b/>
          <w:color w:val="000000" w:themeColor="text1"/>
          <w:kern w:val="0"/>
          <w:sz w:val="24"/>
          <w:highlight w:val="none"/>
        </w:rPr>
        <w:t xml:space="preserve">： </w:t>
      </w:r>
    </w:p>
    <w:p>
      <w:pPr>
        <w:adjustRightInd w:val="0"/>
        <w:snapToGrid w:val="0"/>
        <w:spacing w:line="400" w:lineRule="exact"/>
        <w:ind w:firstLine="420"/>
        <w:rPr>
          <w:rFonts w:ascii="宋体" w:hAnsi="宋体"/>
          <w:b/>
          <w:bCs/>
          <w:color w:val="000000" w:themeColor="text1"/>
          <w:highlight w:val="none"/>
        </w:rPr>
      </w:pPr>
      <w:r>
        <w:rPr>
          <w:rFonts w:hint="eastAsia" w:ascii="宋体" w:hAnsi="宋体"/>
          <w:b/>
          <w:bCs/>
          <w:color w:val="000000" w:themeColor="text1"/>
          <w:highlight w:val="none"/>
        </w:rPr>
        <w:t>根据贵方就</w:t>
      </w:r>
      <w:r>
        <w:rPr>
          <w:rFonts w:hint="eastAsia" w:hAnsi="宋体" w:cs="宋体"/>
          <w:b/>
          <w:color w:val="000000" w:themeColor="text1"/>
          <w:szCs w:val="21"/>
          <w:highlight w:val="none"/>
          <w:u w:val="single"/>
        </w:rPr>
        <w:t>项目名称</w:t>
      </w:r>
      <w:r>
        <w:rPr>
          <w:rFonts w:hint="eastAsia" w:ascii="宋体" w:hAnsi="宋体" w:cs="宋体"/>
          <w:b/>
          <w:color w:val="000000" w:themeColor="text1"/>
          <w:szCs w:val="21"/>
          <w:highlight w:val="none"/>
          <w:u w:val="single"/>
        </w:rPr>
        <w:t xml:space="preserve">，由投标人填写    </w:t>
      </w:r>
      <w:r>
        <w:rPr>
          <w:rFonts w:hint="eastAsia" w:ascii="宋体" w:hAnsi="宋体"/>
          <w:b/>
          <w:bCs/>
          <w:color w:val="000000" w:themeColor="text1"/>
          <w:highlight w:val="none"/>
        </w:rPr>
        <w:t>的投标邀请（项目编号:</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）包组号：</w:t>
      </w:r>
      <w:r>
        <w:rPr>
          <w:rFonts w:ascii="宋体" w:hAnsi="宋体"/>
          <w:b/>
          <w:bCs/>
          <w:color w:val="000000" w:themeColor="text1"/>
          <w:highlight w:val="none"/>
          <w:u w:val="single"/>
        </w:rPr>
        <w:t xml:space="preserve">         </w:t>
      </w:r>
      <w:r>
        <w:rPr>
          <w:rFonts w:ascii="宋体" w:hAnsi="宋体"/>
          <w:b/>
          <w:bCs/>
          <w:color w:val="000000" w:themeColor="text1"/>
          <w:highlight w:val="none"/>
        </w:rPr>
        <w:t xml:space="preserve"> </w:t>
      </w:r>
      <w:r>
        <w:rPr>
          <w:rFonts w:hint="eastAsia" w:ascii="宋体" w:hAnsi="宋体"/>
          <w:b/>
          <w:bCs/>
          <w:color w:val="000000" w:themeColor="text1"/>
          <w:highlight w:val="none"/>
        </w:rPr>
        <w:t>，我方正式响应投标并提交投标文件</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份正本和</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份副本，</w:t>
      </w:r>
      <w:r>
        <w:rPr>
          <w:rFonts w:hint="eastAsia" w:ascii="宋体" w:hAnsi="宋体"/>
          <w:b/>
          <w:color w:val="000000" w:themeColor="text1"/>
          <w:kern w:val="0"/>
          <w:szCs w:val="21"/>
          <w:highlight w:val="none"/>
        </w:rPr>
        <w:t>电子文件</w:t>
      </w:r>
      <w:r>
        <w:rPr>
          <w:rFonts w:hint="eastAsia" w:ascii="宋体" w:hAnsi="宋体"/>
          <w:b/>
          <w:color w:val="000000" w:themeColor="text1"/>
          <w:kern w:val="0"/>
          <w:szCs w:val="21"/>
          <w:highlight w:val="none"/>
          <w:u w:val="single"/>
        </w:rPr>
        <w:t xml:space="preserve">    </w:t>
      </w:r>
      <w:r>
        <w:rPr>
          <w:rFonts w:hint="eastAsia" w:ascii="宋体" w:hAnsi="宋体"/>
          <w:b/>
          <w:color w:val="000000" w:themeColor="text1"/>
          <w:kern w:val="0"/>
          <w:szCs w:val="21"/>
          <w:highlight w:val="none"/>
        </w:rPr>
        <w:t>份</w:t>
      </w:r>
      <w:r>
        <w:rPr>
          <w:rFonts w:hint="eastAsia" w:ascii="宋体" w:hAnsi="宋体"/>
          <w:b/>
          <w:bCs/>
          <w:color w:val="000000" w:themeColor="text1"/>
          <w:highlight w:val="none"/>
        </w:rPr>
        <w:t>。</w:t>
      </w:r>
    </w:p>
    <w:p>
      <w:pPr>
        <w:widowControl/>
        <w:tabs>
          <w:tab w:val="left" w:pos="840"/>
        </w:tabs>
        <w:adjustRightInd w:val="0"/>
        <w:snapToGrid w:val="0"/>
        <w:rPr>
          <w:rFonts w:ascii="宋体" w:hAnsi="宋体"/>
          <w:b/>
          <w:bCs/>
          <w:color w:val="000000" w:themeColor="text1"/>
          <w:highlight w:val="none"/>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rPr>
      </w:pPr>
      <w:r>
        <w:rPr>
          <w:rFonts w:hint="eastAsia" w:ascii="宋体" w:hAnsi="宋体"/>
          <w:b/>
          <w:bCs/>
          <w:color w:val="000000" w:themeColor="text1"/>
          <w:highlight w:val="none"/>
        </w:rPr>
        <w:t>以</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形式提交的投标保证金，金额为大写</w:t>
      </w:r>
      <w:r>
        <w:rPr>
          <w:rFonts w:hint="eastAsia" w:ascii="宋体"/>
          <w:b/>
          <w:color w:val="000000" w:themeColor="text1"/>
          <w:highlight w:val="none"/>
        </w:rPr>
        <w:t>人民币</w:t>
      </w:r>
      <w:r>
        <w:rPr>
          <w:rFonts w:hint="eastAsia" w:ascii="宋体"/>
          <w:b/>
          <w:color w:val="000000" w:themeColor="text1"/>
          <w:highlight w:val="none"/>
          <w:u w:val="single"/>
        </w:rPr>
        <w:t xml:space="preserve">             </w:t>
      </w:r>
      <w:r>
        <w:rPr>
          <w:rFonts w:hint="eastAsia" w:ascii="宋体"/>
          <w:b/>
          <w:color w:val="000000" w:themeColor="text1"/>
          <w:highlight w:val="none"/>
        </w:rPr>
        <w:t>（</w:t>
      </w:r>
      <w:r>
        <w:rPr>
          <w:rFonts w:hint="eastAsia" w:ascii="宋体"/>
          <w:b/>
          <w:bCs/>
          <w:color w:val="000000" w:themeColor="text1"/>
          <w:highlight w:val="none"/>
        </w:rPr>
        <w:t>￥</w:t>
      </w:r>
      <w:r>
        <w:rPr>
          <w:rFonts w:hint="eastAsia" w:ascii="宋体"/>
          <w:b/>
          <w:bCs/>
          <w:color w:val="000000" w:themeColor="text1"/>
          <w:highlight w:val="none"/>
          <w:u w:val="single"/>
        </w:rPr>
        <w:t xml:space="preserve">          </w:t>
      </w:r>
      <w:r>
        <w:rPr>
          <w:rFonts w:hint="eastAsia" w:ascii="宋体"/>
          <w:b/>
          <w:bCs/>
          <w:color w:val="000000" w:themeColor="text1"/>
          <w:highlight w:val="none"/>
        </w:rPr>
        <w:t>）。</w:t>
      </w:r>
    </w:p>
    <w:p>
      <w:pPr>
        <w:widowControl/>
        <w:tabs>
          <w:tab w:val="left" w:pos="502"/>
        </w:tabs>
        <w:adjustRightInd w:val="0"/>
        <w:snapToGrid w:val="0"/>
        <w:spacing w:line="360" w:lineRule="auto"/>
        <w:ind w:left="374" w:leftChars="177" w:hanging="2" w:hangingChars="1"/>
        <w:rPr>
          <w:rFonts w:ascii="宋体" w:hAnsi="宋体"/>
          <w:b/>
          <w:bCs/>
          <w:color w:val="000000" w:themeColor="text1"/>
          <w:highlight w:val="none"/>
        </w:rPr>
      </w:pPr>
      <w:r>
        <w:rPr>
          <w:rFonts w:hint="eastAsia" w:ascii="宋体" w:hAnsi="宋体"/>
          <w:b/>
          <w:bCs/>
          <w:color w:val="000000" w:themeColor="text1"/>
          <w:highlight w:val="none"/>
        </w:rPr>
        <w:t>据此函，签字代表宣布同意如下：</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color w:val="000000" w:themeColor="text1"/>
          <w:highlight w:val="none"/>
        </w:rPr>
        <w:t>所附投标价格表中规定的应提交和交付的投标总价为人民币：</w:t>
      </w:r>
      <w:r>
        <w:rPr>
          <w:rFonts w:hint="eastAsia" w:ascii="宋体" w:hAnsi="宋体"/>
          <w:color w:val="000000" w:themeColor="text1"/>
          <w:highlight w:val="none"/>
          <w:u w:val="single"/>
        </w:rPr>
        <w:t xml:space="preserve"> （用文字和数字表示的投标总价）  </w:t>
      </w:r>
      <w:r>
        <w:rPr>
          <w:rFonts w:hint="eastAsia" w:ascii="宋体" w:hAnsi="宋体"/>
          <w:color w:val="000000" w:themeColor="text1"/>
          <w:highlight w:val="none"/>
        </w:rPr>
        <w:t>。</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eastAsia="宋体" w:cs="宋体"/>
          <w:color w:val="000000" w:themeColor="text1"/>
          <w:highlight w:val="none"/>
          <w:lang w:val="en-US" w:eastAsia="zh-CN"/>
        </w:rPr>
        <w:t>为采购项目提供整体设计、规范编制或者项目管理、监理、检测等服务的供应商，不得再参加该采购项目的其他采购活动。</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eastAsia="宋体" w:cs="宋体"/>
          <w:color w:val="000000" w:themeColor="text1"/>
          <w:highlight w:val="none"/>
          <w:lang w:val="en-US" w:eastAsia="zh-CN"/>
        </w:rPr>
        <w:t>单位负责人为同一人或者存在直接控股、管理关系的不同供应商，不得参加同一合同项下的政府采购活动。</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本次投标所报内容完全按照招标文件要求填报，所有内容都是真实、准确的。</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投标人将按招标文件的规定履行全部合同责任和义务。</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投标人已详细审查全部招标文件，包括修改文件（如有的话）以及全部参考资料和有关附件。我们完全理解并同意放弃对这方面有不明及误解的权利。</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本次投标自开标日起有效期为90天。</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如果在规定的开标时间后，投标人在投标有效期内撤回投标文件，投标保证金将被贵</w:t>
      </w:r>
      <w:r>
        <w:rPr>
          <w:rFonts w:hint="eastAsia" w:ascii="宋体" w:hAnsi="宋体"/>
          <w:color w:val="000000" w:themeColor="text1"/>
          <w:szCs w:val="21"/>
          <w:highlight w:val="none"/>
        </w:rPr>
        <w:t>方</w:t>
      </w:r>
      <w:r>
        <w:rPr>
          <w:rFonts w:hint="eastAsia" w:ascii="宋体" w:hAnsi="宋体"/>
          <w:bCs/>
          <w:color w:val="000000" w:themeColor="text1"/>
          <w:highlight w:val="none"/>
        </w:rPr>
        <w:t>不予退还。</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投标人同意提供按照贵方可能要求与其投标有关的一切数据或资料，完全理解贵方不一定接受最低价的投标或收到的任何投标。</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24"/>
        <w:spacing w:line="400" w:lineRule="exact"/>
        <w:rPr>
          <w:rFonts w:hAnsi="宋体"/>
          <w:color w:val="000000" w:themeColor="text1"/>
          <w:highlight w:val="none"/>
        </w:rPr>
      </w:pPr>
      <w:r>
        <w:rPr>
          <w:rFonts w:hint="eastAsia" w:hAnsi="宋体"/>
          <w:color w:val="000000" w:themeColor="text1"/>
          <w:highlight w:val="none"/>
        </w:rPr>
        <w:t>注：本投标函为投标人响应本次招标项目的郑重承诺，投标人不得改动且必须满足。</w:t>
      </w:r>
    </w:p>
    <w:p>
      <w:pPr>
        <w:pStyle w:val="24"/>
        <w:spacing w:line="400" w:lineRule="exact"/>
        <w:rPr>
          <w:rFonts w:hAnsi="宋体"/>
          <w:color w:val="000000" w:themeColor="text1"/>
          <w:highlight w:val="none"/>
        </w:rPr>
      </w:pPr>
    </w:p>
    <w:p>
      <w:pPr>
        <w:pStyle w:val="5"/>
        <w:numPr>
          <w:ilvl w:val="0"/>
          <w:numId w:val="0"/>
        </w:numPr>
        <w:spacing w:line="400" w:lineRule="exact"/>
        <w:rPr>
          <w:color w:val="000000" w:themeColor="text1"/>
          <w:highlight w:val="none"/>
        </w:rPr>
      </w:pPr>
      <w:bookmarkStart w:id="1722" w:name="_Hlt16935467"/>
      <w:bookmarkEnd w:id="1722"/>
      <w:bookmarkStart w:id="1723" w:name="_Toc342312465"/>
      <w:bookmarkStart w:id="1724" w:name="_Toc333935368"/>
      <w:bookmarkStart w:id="1725" w:name="_Toc330460008"/>
      <w:bookmarkStart w:id="1726" w:name="_Toc333237700"/>
      <w:bookmarkStart w:id="1727" w:name="_Toc339020255"/>
      <w:bookmarkStart w:id="1728" w:name="_Toc365985200"/>
      <w:bookmarkStart w:id="1729" w:name="_Toc339362322"/>
      <w:bookmarkStart w:id="1730" w:name="_Toc339020117"/>
      <w:bookmarkStart w:id="1731" w:name="_Toc336681957"/>
      <w:bookmarkStart w:id="1732" w:name="_Toc342398152"/>
      <w:bookmarkStart w:id="1733" w:name="_Toc337632380"/>
      <w:bookmarkStart w:id="1734" w:name="_Toc341348362"/>
      <w:bookmarkStart w:id="1735" w:name="_Toc342060397"/>
      <w:bookmarkStart w:id="1736" w:name="_Toc350756472"/>
      <w:bookmarkStart w:id="1737" w:name="_Toc350438771"/>
      <w:bookmarkStart w:id="1738" w:name="_Toc343612942"/>
      <w:bookmarkStart w:id="1739" w:name="_Toc333935709"/>
      <w:bookmarkStart w:id="1740" w:name="_Toc343248440"/>
      <w:bookmarkStart w:id="1741" w:name="_Toc331512923"/>
      <w:bookmarkStart w:id="1742" w:name="_Toc78816017"/>
      <w:bookmarkStart w:id="1743" w:name="_Toc340672891"/>
      <w:bookmarkStart w:id="1744" w:name="_Toc343247122"/>
      <w:bookmarkStart w:id="1745" w:name="_Toc339020037"/>
      <w:bookmarkStart w:id="1746" w:name="_Toc331684064"/>
      <w:bookmarkStart w:id="1747" w:name="_Toc332206731"/>
      <w:bookmarkStart w:id="1748" w:name="_Toc340677092"/>
      <w:bookmarkStart w:id="1749" w:name="_Toc365967094"/>
      <w:bookmarkStart w:id="1750" w:name="_Toc345312619"/>
      <w:bookmarkStart w:id="1751" w:name="_Toc342296783"/>
      <w:bookmarkStart w:id="1752" w:name="_Toc339441109"/>
      <w:bookmarkStart w:id="1753" w:name="_Toc336681602"/>
      <w:bookmarkStart w:id="1754" w:name="_Toc333238656"/>
      <w:bookmarkStart w:id="1755" w:name="_Toc340507464"/>
      <w:bookmarkStart w:id="1756" w:name="_Toc333237811"/>
      <w:bookmarkStart w:id="1757" w:name="_Toc366072551"/>
      <w:bookmarkStart w:id="1758" w:name="_Toc3747"/>
      <w:bookmarkStart w:id="1759" w:name="_Toc339019911"/>
      <w:bookmarkStart w:id="1760" w:name="_Toc332270369"/>
      <w:r>
        <w:rPr>
          <w:rFonts w:hint="eastAsia"/>
          <w:color w:val="000000" w:themeColor="text1"/>
          <w:highlight w:val="none"/>
        </w:rPr>
        <w:t>附件二：开标一览表</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hAnsi="宋体"/>
          <w:bCs/>
          <w:color w:val="000000" w:themeColor="text1"/>
          <w:highlight w:val="none"/>
          <w:u w:val="single"/>
          <w:lang w:val="en-US" w:eastAsia="zh-CN"/>
        </w:rPr>
        <w:t xml:space="preserve">     </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73"/>
        <w:gridCol w:w="2719"/>
        <w:gridCol w:w="1673"/>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项目编号</w:t>
            </w:r>
          </w:p>
        </w:tc>
        <w:tc>
          <w:tcPr>
            <w:tcW w:w="2873"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项目名称</w:t>
            </w:r>
          </w:p>
        </w:tc>
        <w:tc>
          <w:tcPr>
            <w:tcW w:w="2719"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投标总价</w:t>
            </w:r>
          </w:p>
        </w:tc>
        <w:tc>
          <w:tcPr>
            <w:tcW w:w="1673"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服务期</w:t>
            </w:r>
          </w:p>
        </w:tc>
        <w:tc>
          <w:tcPr>
            <w:tcW w:w="68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179" w:type="dxa"/>
            <w:vAlign w:val="center"/>
          </w:tcPr>
          <w:p>
            <w:pPr>
              <w:adjustRightInd w:val="0"/>
              <w:snapToGrid w:val="0"/>
              <w:spacing w:line="300" w:lineRule="exact"/>
              <w:jc w:val="center"/>
              <w:rPr>
                <w:rFonts w:ascii="宋体" w:hAnsi="宋体"/>
                <w:bCs/>
                <w:color w:val="000000" w:themeColor="text1"/>
                <w:highlight w:val="none"/>
              </w:rPr>
            </w:pPr>
          </w:p>
        </w:tc>
        <w:tc>
          <w:tcPr>
            <w:tcW w:w="2873" w:type="dxa"/>
            <w:vAlign w:val="center"/>
          </w:tcPr>
          <w:p>
            <w:pPr>
              <w:adjustRightInd w:val="0"/>
              <w:snapToGrid w:val="0"/>
              <w:spacing w:line="300" w:lineRule="exact"/>
              <w:jc w:val="center"/>
              <w:rPr>
                <w:rFonts w:ascii="宋体" w:hAnsi="宋体"/>
                <w:bCs/>
                <w:color w:val="000000" w:themeColor="text1"/>
                <w:highlight w:val="none"/>
              </w:rPr>
            </w:pPr>
          </w:p>
        </w:tc>
        <w:tc>
          <w:tcPr>
            <w:tcW w:w="2719" w:type="dxa"/>
            <w:vAlign w:val="center"/>
          </w:tcPr>
          <w:p>
            <w:pPr>
              <w:spacing w:line="260" w:lineRule="exact"/>
              <w:rPr>
                <w:rFonts w:ascii="宋体" w:hAnsi="宋体"/>
                <w:bCs/>
                <w:color w:val="000000" w:themeColor="text1"/>
                <w:highlight w:val="none"/>
              </w:rPr>
            </w:pPr>
            <w:r>
              <w:rPr>
                <w:rFonts w:hint="eastAsia" w:ascii="宋体" w:hAnsi="宋体"/>
                <w:bCs/>
                <w:color w:val="000000" w:themeColor="text1"/>
                <w:highlight w:val="none"/>
              </w:rPr>
              <w:t>大写：</w:t>
            </w: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r>
              <w:rPr>
                <w:rFonts w:hint="eastAsia" w:ascii="宋体" w:hAnsi="宋体"/>
                <w:bCs/>
                <w:color w:val="000000" w:themeColor="text1"/>
                <w:highlight w:val="none"/>
              </w:rPr>
              <w:t>小写：</w:t>
            </w:r>
          </w:p>
        </w:tc>
        <w:tc>
          <w:tcPr>
            <w:tcW w:w="1673" w:type="dxa"/>
            <w:vAlign w:val="center"/>
          </w:tcPr>
          <w:p>
            <w:pPr>
              <w:topLinePunct/>
              <w:jc w:val="left"/>
              <w:rPr>
                <w:rFonts w:ascii="宋体" w:hAnsi="宋体"/>
                <w:bCs/>
                <w:color w:val="000000" w:themeColor="text1"/>
                <w:highlight w:val="none"/>
                <w:u w:val="single"/>
              </w:rPr>
            </w:pPr>
          </w:p>
        </w:tc>
        <w:tc>
          <w:tcPr>
            <w:tcW w:w="689" w:type="dxa"/>
            <w:vAlign w:val="center"/>
          </w:tcPr>
          <w:p>
            <w:pPr>
              <w:rPr>
                <w:rFonts w:ascii="宋体" w:hAnsi="宋体"/>
                <w:bCs/>
                <w:color w:val="000000" w:themeColor="text1"/>
                <w:highlight w:val="none"/>
              </w:rPr>
            </w:pPr>
          </w:p>
        </w:tc>
      </w:tr>
    </w:tbl>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color w:val="000000" w:themeColor="text1"/>
          <w:highlight w:val="none"/>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rPr>
      </w:pPr>
      <w:r>
        <w:rPr>
          <w:rFonts w:hint="eastAsia"/>
          <w:bCs/>
          <w:color w:val="000000" w:themeColor="text1"/>
          <w:highlight w:val="none"/>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bCs/>
          <w:color w:val="000000" w:themeColor="text1"/>
          <w:highlight w:val="none"/>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pStyle w:val="5"/>
        <w:numPr>
          <w:ilvl w:val="0"/>
          <w:numId w:val="0"/>
        </w:numPr>
        <w:spacing w:line="400" w:lineRule="exact"/>
        <w:rPr>
          <w:color w:val="000000" w:themeColor="text1"/>
          <w:highlight w:val="none"/>
        </w:rPr>
      </w:pPr>
      <w:bookmarkStart w:id="1761" w:name="_Toc337632381"/>
      <w:bookmarkStart w:id="1762" w:name="_Toc342060398"/>
      <w:bookmarkStart w:id="1763" w:name="_Toc333935710"/>
      <w:bookmarkStart w:id="1764" w:name="_Toc333238657"/>
      <w:bookmarkStart w:id="1765" w:name="_Toc340677093"/>
      <w:bookmarkStart w:id="1766" w:name="_Toc341348363"/>
      <w:bookmarkStart w:id="1767" w:name="_Toc339020118"/>
      <w:bookmarkStart w:id="1768" w:name="_Toc350756473"/>
      <w:bookmarkStart w:id="1769" w:name="_Toc336681603"/>
      <w:bookmarkStart w:id="1770" w:name="_Toc350438772"/>
      <w:bookmarkStart w:id="1771" w:name="_Toc332206732"/>
      <w:bookmarkStart w:id="1772" w:name="_Toc339020256"/>
      <w:bookmarkStart w:id="1773" w:name="_Toc343247123"/>
      <w:bookmarkStart w:id="1774" w:name="_Toc339441110"/>
      <w:bookmarkStart w:id="1775" w:name="_Toc342398153"/>
      <w:bookmarkStart w:id="1776" w:name="_Toc339362323"/>
      <w:bookmarkStart w:id="1777" w:name="_Toc340507465"/>
      <w:bookmarkStart w:id="1778" w:name="_Toc340672892"/>
      <w:bookmarkStart w:id="1779" w:name="_Toc333237701"/>
      <w:bookmarkStart w:id="1780" w:name="_Toc333935369"/>
      <w:bookmarkStart w:id="1781" w:name="_Toc342312466"/>
      <w:bookmarkStart w:id="1782" w:name="_Toc331684065"/>
      <w:bookmarkStart w:id="1783" w:name="_Toc27805"/>
      <w:bookmarkStart w:id="1784" w:name="_Toc365967095"/>
      <w:bookmarkStart w:id="1785" w:name="_Toc343612943"/>
      <w:bookmarkStart w:id="1786" w:name="_Toc332270370"/>
      <w:bookmarkStart w:id="1787" w:name="_Toc330460009"/>
      <w:bookmarkStart w:id="1788" w:name="_Toc343248441"/>
      <w:bookmarkStart w:id="1789" w:name="_Toc339020038"/>
      <w:bookmarkStart w:id="1790" w:name="_Toc331512924"/>
      <w:bookmarkStart w:id="1791" w:name="_Toc366072552"/>
      <w:bookmarkStart w:id="1792" w:name="_Toc365985201"/>
      <w:bookmarkStart w:id="1793" w:name="_Toc333237812"/>
      <w:bookmarkStart w:id="1794" w:name="_Toc336681958"/>
      <w:bookmarkStart w:id="1795" w:name="_Toc339019912"/>
      <w:bookmarkStart w:id="1796" w:name="_Toc342296784"/>
      <w:bookmarkStart w:id="1797" w:name="_Toc345312620"/>
      <w:r>
        <w:rPr>
          <w:rFonts w:hint="eastAsia"/>
          <w:color w:val="000000" w:themeColor="text1"/>
          <w:highlight w:val="none"/>
        </w:rPr>
        <w:t>附件三：</w:t>
      </w:r>
      <w:r>
        <w:rPr>
          <w:color w:val="000000" w:themeColor="text1"/>
          <w:highlight w:val="none"/>
        </w:rPr>
        <w:t>投标</w:t>
      </w:r>
      <w:r>
        <w:rPr>
          <w:rFonts w:hint="eastAsia"/>
          <w:color w:val="000000" w:themeColor="text1"/>
          <w:highlight w:val="none"/>
        </w:rPr>
        <w:t>分项报价</w:t>
      </w:r>
      <w:r>
        <w:rPr>
          <w:color w:val="000000" w:themeColor="text1"/>
          <w:highlight w:val="none"/>
        </w:rPr>
        <w:t>表</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hAnsi="宋体"/>
          <w:bCs/>
          <w:color w:val="000000" w:themeColor="text1"/>
          <w:highlight w:val="none"/>
          <w:u w:val="single"/>
          <w:lang w:val="en-US" w:eastAsia="zh-CN"/>
        </w:rPr>
        <w:t xml:space="preserve">     </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p>
      <w:pPr>
        <w:adjustRightInd w:val="0"/>
        <w:snapToGrid w:val="0"/>
        <w:spacing w:line="360" w:lineRule="auto"/>
        <w:ind w:left="1050" w:leftChars="500" w:firstLine="6195" w:firstLineChars="2950"/>
        <w:jc w:val="left"/>
        <w:rPr>
          <w:color w:val="000000" w:themeColor="text1"/>
          <w:szCs w:val="18"/>
          <w:highlight w:val="none"/>
        </w:rPr>
      </w:pPr>
      <w:r>
        <w:rPr>
          <w:rFonts w:hint="eastAsia"/>
          <w:color w:val="000000" w:themeColor="text1"/>
          <w:szCs w:val="18"/>
          <w:highlight w:val="none"/>
        </w:rPr>
        <w:t>（单位：元）</w:t>
      </w:r>
    </w:p>
    <w:tbl>
      <w:tblPr>
        <w:tblStyle w:val="46"/>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42"/>
        <w:gridCol w:w="1281"/>
        <w:gridCol w:w="1281"/>
        <w:gridCol w:w="646"/>
        <w:gridCol w:w="636"/>
        <w:gridCol w:w="128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内容</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2</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3</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4</w:t>
            </w: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项目内容</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2</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时间</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3</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单价</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4</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总价</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5</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保险费</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6</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税金</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7</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技术服务费</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8</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培训费</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9</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质量保证期内的服务费用</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10</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其他费用</w:t>
            </w:r>
          </w:p>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（该表中无体现的费用但本项目有产生的其他费用）</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11</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bCs/>
                <w:color w:val="000000" w:themeColor="text1"/>
                <w:sz w:val="21"/>
                <w:szCs w:val="21"/>
                <w:highlight w:val="none"/>
              </w:rPr>
            </w:pPr>
            <w:r>
              <w:rPr>
                <w:rFonts w:hint="eastAsia" w:hAnsi="宋体" w:cs="宋体"/>
                <w:bCs/>
                <w:color w:val="000000" w:themeColor="text1"/>
                <w:sz w:val="21"/>
                <w:szCs w:val="21"/>
                <w:highlight w:val="none"/>
              </w:rPr>
              <w:t>投标总价</w:t>
            </w:r>
          </w:p>
        </w:tc>
        <w:tc>
          <w:tcPr>
            <w:tcW w:w="3208" w:type="dxa"/>
            <w:gridSpan w:val="3"/>
            <w:tcBorders>
              <w:top w:val="single" w:color="auto" w:sz="4" w:space="0"/>
              <w:left w:val="single" w:color="auto" w:sz="4" w:space="0"/>
              <w:bottom w:val="single" w:color="auto" w:sz="4" w:space="0"/>
              <w:right w:val="single" w:color="auto" w:sz="4" w:space="0"/>
            </w:tcBorders>
            <w:vAlign w:val="center"/>
          </w:tcPr>
          <w:p>
            <w:pPr>
              <w:pStyle w:val="6"/>
              <w:snapToGrid w:val="0"/>
              <w:ind w:firstLine="0"/>
              <w:rPr>
                <w:rFonts w:hAnsi="宋体" w:cs="宋体"/>
                <w:bCs/>
                <w:color w:val="000000" w:themeColor="text1"/>
                <w:sz w:val="21"/>
                <w:szCs w:val="21"/>
                <w:highlight w:val="none"/>
              </w:rPr>
            </w:pPr>
            <w:r>
              <w:rPr>
                <w:rFonts w:hint="eastAsia" w:hAnsi="宋体" w:cs="宋体"/>
                <w:bCs/>
                <w:color w:val="000000" w:themeColor="text1"/>
                <w:sz w:val="21"/>
                <w:szCs w:val="21"/>
                <w:highlight w:val="none"/>
              </w:rPr>
              <w:t>（大写）人民币</w:t>
            </w:r>
          </w:p>
        </w:tc>
        <w:tc>
          <w:tcPr>
            <w:tcW w:w="3204" w:type="dxa"/>
            <w:gridSpan w:val="3"/>
            <w:tcBorders>
              <w:top w:val="single" w:color="auto" w:sz="4" w:space="0"/>
              <w:left w:val="single" w:color="auto" w:sz="4" w:space="0"/>
              <w:bottom w:val="single" w:color="auto" w:sz="4" w:space="0"/>
              <w:right w:val="single" w:color="auto" w:sz="4" w:space="0"/>
            </w:tcBorders>
            <w:vAlign w:val="center"/>
          </w:tcPr>
          <w:p>
            <w:pPr>
              <w:pStyle w:val="6"/>
              <w:snapToGrid w:val="0"/>
              <w:ind w:firstLine="0"/>
              <w:rPr>
                <w:rFonts w:hAnsi="宋体" w:cs="宋体"/>
                <w:bCs/>
                <w:color w:val="000000" w:themeColor="text1"/>
                <w:sz w:val="21"/>
                <w:szCs w:val="21"/>
                <w:highlight w:val="none"/>
              </w:rPr>
            </w:pPr>
            <w:r>
              <w:rPr>
                <w:rFonts w:hint="eastAsia" w:hAnsi="宋体" w:cs="宋体"/>
                <w:bCs/>
                <w:color w:val="000000" w:themeColor="text1"/>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12</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bCs/>
                <w:color w:val="000000" w:themeColor="text1"/>
                <w:sz w:val="21"/>
                <w:szCs w:val="21"/>
                <w:highlight w:val="none"/>
              </w:rPr>
            </w:pPr>
            <w:r>
              <w:rPr>
                <w:rFonts w:hint="eastAsia" w:hAnsi="宋体" w:cs="宋体"/>
                <w:bCs/>
                <w:color w:val="000000" w:themeColor="text1"/>
                <w:sz w:val="21"/>
                <w:szCs w:val="21"/>
                <w:highlight w:val="none"/>
              </w:rPr>
              <w:t>备注</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bCs/>
                <w:color w:val="000000" w:themeColor="text1"/>
                <w:sz w:val="21"/>
                <w:szCs w:val="21"/>
                <w:highlight w:val="none"/>
              </w:rPr>
            </w:pPr>
          </w:p>
        </w:tc>
      </w:tr>
    </w:tbl>
    <w:p>
      <w:pPr>
        <w:spacing w:line="360" w:lineRule="auto"/>
        <w:rPr>
          <w:color w:val="000000" w:themeColor="text1"/>
          <w:highlight w:val="none"/>
        </w:rPr>
      </w:pPr>
      <w:r>
        <w:rPr>
          <w:rFonts w:hint="eastAsia"/>
          <w:color w:val="000000" w:themeColor="text1"/>
          <w:highlight w:val="none"/>
        </w:rPr>
        <w:t>注：如本表格式内容不能满足需要，投标人可自行划表填写。</w:t>
      </w:r>
    </w:p>
    <w:p>
      <w:pPr>
        <w:spacing w:line="360" w:lineRule="auto"/>
        <w:rPr>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400" w:lineRule="exact"/>
        <w:rPr>
          <w:rFonts w:ascii="宋体" w:hAnsi="宋体"/>
          <w:bCs/>
          <w:color w:val="000000" w:themeColor="text1"/>
          <w:highlight w:val="none"/>
          <w:u w:val="single"/>
        </w:rPr>
      </w:pPr>
    </w:p>
    <w:p>
      <w:pPr>
        <w:pStyle w:val="5"/>
        <w:numPr>
          <w:ilvl w:val="0"/>
          <w:numId w:val="0"/>
        </w:numPr>
        <w:spacing w:line="400" w:lineRule="exact"/>
        <w:rPr>
          <w:color w:val="000000" w:themeColor="text1"/>
          <w:highlight w:val="none"/>
        </w:rPr>
      </w:pPr>
      <w:bookmarkStart w:id="1798" w:name="_Toc342312467"/>
      <w:bookmarkStart w:id="1799" w:name="_Toc331512925"/>
      <w:bookmarkStart w:id="1800" w:name="_Toc365985202"/>
      <w:bookmarkStart w:id="1801" w:name="_Toc333237702"/>
      <w:bookmarkStart w:id="1802" w:name="_Toc339019913"/>
      <w:bookmarkStart w:id="1803" w:name="_Toc339020119"/>
      <w:bookmarkStart w:id="1804" w:name="_Toc343612944"/>
      <w:bookmarkStart w:id="1805" w:name="_Toc350756474"/>
      <w:bookmarkStart w:id="1806" w:name="_Toc366072553"/>
      <w:bookmarkStart w:id="1807" w:name="_Toc330460010"/>
      <w:bookmarkStart w:id="1808" w:name="_Toc342398154"/>
      <w:bookmarkStart w:id="1809" w:name="_Toc339020257"/>
      <w:bookmarkStart w:id="1810" w:name="_Toc333238658"/>
      <w:bookmarkStart w:id="1811" w:name="_Toc23436"/>
      <w:bookmarkStart w:id="1812" w:name="_Toc333935370"/>
      <w:bookmarkStart w:id="1813" w:name="_Toc337632382"/>
      <w:bookmarkStart w:id="1814" w:name="_Toc332270371"/>
      <w:bookmarkStart w:id="1815" w:name="_Toc339020039"/>
      <w:bookmarkStart w:id="1816" w:name="_Toc340507466"/>
      <w:bookmarkStart w:id="1817" w:name="_Toc336681604"/>
      <w:bookmarkStart w:id="1818" w:name="_Toc345312621"/>
      <w:bookmarkStart w:id="1819" w:name="_Toc341348364"/>
      <w:bookmarkStart w:id="1820" w:name="_Toc340677094"/>
      <w:bookmarkStart w:id="1821" w:name="_Toc339362324"/>
      <w:bookmarkStart w:id="1822" w:name="_Toc332206733"/>
      <w:bookmarkStart w:id="1823" w:name="_Toc336681959"/>
      <w:bookmarkStart w:id="1824" w:name="_Toc350438773"/>
      <w:bookmarkStart w:id="1825" w:name="_Toc333237813"/>
      <w:bookmarkStart w:id="1826" w:name="_Toc342060399"/>
      <w:bookmarkStart w:id="1827" w:name="_Toc343248442"/>
      <w:bookmarkStart w:id="1828" w:name="_Toc339441111"/>
      <w:bookmarkStart w:id="1829" w:name="_Toc365967096"/>
      <w:bookmarkStart w:id="1830" w:name="_Toc331684066"/>
      <w:bookmarkStart w:id="1831" w:name="_Toc340672893"/>
      <w:bookmarkStart w:id="1832" w:name="_Toc342296785"/>
      <w:bookmarkStart w:id="1833" w:name="_Toc343247124"/>
      <w:bookmarkStart w:id="1834" w:name="_Toc333935711"/>
      <w:r>
        <w:rPr>
          <w:rFonts w:hint="eastAsia"/>
          <w:color w:val="000000" w:themeColor="text1"/>
          <w:highlight w:val="none"/>
        </w:rPr>
        <w:t>附件四：商务条款偏离一览表</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hAnsi="宋体"/>
          <w:bCs/>
          <w:color w:val="000000" w:themeColor="text1"/>
          <w:highlight w:val="none"/>
          <w:u w:val="single"/>
          <w:lang w:val="en-US" w:eastAsia="zh-CN"/>
        </w:rPr>
        <w:t xml:space="preserve">     </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2）对招标文件中商务条款按上列格式逐条说明。</w:t>
      </w: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360" w:lineRule="auto"/>
        <w:rPr>
          <w:rFonts w:ascii="宋体" w:hAnsi="宋体"/>
          <w:bCs/>
          <w:color w:val="000000" w:themeColor="text1"/>
          <w:highlight w:val="none"/>
          <w:u w:val="single"/>
        </w:rPr>
        <w:sectPr>
          <w:footerReference r:id="rId14" w:type="default"/>
          <w:pgSz w:w="11906" w:h="16838"/>
          <w:pgMar w:top="1418" w:right="1474" w:bottom="1418" w:left="1474" w:header="851" w:footer="851" w:gutter="0"/>
          <w:cols w:space="720" w:num="1"/>
          <w:titlePg/>
          <w:docGrid w:linePitch="312" w:charSpace="0"/>
        </w:sectPr>
      </w:pPr>
    </w:p>
    <w:p>
      <w:pPr>
        <w:pStyle w:val="5"/>
        <w:numPr>
          <w:ilvl w:val="0"/>
          <w:numId w:val="0"/>
        </w:numPr>
        <w:spacing w:line="400" w:lineRule="exact"/>
        <w:rPr>
          <w:color w:val="000000" w:themeColor="text1"/>
          <w:highlight w:val="none"/>
        </w:rPr>
      </w:pPr>
      <w:bookmarkStart w:id="1835" w:name="_Toc28314"/>
      <w:bookmarkStart w:id="1836" w:name="_Toc333935371"/>
      <w:bookmarkStart w:id="1837" w:name="_Toc339020258"/>
      <w:bookmarkStart w:id="1838" w:name="_Toc339020120"/>
      <w:bookmarkStart w:id="1839" w:name="_Toc343248443"/>
      <w:bookmarkStart w:id="1840" w:name="_Toc342296786"/>
      <w:bookmarkStart w:id="1841" w:name="_Toc337632383"/>
      <w:bookmarkStart w:id="1842" w:name="_Toc332270372"/>
      <w:bookmarkStart w:id="1843" w:name="_Toc342060400"/>
      <w:bookmarkStart w:id="1844" w:name="_Toc331512926"/>
      <w:bookmarkStart w:id="1845" w:name="_Toc350438774"/>
      <w:bookmarkStart w:id="1846" w:name="_Toc330460011"/>
      <w:bookmarkStart w:id="1847" w:name="_Toc340677095"/>
      <w:bookmarkStart w:id="1848" w:name="_Toc365985203"/>
      <w:bookmarkStart w:id="1849" w:name="_Toc331684067"/>
      <w:bookmarkStart w:id="1850" w:name="_Toc333238659"/>
      <w:bookmarkStart w:id="1851" w:name="_Toc342398155"/>
      <w:bookmarkStart w:id="1852" w:name="_Toc340507467"/>
      <w:bookmarkStart w:id="1853" w:name="_Toc333237703"/>
      <w:bookmarkStart w:id="1854" w:name="_Toc339019914"/>
      <w:bookmarkStart w:id="1855" w:name="_Toc343247125"/>
      <w:bookmarkStart w:id="1856" w:name="_Toc332206734"/>
      <w:bookmarkStart w:id="1857" w:name="_Toc350756475"/>
      <w:bookmarkStart w:id="1858" w:name="_Toc339441112"/>
      <w:bookmarkStart w:id="1859" w:name="_Toc341348365"/>
      <w:bookmarkStart w:id="1860" w:name="_Toc333237814"/>
      <w:bookmarkStart w:id="1861" w:name="_Toc336681960"/>
      <w:bookmarkStart w:id="1862" w:name="_Toc343612945"/>
      <w:bookmarkStart w:id="1863" w:name="_Toc336681605"/>
      <w:bookmarkStart w:id="1864" w:name="_Toc366072554"/>
      <w:bookmarkStart w:id="1865" w:name="_Toc333935712"/>
      <w:bookmarkStart w:id="1866" w:name="_Toc340672894"/>
      <w:bookmarkStart w:id="1867" w:name="_Toc365967097"/>
      <w:bookmarkStart w:id="1868" w:name="_Toc339362325"/>
      <w:bookmarkStart w:id="1869" w:name="_Toc342312468"/>
      <w:bookmarkStart w:id="1870" w:name="_Toc339020040"/>
      <w:bookmarkStart w:id="1871" w:name="_Toc345312622"/>
      <w:r>
        <w:rPr>
          <w:rFonts w:hint="eastAsia"/>
          <w:color w:val="000000" w:themeColor="text1"/>
          <w:highlight w:val="none"/>
        </w:rPr>
        <w:t>附件五：技术条款偏离一览表</w:t>
      </w:r>
      <w:bookmarkEnd w:id="1835"/>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hAnsi="宋体"/>
          <w:bCs/>
          <w:color w:val="000000" w:themeColor="text1"/>
          <w:highlight w:val="none"/>
          <w:u w:val="single"/>
          <w:lang w:val="en-US" w:eastAsia="zh-CN"/>
        </w:rPr>
        <w:t xml:space="preserve">       </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Layout w:type="fixed"/>
        <w:tblCellMar>
          <w:top w:w="0" w:type="dxa"/>
          <w:left w:w="54" w:type="dxa"/>
          <w:bottom w:w="0" w:type="dxa"/>
          <w:right w:w="54" w:type="dxa"/>
        </w:tblCellMar>
      </w:tblPr>
      <w:tblGrid>
        <w:gridCol w:w="661"/>
        <w:gridCol w:w="1116"/>
        <w:gridCol w:w="2845"/>
        <w:gridCol w:w="3190"/>
        <w:gridCol w:w="850"/>
        <w:gridCol w:w="609"/>
      </w:tblGrid>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2）对招标文件中技术条款按上列格式逐条说明。</w:t>
      </w:r>
    </w:p>
    <w:p>
      <w:pPr>
        <w:adjustRightInd w:val="0"/>
        <w:snapToGrid w:val="0"/>
        <w:spacing w:line="360" w:lineRule="auto"/>
        <w:ind w:firstLine="630" w:firstLineChars="300"/>
        <w:rPr>
          <w:rFonts w:ascii="宋体" w:hAnsi="宋体"/>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投标人声明：表中未列全的技术条款，我方均表示完全响应招标文件技术条款的所有要求。</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Pr>
        <w:pStyle w:val="5"/>
        <w:numPr>
          <w:ilvl w:val="1"/>
          <w:numId w:val="0"/>
        </w:numPr>
        <w:spacing w:line="400" w:lineRule="exact"/>
        <w:rPr>
          <w:color w:val="000000" w:themeColor="text1"/>
          <w:highlight w:val="none"/>
        </w:rPr>
        <w:sectPr>
          <w:pgSz w:w="11906" w:h="16838"/>
          <w:pgMar w:top="1474" w:right="1418" w:bottom="1474" w:left="1418" w:header="851" w:footer="850" w:gutter="0"/>
          <w:cols w:space="0" w:num="1"/>
          <w:titlePg/>
          <w:docGrid w:linePitch="312" w:charSpace="0"/>
        </w:sectPr>
      </w:pPr>
      <w:bookmarkStart w:id="1872" w:name="_Toc365967104"/>
      <w:bookmarkStart w:id="1873" w:name="_Toc333237707"/>
      <w:bookmarkStart w:id="1874" w:name="_Toc350756479"/>
      <w:bookmarkStart w:id="1875" w:name="_Toc333238663"/>
      <w:bookmarkStart w:id="1876" w:name="_Toc333237818"/>
      <w:bookmarkStart w:id="1877" w:name="_Toc350438778"/>
      <w:bookmarkStart w:id="1878" w:name="_Toc333935375"/>
      <w:bookmarkStart w:id="1879" w:name="_Toc342398159"/>
      <w:bookmarkStart w:id="1880" w:name="_Toc345312626"/>
      <w:bookmarkStart w:id="1881" w:name="_Toc331684071"/>
      <w:bookmarkStart w:id="1882" w:name="_Toc339020044"/>
      <w:bookmarkStart w:id="1883" w:name="_Toc333935716"/>
      <w:bookmarkStart w:id="1884" w:name="_Toc342312472"/>
      <w:bookmarkStart w:id="1885" w:name="_Toc342296790"/>
      <w:bookmarkStart w:id="1886" w:name="_Toc336681609"/>
      <w:bookmarkStart w:id="1887" w:name="_Toc343248447"/>
      <w:bookmarkStart w:id="1888" w:name="_Toc339020262"/>
      <w:bookmarkStart w:id="1889" w:name="_Toc343247129"/>
      <w:bookmarkStart w:id="1890" w:name="_Toc340507471"/>
      <w:bookmarkStart w:id="1891" w:name="_Toc339019918"/>
      <w:bookmarkStart w:id="1892" w:name="_Toc337632387"/>
      <w:bookmarkStart w:id="1893" w:name="_Toc341348369"/>
      <w:bookmarkStart w:id="1894" w:name="_Toc343612949"/>
      <w:bookmarkStart w:id="1895" w:name="_Toc331512930"/>
      <w:bookmarkStart w:id="1896" w:name="_Toc332206738"/>
      <w:bookmarkStart w:id="1897" w:name="_Toc339362329"/>
      <w:bookmarkStart w:id="1898" w:name="_Toc342060404"/>
      <w:bookmarkStart w:id="1899" w:name="_Toc366072561"/>
      <w:bookmarkStart w:id="1900" w:name="_Toc340677099"/>
      <w:bookmarkStart w:id="1901" w:name="_Toc339020124"/>
      <w:bookmarkStart w:id="1902" w:name="_Toc340672898"/>
      <w:bookmarkStart w:id="1903" w:name="_Toc332270376"/>
      <w:bookmarkStart w:id="1904" w:name="_Toc339441116"/>
      <w:bookmarkStart w:id="1905" w:name="_Toc365985210"/>
      <w:bookmarkStart w:id="1906" w:name="_Toc336681964"/>
      <w:bookmarkStart w:id="1907" w:name="_Toc432695228"/>
      <w:bookmarkStart w:id="1908" w:name="_Toc330460015"/>
    </w:p>
    <w:p>
      <w:pPr>
        <w:pStyle w:val="5"/>
        <w:numPr>
          <w:ilvl w:val="1"/>
          <w:numId w:val="0"/>
        </w:numPr>
        <w:spacing w:line="400" w:lineRule="exact"/>
        <w:rPr>
          <w:color w:val="000000" w:themeColor="text1"/>
          <w:highlight w:val="none"/>
        </w:rPr>
      </w:pPr>
      <w:bookmarkStart w:id="1909" w:name="_Toc26252"/>
      <w:r>
        <w:rPr>
          <w:rFonts w:hint="eastAsia"/>
          <w:color w:val="000000" w:themeColor="text1"/>
          <w:highlight w:val="none"/>
        </w:rPr>
        <w:t>附件六：同类业绩一览表</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hint="eastAsia" w:ascii="宋体" w:hAnsi="宋体"/>
          <w:bCs/>
          <w:color w:val="000000" w:themeColor="text1"/>
          <w:szCs w:val="21"/>
          <w:highlight w:val="none"/>
          <w:u w:val="single"/>
        </w:rPr>
      </w:pPr>
      <w:r>
        <w:rPr>
          <w:rFonts w:hint="eastAsia" w:ascii="宋体" w:hAnsi="宋体"/>
          <w:bCs/>
          <w:color w:val="000000" w:themeColor="text1"/>
          <w:szCs w:val="21"/>
          <w:highlight w:val="none"/>
        </w:rPr>
        <w:t xml:space="preserve">包组号： </w:t>
      </w:r>
      <w:r>
        <w:rPr>
          <w:rFonts w:hint="eastAsia" w:ascii="宋体" w:hAnsi="宋体"/>
          <w:bCs/>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tbl>
      <w:tblPr>
        <w:tblStyle w:val="46"/>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序号</w:t>
            </w:r>
          </w:p>
        </w:tc>
        <w:tc>
          <w:tcPr>
            <w:tcW w:w="1215"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项目名称</w:t>
            </w:r>
          </w:p>
        </w:tc>
        <w:tc>
          <w:tcPr>
            <w:tcW w:w="1267"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内容</w:t>
            </w:r>
          </w:p>
        </w:tc>
        <w:tc>
          <w:tcPr>
            <w:tcW w:w="1117"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数量</w:t>
            </w:r>
          </w:p>
        </w:tc>
        <w:tc>
          <w:tcPr>
            <w:tcW w:w="1400"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中标金额（元）</w:t>
            </w:r>
          </w:p>
        </w:tc>
        <w:tc>
          <w:tcPr>
            <w:tcW w:w="1233"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完成日期</w:t>
            </w:r>
          </w:p>
        </w:tc>
        <w:tc>
          <w:tcPr>
            <w:tcW w:w="1183"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用户单位</w:t>
            </w:r>
          </w:p>
        </w:tc>
        <w:tc>
          <w:tcPr>
            <w:tcW w:w="1220"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联系电话</w:t>
            </w:r>
          </w:p>
        </w:tc>
        <w:tc>
          <w:tcPr>
            <w:tcW w:w="817"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ind w:firstLine="0"/>
              <w:jc w:val="center"/>
              <w:rPr>
                <w:rFonts w:hAnsi="宋体"/>
                <w:bCs/>
                <w:color w:val="000000" w:themeColor="text1"/>
                <w:kern w:val="2"/>
                <w:sz w:val="21"/>
                <w:szCs w:val="24"/>
                <w:highlight w:val="none"/>
              </w:rPr>
            </w:pPr>
          </w:p>
        </w:tc>
        <w:tc>
          <w:tcPr>
            <w:tcW w:w="1215" w:type="dxa"/>
            <w:vAlign w:val="center"/>
          </w:tcPr>
          <w:p>
            <w:pPr>
              <w:pStyle w:val="6"/>
              <w:snapToGrid w:val="0"/>
              <w:ind w:firstLine="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ind w:firstLine="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bl>
    <w:p>
      <w:pPr>
        <w:pStyle w:val="6"/>
        <w:snapToGrid w:val="0"/>
        <w:spacing w:line="360" w:lineRule="auto"/>
        <w:ind w:firstLine="0"/>
        <w:rPr>
          <w:rFonts w:hAnsi="宋体"/>
          <w:bCs/>
          <w:color w:val="000000" w:themeColor="text1"/>
          <w:sz w:val="21"/>
          <w:highlight w:val="none"/>
        </w:rPr>
      </w:pPr>
      <w:r>
        <w:rPr>
          <w:rFonts w:hint="eastAsia" w:hAnsi="宋体"/>
          <w:bCs/>
          <w:color w:val="000000" w:themeColor="text1"/>
          <w:sz w:val="21"/>
          <w:highlight w:val="none"/>
        </w:rPr>
        <w:t>注：如本表格式内容不能满足需要，投标人可自行划表填写，但必须体现以上内容。</w:t>
      </w:r>
    </w:p>
    <w:p>
      <w:pPr>
        <w:pStyle w:val="6"/>
        <w:snapToGrid w:val="0"/>
        <w:spacing w:line="360" w:lineRule="auto"/>
        <w:rPr>
          <w:rFonts w:hAnsi="宋体"/>
          <w:bCs/>
          <w:color w:val="000000" w:themeColor="text1"/>
          <w:sz w:val="21"/>
          <w:highlight w:val="none"/>
        </w:rPr>
      </w:pPr>
    </w:p>
    <w:p>
      <w:pPr>
        <w:pStyle w:val="6"/>
        <w:snapToGrid w:val="0"/>
        <w:spacing w:line="360" w:lineRule="auto"/>
        <w:rPr>
          <w:rFonts w:hAnsi="宋体"/>
          <w:bCs/>
          <w:color w:val="000000" w:themeColor="text1"/>
          <w:sz w:val="21"/>
          <w:highlight w:val="none"/>
        </w:rPr>
      </w:pPr>
    </w:p>
    <w:p>
      <w:pPr>
        <w:pStyle w:val="6"/>
        <w:snapToGrid w:val="0"/>
        <w:spacing w:line="360" w:lineRule="auto"/>
        <w:rPr>
          <w:rFonts w:hAnsi="宋体"/>
          <w:bCs/>
          <w:color w:val="000000" w:themeColor="text1"/>
          <w:sz w:val="21"/>
          <w:highlight w:val="none"/>
        </w:rPr>
      </w:pPr>
    </w:p>
    <w:p>
      <w:pPr>
        <w:pStyle w:val="6"/>
        <w:snapToGrid w:val="0"/>
        <w:spacing w:line="360" w:lineRule="auto"/>
        <w:rPr>
          <w:rFonts w:hAnsi="宋体"/>
          <w:bCs/>
          <w:color w:val="000000" w:themeColor="text1"/>
          <w:sz w:val="2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numPr>
          <w:ilvl w:val="1"/>
          <w:numId w:val="0"/>
        </w:numPr>
        <w:jc w:val="both"/>
        <w:rPr>
          <w:color w:val="000000" w:themeColor="text1"/>
          <w:highlight w:val="none"/>
        </w:rPr>
        <w:sectPr>
          <w:pgSz w:w="11906" w:h="16838"/>
          <w:pgMar w:top="1474" w:right="1418" w:bottom="1474" w:left="1418" w:header="851" w:footer="851" w:gutter="0"/>
          <w:cols w:space="720" w:num="1"/>
          <w:titlePg/>
          <w:docGrid w:linePitch="312" w:charSpace="0"/>
        </w:sectPr>
      </w:pPr>
    </w:p>
    <w:p>
      <w:pPr>
        <w:pStyle w:val="5"/>
        <w:numPr>
          <w:ilvl w:val="0"/>
          <w:numId w:val="0"/>
        </w:numPr>
        <w:spacing w:line="400" w:lineRule="exact"/>
        <w:rPr>
          <w:rFonts w:hAnsi="黑体" w:cs="黑体"/>
          <w:color w:val="000000" w:themeColor="text1"/>
          <w:highlight w:val="none"/>
        </w:rPr>
      </w:pPr>
      <w:bookmarkStart w:id="1910" w:name="_Toc14678"/>
      <w:bookmarkStart w:id="1911" w:name="_Toc432695229"/>
      <w:bookmarkStart w:id="1912" w:name="_Toc430771089"/>
      <w:bookmarkStart w:id="1913" w:name="_Toc432682754"/>
      <w:bookmarkStart w:id="1914" w:name="_Toc340507472"/>
      <w:bookmarkStart w:id="1915" w:name="_Toc339362330"/>
      <w:bookmarkStart w:id="1916" w:name="_Toc350438779"/>
      <w:bookmarkStart w:id="1917" w:name="_Toc340677100"/>
      <w:bookmarkStart w:id="1918" w:name="_Toc339020045"/>
      <w:bookmarkStart w:id="1919" w:name="_Toc339020125"/>
      <w:bookmarkStart w:id="1920" w:name="_Toc333238664"/>
      <w:bookmarkStart w:id="1921" w:name="_Toc345312627"/>
      <w:bookmarkStart w:id="1922" w:name="_Toc365985211"/>
      <w:bookmarkStart w:id="1923" w:name="_Toc341348370"/>
      <w:bookmarkStart w:id="1924" w:name="_Toc342398160"/>
      <w:bookmarkStart w:id="1925" w:name="_Toc332270377"/>
      <w:bookmarkStart w:id="1926" w:name="_Toc333935717"/>
      <w:bookmarkStart w:id="1927" w:name="_Toc336681965"/>
      <w:bookmarkStart w:id="1928" w:name="_Toc333237819"/>
      <w:bookmarkStart w:id="1929" w:name="_Toc342296791"/>
      <w:bookmarkStart w:id="1930" w:name="_Toc339019919"/>
      <w:bookmarkStart w:id="1931" w:name="_Toc343247130"/>
      <w:bookmarkStart w:id="1932" w:name="_Toc343248448"/>
      <w:bookmarkStart w:id="1933" w:name="_Toc337632388"/>
      <w:bookmarkStart w:id="1934" w:name="_Toc342312473"/>
      <w:bookmarkStart w:id="1935" w:name="_Toc336681610"/>
      <w:bookmarkStart w:id="1936" w:name="_Toc365967105"/>
      <w:bookmarkStart w:id="1937" w:name="_Toc102451601"/>
      <w:bookmarkStart w:id="1938" w:name="_Toc366072562"/>
      <w:bookmarkStart w:id="1939" w:name="_Toc333935376"/>
      <w:bookmarkStart w:id="1940" w:name="_Toc331512931"/>
      <w:bookmarkStart w:id="1941" w:name="_Toc333237708"/>
      <w:bookmarkStart w:id="1942" w:name="_Toc350756480"/>
      <w:bookmarkStart w:id="1943" w:name="_Toc331684072"/>
      <w:bookmarkStart w:id="1944" w:name="_Toc339441117"/>
      <w:bookmarkStart w:id="1945" w:name="_Toc339020263"/>
      <w:bookmarkStart w:id="1946" w:name="_Toc340672899"/>
      <w:bookmarkStart w:id="1947" w:name="_Toc343612950"/>
      <w:bookmarkStart w:id="1948" w:name="_Toc342060405"/>
      <w:bookmarkStart w:id="1949" w:name="_Toc332206739"/>
      <w:bookmarkStart w:id="1950" w:name="_Toc330460016"/>
      <w:r>
        <w:rPr>
          <w:rFonts w:hint="eastAsia"/>
          <w:color w:val="000000" w:themeColor="text1"/>
          <w:highlight w:val="none"/>
        </w:rPr>
        <w:t>附件七：</w:t>
      </w:r>
      <w:r>
        <w:rPr>
          <w:rFonts w:hint="eastAsia" w:hAnsi="黑体" w:cs="黑体"/>
          <w:color w:val="000000" w:themeColor="text1"/>
          <w:highlight w:val="none"/>
        </w:rPr>
        <w:t>中小微企业声明函</w:t>
      </w:r>
      <w:bookmarkEnd w:id="1910"/>
      <w:bookmarkEnd w:id="1911"/>
      <w:bookmarkEnd w:id="1912"/>
      <w:bookmarkEnd w:id="1913"/>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w:t>
      </w:r>
      <w:r>
        <w:rPr>
          <w:rFonts w:ascii="宋体" w:hAnsi="宋体"/>
          <w:color w:val="000000" w:themeColor="text1"/>
          <w:szCs w:val="21"/>
          <w:highlight w:val="none"/>
        </w:rPr>
        <w:t>《政府采购促进中小企业发展管理办法》（财库﹝2020﹞46 号）</w:t>
      </w:r>
      <w:r>
        <w:rPr>
          <w:rFonts w:hint="eastAsia" w:ascii="宋体" w:hAnsi="宋体" w:cs="宋体"/>
          <w:color w:val="000000" w:themeColor="text1"/>
          <w:highlight w:val="none"/>
        </w:rPr>
        <w:t>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s="宋体"/>
          <w:color w:val="000000" w:themeColor="text1"/>
          <w:highlight w:val="none"/>
        </w:rPr>
        <w:t>（项目编号：）采购活动提供本企业制造的货物，由本企业承担工程、提供服务，或者提供其他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rPr>
      </w:pP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spacing w:line="440" w:lineRule="exact"/>
        <w:rPr>
          <w:rFonts w:ascii="宋体"/>
          <w:color w:val="000000" w:themeColor="text1"/>
          <w:highlight w:val="none"/>
        </w:rPr>
      </w:pPr>
      <w:r>
        <w:rPr>
          <w:rFonts w:ascii="宋体" w:hAnsi="宋体"/>
          <w:color w:val="000000" w:themeColor="text1"/>
          <w:szCs w:val="21"/>
          <w:highlight w:val="none"/>
        </w:rPr>
        <w:t>日期：</w:t>
      </w:r>
      <w:r>
        <w:rPr>
          <w:rFonts w:ascii="宋体" w:hAnsi="宋体"/>
          <w:color w:val="000000" w:themeColor="text1"/>
          <w:szCs w:val="21"/>
          <w:highlight w:val="none"/>
          <w:u w:val="single"/>
        </w:rPr>
        <w:t xml:space="preserve">       </w:t>
      </w:r>
      <w:r>
        <w:rPr>
          <w:rFonts w:ascii="宋体" w:hAnsi="宋体"/>
          <w:color w:val="000000" w:themeColor="text1"/>
          <w:szCs w:val="21"/>
          <w:highlight w:val="none"/>
        </w:rPr>
        <w:t>年</w:t>
      </w:r>
      <w:r>
        <w:rPr>
          <w:rFonts w:ascii="宋体" w:hAnsi="宋体"/>
          <w:color w:val="000000" w:themeColor="text1"/>
          <w:szCs w:val="21"/>
          <w:highlight w:val="none"/>
          <w:u w:val="single"/>
        </w:rPr>
        <w:t xml:space="preserve">     </w:t>
      </w:r>
      <w:r>
        <w:rPr>
          <w:rFonts w:ascii="宋体" w:hAnsi="宋体"/>
          <w:color w:val="000000" w:themeColor="text1"/>
          <w:szCs w:val="21"/>
          <w:highlight w:val="none"/>
        </w:rPr>
        <w:t>月</w:t>
      </w:r>
      <w:r>
        <w:rPr>
          <w:rFonts w:ascii="宋体" w:hAnsi="宋体"/>
          <w:color w:val="000000" w:themeColor="text1"/>
          <w:szCs w:val="21"/>
          <w:highlight w:val="none"/>
          <w:u w:val="single"/>
        </w:rPr>
        <w:t xml:space="preserve">      </w:t>
      </w:r>
      <w:r>
        <w:rPr>
          <w:rFonts w:ascii="宋体" w:hAnsi="宋体"/>
          <w:color w:val="000000" w:themeColor="text1"/>
          <w:szCs w:val="21"/>
          <w:highlight w:val="none"/>
        </w:rPr>
        <w:t>日</w:t>
      </w:r>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Pr>
        <w:pStyle w:val="5"/>
        <w:keepLines w:val="0"/>
        <w:numPr>
          <w:ilvl w:val="0"/>
          <w:numId w:val="0"/>
        </w:numPr>
        <w:tabs>
          <w:tab w:val="left" w:pos="851"/>
        </w:tabs>
        <w:spacing w:before="0" w:after="0" w:line="360" w:lineRule="auto"/>
        <w:rPr>
          <w:rFonts w:ascii="宋体" w:eastAsia="宋体"/>
          <w:color w:val="000000" w:themeColor="text1"/>
          <w:szCs w:val="21"/>
          <w:highlight w:val="none"/>
        </w:rPr>
      </w:pPr>
      <w:bookmarkStart w:id="1951" w:name="_Toc26439"/>
      <w:bookmarkStart w:id="1952" w:name="_Toc32373"/>
      <w:bookmarkStart w:id="1953" w:name="_Toc434832511"/>
      <w:r>
        <w:rPr>
          <w:rFonts w:hint="eastAsia"/>
          <w:color w:val="000000" w:themeColor="text1"/>
          <w:highlight w:val="none"/>
        </w:rPr>
        <w:t>附件八：</w:t>
      </w:r>
      <w:r>
        <w:rPr>
          <w:rFonts w:hint="eastAsia" w:hAnsi="黑体" w:cs="黑体"/>
          <w:color w:val="000000" w:themeColor="text1"/>
          <w:highlight w:val="none"/>
        </w:rPr>
        <w:t>残疾人福利性单位声明函</w:t>
      </w:r>
      <w:bookmarkEnd w:id="1951"/>
      <w:bookmarkEnd w:id="1952"/>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投标人名称（公章）：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pStyle w:val="6"/>
        <w:spacing w:line="360" w:lineRule="auto"/>
        <w:ind w:firstLine="0"/>
        <w:rPr>
          <w:rFonts w:hAnsi="宋体" w:cs="宋体"/>
          <w:color w:val="000000" w:themeColor="text1"/>
          <w:kern w:val="2"/>
          <w:sz w:val="21"/>
          <w:szCs w:val="24"/>
          <w:highlight w:val="none"/>
        </w:rPr>
      </w:pPr>
      <w:r>
        <w:rPr>
          <w:rFonts w:hAnsi="宋体"/>
          <w:color w:val="000000" w:themeColor="text1"/>
          <w:sz w:val="21"/>
          <w:szCs w:val="21"/>
          <w:highlight w:val="none"/>
        </w:rPr>
        <w:t>日期：</w:t>
      </w:r>
      <w:r>
        <w:rPr>
          <w:rFonts w:hAnsi="宋体"/>
          <w:color w:val="000000" w:themeColor="text1"/>
          <w:sz w:val="21"/>
          <w:szCs w:val="21"/>
          <w:highlight w:val="none"/>
          <w:u w:val="single"/>
        </w:rPr>
        <w:t xml:space="preserve">       </w:t>
      </w:r>
      <w:r>
        <w:rPr>
          <w:rFonts w:hAnsi="宋体"/>
          <w:color w:val="000000" w:themeColor="text1"/>
          <w:sz w:val="21"/>
          <w:szCs w:val="21"/>
          <w:highlight w:val="none"/>
        </w:rPr>
        <w:t>年</w:t>
      </w:r>
      <w:r>
        <w:rPr>
          <w:rFonts w:hAnsi="宋体"/>
          <w:color w:val="000000" w:themeColor="text1"/>
          <w:sz w:val="21"/>
          <w:szCs w:val="21"/>
          <w:highlight w:val="none"/>
          <w:u w:val="single"/>
        </w:rPr>
        <w:t xml:space="preserve">     </w:t>
      </w:r>
      <w:r>
        <w:rPr>
          <w:rFonts w:hAnsi="宋体"/>
          <w:color w:val="000000" w:themeColor="text1"/>
          <w:sz w:val="21"/>
          <w:szCs w:val="21"/>
          <w:highlight w:val="none"/>
        </w:rPr>
        <w:t>月</w:t>
      </w:r>
      <w:r>
        <w:rPr>
          <w:rFonts w:hAnsi="宋体"/>
          <w:color w:val="000000" w:themeColor="text1"/>
          <w:sz w:val="21"/>
          <w:szCs w:val="21"/>
          <w:highlight w:val="none"/>
          <w:u w:val="single"/>
        </w:rPr>
        <w:t xml:space="preserve">      </w:t>
      </w:r>
      <w:r>
        <w:rPr>
          <w:rFonts w:hAnsi="宋体"/>
          <w:color w:val="000000" w:themeColor="text1"/>
          <w:sz w:val="21"/>
          <w:szCs w:val="21"/>
          <w:highlight w:val="none"/>
        </w:rPr>
        <w:t>日</w:t>
      </w: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5"/>
        <w:numPr>
          <w:ilvl w:val="1"/>
          <w:numId w:val="0"/>
        </w:numPr>
        <w:spacing w:line="400" w:lineRule="exact"/>
        <w:rPr>
          <w:color w:val="000000" w:themeColor="text1"/>
          <w:highlight w:val="none"/>
        </w:rPr>
      </w:pPr>
      <w:bookmarkStart w:id="1954" w:name="_Toc432695230"/>
      <w:bookmarkStart w:id="1955" w:name="_Toc9858"/>
      <w:bookmarkStart w:id="1956" w:name="_Toc10228"/>
      <w:r>
        <w:rPr>
          <w:rFonts w:hint="eastAsia"/>
          <w:color w:val="000000" w:themeColor="text1"/>
          <w:highlight w:val="none"/>
        </w:rPr>
        <w:t>附件九：中标服务费承诺</w:t>
      </w:r>
      <w:bookmarkEnd w:id="1954"/>
      <w:bookmarkEnd w:id="1955"/>
      <w:bookmarkEnd w:id="1956"/>
    </w:p>
    <w:p>
      <w:pPr>
        <w:spacing w:line="360" w:lineRule="auto"/>
        <w:rPr>
          <w:rFonts w:ascii="宋体" w:hAnsi="宋体"/>
          <w:color w:val="000000" w:themeColor="text1"/>
          <w:highlight w:val="none"/>
        </w:rPr>
      </w:pPr>
      <w:r>
        <w:rPr>
          <w:rFonts w:hint="eastAsia" w:ascii="宋体" w:hAnsi="宋体"/>
          <w:color w:val="000000" w:themeColor="text1"/>
          <w:highlight w:val="none"/>
        </w:rPr>
        <w:t>致</w:t>
      </w:r>
      <w:r>
        <w:rPr>
          <w:rFonts w:hint="eastAsia" w:ascii="宋体" w:hAnsi="宋体"/>
          <w:color w:val="000000" w:themeColor="text1"/>
          <w:highlight w:val="none"/>
          <w:u w:val="single"/>
          <w:lang w:eastAsia="zh-CN"/>
        </w:rPr>
        <w:t>广东业信招标有限公司</w:t>
      </w:r>
      <w:r>
        <w:rPr>
          <w:rFonts w:hint="eastAsia" w:ascii="宋体" w:hAnsi="宋体"/>
          <w:color w:val="000000" w:themeColor="text1"/>
          <w:highlight w:val="none"/>
        </w:rPr>
        <w:t>：</w:t>
      </w:r>
    </w:p>
    <w:p>
      <w:pPr>
        <w:spacing w:line="360" w:lineRule="auto"/>
        <w:rPr>
          <w:rFonts w:ascii="宋体" w:hAnsi="宋体"/>
          <w:color w:val="000000" w:themeColor="text1"/>
          <w:highlight w:val="none"/>
        </w:rPr>
      </w:pP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针对贵方组织的（项目名称：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）招标（项目编号: </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w:t>
      </w: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ascii="宋体" w:hAnsi="宋体"/>
          <w:color w:val="000000" w:themeColor="text1"/>
          <w:highlight w:val="none"/>
        </w:rPr>
        <w:t>，我方承诺：</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rPr>
        <w:t>方</w:t>
      </w:r>
      <w:r>
        <w:rPr>
          <w:rFonts w:hint="eastAsia" w:ascii="宋体" w:hAnsi="宋体"/>
          <w:color w:val="000000" w:themeColor="text1"/>
          <w:highlight w:val="none"/>
        </w:rPr>
        <w:t>有权不予退还我方的投标保证金并重新确定中标结果，</w:t>
      </w:r>
      <w:r>
        <w:rPr>
          <w:rFonts w:hint="eastAsia" w:ascii="宋体"/>
          <w:color w:val="000000" w:themeColor="text1"/>
          <w:highlight w:val="none"/>
        </w:rPr>
        <w:t>我方对此无任何异议。</w:t>
      </w:r>
    </w:p>
    <w:p>
      <w:pPr>
        <w:spacing w:line="440" w:lineRule="exact"/>
        <w:rPr>
          <w:rFonts w:ascii="宋体" w:hAnsi="宋体"/>
          <w:color w:val="000000" w:themeColor="text1"/>
          <w:highlight w:val="none"/>
        </w:rPr>
      </w:pPr>
      <w:r>
        <w:rPr>
          <w:rFonts w:hint="eastAsia" w:ascii="宋体" w:hAnsi="宋体"/>
          <w:color w:val="000000" w:themeColor="text1"/>
          <w:highlight w:val="none"/>
        </w:rPr>
        <w:t xml:space="preserve">     </w:t>
      </w:r>
    </w:p>
    <w:p>
      <w:pPr>
        <w:spacing w:line="440" w:lineRule="exact"/>
        <w:ind w:firstLine="420" w:firstLineChars="200"/>
        <w:rPr>
          <w:rFonts w:ascii="宋体" w:hAns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color w:val="000000" w:themeColor="text1"/>
          <w:highlight w:val="none"/>
        </w:rPr>
        <w:sectPr>
          <w:pgSz w:w="11906" w:h="16838"/>
          <w:pgMar w:top="1474" w:right="1418" w:bottom="1474" w:left="1418" w:header="851" w:footer="851" w:gutter="0"/>
          <w:cols w:space="720" w:num="1"/>
          <w:titlePg/>
          <w:docGrid w:linePitch="312" w:charSpace="0"/>
        </w:sectPr>
      </w:pPr>
    </w:p>
    <w:p>
      <w:pPr>
        <w:pStyle w:val="5"/>
        <w:numPr>
          <w:ilvl w:val="1"/>
          <w:numId w:val="0"/>
        </w:numPr>
        <w:spacing w:line="400" w:lineRule="exact"/>
        <w:rPr>
          <w:color w:val="000000" w:themeColor="text1"/>
          <w:highlight w:val="none"/>
        </w:rPr>
      </w:pPr>
      <w:bookmarkStart w:id="1957" w:name="_Toc326065622"/>
      <w:bookmarkStart w:id="1958" w:name="_Toc365967106"/>
      <w:bookmarkStart w:id="1959" w:name="_Toc339020126"/>
      <w:bookmarkStart w:id="1960" w:name="_Toc340507473"/>
      <w:bookmarkStart w:id="1961" w:name="_Toc339362331"/>
      <w:bookmarkStart w:id="1962" w:name="_Toc342312474"/>
      <w:bookmarkStart w:id="1963" w:name="_Toc365985212"/>
      <w:bookmarkStart w:id="1964" w:name="_Toc342060406"/>
      <w:bookmarkStart w:id="1965" w:name="_Toc337632389"/>
      <w:bookmarkStart w:id="1966" w:name="_Toc333237709"/>
      <w:bookmarkStart w:id="1967" w:name="_Toc332270378"/>
      <w:bookmarkStart w:id="1968" w:name="_Toc331512932"/>
      <w:bookmarkStart w:id="1969" w:name="_Toc333237820"/>
      <w:bookmarkStart w:id="1970" w:name="_Toc336681611"/>
      <w:bookmarkStart w:id="1971" w:name="_Toc339020046"/>
      <w:bookmarkStart w:id="1972" w:name="_Toc336681966"/>
      <w:bookmarkStart w:id="1973" w:name="_Toc339441118"/>
      <w:bookmarkStart w:id="1974" w:name="_Toc333935718"/>
      <w:bookmarkStart w:id="1975" w:name="_Toc331684073"/>
      <w:bookmarkStart w:id="1976" w:name="_Toc343247131"/>
      <w:bookmarkStart w:id="1977" w:name="_Toc3618"/>
      <w:bookmarkStart w:id="1978" w:name="_Toc342296792"/>
      <w:bookmarkStart w:id="1979" w:name="_Toc339020264"/>
      <w:bookmarkStart w:id="1980" w:name="_Toc342398161"/>
      <w:bookmarkStart w:id="1981" w:name="_Toc341348371"/>
      <w:bookmarkStart w:id="1982" w:name="_Toc343248449"/>
      <w:bookmarkStart w:id="1983" w:name="_Toc343612951"/>
      <w:bookmarkStart w:id="1984" w:name="_Toc333935377"/>
      <w:bookmarkStart w:id="1985" w:name="_Toc350438780"/>
      <w:bookmarkStart w:id="1986" w:name="_Toc366072563"/>
      <w:bookmarkStart w:id="1987" w:name="_Toc10463"/>
      <w:bookmarkStart w:id="1988" w:name="_Toc340677101"/>
      <w:bookmarkStart w:id="1989" w:name="_Toc340672900"/>
      <w:bookmarkStart w:id="1990" w:name="_Toc345312628"/>
      <w:bookmarkStart w:id="1991" w:name="_Toc350756481"/>
      <w:bookmarkStart w:id="1992" w:name="_Toc332206740"/>
      <w:bookmarkStart w:id="1993" w:name="_Toc339019920"/>
      <w:bookmarkStart w:id="1994" w:name="_Toc432695231"/>
      <w:bookmarkStart w:id="1995" w:name="_Toc333238665"/>
      <w:bookmarkStart w:id="1996" w:name="_Toc330460017"/>
      <w:r>
        <w:rPr>
          <w:rFonts w:hint="eastAsia"/>
          <w:color w:val="000000" w:themeColor="text1"/>
          <w:highlight w:val="none"/>
        </w:rPr>
        <w:t>附件十：</w:t>
      </w:r>
      <w:bookmarkEnd w:id="1957"/>
      <w:r>
        <w:rPr>
          <w:rFonts w:hint="eastAsia"/>
          <w:color w:val="000000" w:themeColor="text1"/>
          <w:highlight w:val="none"/>
        </w:rPr>
        <w:t>投标人提交的其它商务和技术资料</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adjustRightInd w:val="0"/>
        <w:snapToGrid w:val="0"/>
        <w:spacing w:line="360" w:lineRule="auto"/>
        <w:jc w:val="left"/>
        <w:rPr>
          <w:rFonts w:ascii="宋体" w:hAnsi="宋体"/>
          <w:bCs/>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p>
    <w:p>
      <w:pPr>
        <w:pStyle w:val="6"/>
        <w:spacing w:line="360" w:lineRule="auto"/>
        <w:rPr>
          <w:rFonts w:hAnsi="宋体"/>
          <w:bCs/>
          <w:color w:val="000000" w:themeColor="text1"/>
          <w:sz w:val="21"/>
          <w:highlight w:val="none"/>
        </w:rPr>
      </w:pP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本节无格式要求，投标人可根据自身实际情况以及招标文件评分细则规定的详细评审内容和应当提供的证明材料进行编制。</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一、</w:t>
      </w:r>
      <w:r>
        <w:rPr>
          <w:rFonts w:hAnsi="宋体"/>
          <w:bCs/>
          <w:color w:val="000000" w:themeColor="text1"/>
          <w:sz w:val="21"/>
          <w:highlight w:val="none"/>
        </w:rPr>
        <w:t>...</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二、</w:t>
      </w:r>
      <w:r>
        <w:rPr>
          <w:rFonts w:hAnsi="宋体"/>
          <w:bCs/>
          <w:color w:val="000000" w:themeColor="text1"/>
          <w:sz w:val="21"/>
          <w:highlight w:val="none"/>
        </w:rPr>
        <w:t>...</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三、</w:t>
      </w:r>
      <w:r>
        <w:rPr>
          <w:rFonts w:hAnsi="宋体"/>
          <w:bCs/>
          <w:color w:val="000000" w:themeColor="text1"/>
          <w:sz w:val="21"/>
          <w:highlight w:val="none"/>
        </w:rPr>
        <w:t>...</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四、</w:t>
      </w:r>
      <w:r>
        <w:rPr>
          <w:rFonts w:hAnsi="宋体"/>
          <w:bCs/>
          <w:color w:val="000000" w:themeColor="text1"/>
          <w:sz w:val="21"/>
          <w:highlight w:val="none"/>
        </w:rPr>
        <w:t>...</w:t>
      </w: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6"/>
        <w:spacing w:line="360" w:lineRule="auto"/>
        <w:rPr>
          <w:color w:val="000000" w:themeColor="text1"/>
          <w:highlight w:val="none"/>
        </w:rPr>
      </w:pPr>
    </w:p>
    <w:p>
      <w:pPr>
        <w:adjustRightInd w:val="0"/>
        <w:snapToGrid w:val="0"/>
        <w:spacing w:line="440" w:lineRule="exact"/>
        <w:rPr>
          <w:color w:val="000000" w:themeColor="text1"/>
          <w:highlight w:val="none"/>
        </w:rPr>
      </w:pPr>
      <w:r>
        <w:rPr>
          <w:rFonts w:hint="eastAsia"/>
          <w:color w:val="000000" w:themeColor="text1"/>
          <w:highlight w:val="none"/>
        </w:rPr>
        <w:t>（投标人认为本节无须提交的，应注明“本节空白”字样）。</w:t>
      </w: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ind w:firstLine="0"/>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5"/>
        <w:numPr>
          <w:ilvl w:val="0"/>
          <w:numId w:val="0"/>
        </w:numPr>
        <w:rPr>
          <w:color w:val="000000" w:themeColor="text1"/>
          <w:sz w:val="52"/>
          <w:highlight w:val="none"/>
        </w:rPr>
      </w:pPr>
      <w:bookmarkStart w:id="1997" w:name="_Toc3048"/>
      <w:bookmarkStart w:id="1998" w:name="_Toc456887842"/>
      <w:bookmarkStart w:id="1999" w:name="_Toc456888293"/>
      <w:r>
        <w:rPr>
          <w:rFonts w:hint="eastAsia"/>
          <w:color w:val="000000" w:themeColor="text1"/>
          <w:sz w:val="52"/>
          <w:highlight w:val="none"/>
        </w:rPr>
        <w:t>其 他 格 式</w:t>
      </w:r>
      <w:bookmarkEnd w:id="1953"/>
      <w:bookmarkEnd w:id="1997"/>
      <w:bookmarkEnd w:id="1998"/>
      <w:bookmarkEnd w:id="1999"/>
    </w:p>
    <w:p>
      <w:pPr>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（以下文件勿装订在投标文件内</w:t>
      </w:r>
      <w:r>
        <w:rPr>
          <w:rFonts w:ascii="宋体" w:hAnsi="宋体"/>
          <w:b/>
          <w:color w:val="000000" w:themeColor="text1"/>
          <w:sz w:val="36"/>
          <w:highlight w:val="none"/>
        </w:rPr>
        <w:t>）</w:t>
      </w: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pStyle w:val="7"/>
        <w:numPr>
          <w:ilvl w:val="0"/>
          <w:numId w:val="0"/>
        </w:numPr>
        <w:spacing w:afterLines="50"/>
        <w:jc w:val="center"/>
        <w:rPr>
          <w:rFonts w:ascii="宋体" w:hAnsi="宋体" w:eastAsia="宋体"/>
          <w:b/>
          <w:color w:val="000000" w:themeColor="text1"/>
          <w:sz w:val="28"/>
          <w:highlight w:val="none"/>
        </w:rPr>
      </w:pPr>
      <w:bookmarkStart w:id="2000" w:name="_Toc456887843"/>
      <w:bookmarkStart w:id="2001" w:name="_Toc456888294"/>
      <w:bookmarkStart w:id="2002" w:name="_Toc18135"/>
      <w:r>
        <w:rPr>
          <w:rFonts w:hint="eastAsia" w:ascii="宋体" w:hAnsi="宋体" w:eastAsia="宋体"/>
          <w:b/>
          <w:color w:val="000000" w:themeColor="text1"/>
          <w:sz w:val="28"/>
          <w:highlight w:val="none"/>
        </w:rPr>
        <w:t>投标保证金退付书</w:t>
      </w:r>
      <w:bookmarkEnd w:id="2000"/>
      <w:bookmarkEnd w:id="2001"/>
      <w:bookmarkEnd w:id="2002"/>
    </w:p>
    <w:p>
      <w:pPr>
        <w:pStyle w:val="6"/>
        <w:rPr>
          <w:color w:val="000000" w:themeColor="text1"/>
          <w:highlight w:val="none"/>
        </w:rPr>
      </w:pPr>
    </w:p>
    <w:p>
      <w:pPr>
        <w:spacing w:line="288" w:lineRule="auto"/>
        <w:rPr>
          <w:rFonts w:hint="eastAsia" w:ascii="宋体" w:hAnsi="宋体" w:eastAsia="宋体"/>
          <w:b/>
          <w:color w:val="000000" w:themeColor="text1"/>
          <w:szCs w:val="21"/>
          <w:highlight w:val="none"/>
          <w:lang w:eastAsia="zh-CN"/>
        </w:rPr>
      </w:pPr>
      <w:r>
        <w:rPr>
          <w:rFonts w:hint="eastAsia" w:ascii="宋体" w:hAnsi="宋体"/>
          <w:b/>
          <w:color w:val="000000" w:themeColor="text1"/>
          <w:szCs w:val="21"/>
          <w:highlight w:val="none"/>
        </w:rPr>
        <w:t>致：</w:t>
      </w:r>
      <w:r>
        <w:rPr>
          <w:rFonts w:hint="eastAsia" w:ascii="宋体" w:hAnsi="宋体"/>
          <w:b/>
          <w:color w:val="000000" w:themeColor="text1"/>
          <w:szCs w:val="21"/>
          <w:highlight w:val="none"/>
          <w:lang w:eastAsia="zh-CN"/>
        </w:rPr>
        <w:t>广东业信招标有限公司</w:t>
      </w:r>
    </w:p>
    <w:p>
      <w:pPr>
        <w:spacing w:line="288"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本公司为本项目的投标已提交了足额投标保证金，请贵方在符合退还条件时请代划入下列账户：</w:t>
      </w:r>
    </w:p>
    <w:tbl>
      <w:tblPr>
        <w:tblStyle w:val="4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项目名称</w:t>
            </w:r>
          </w:p>
        </w:tc>
        <w:tc>
          <w:tcPr>
            <w:tcW w:w="6095" w:type="dxa"/>
            <w:gridSpan w:val="3"/>
          </w:tcPr>
          <w:p>
            <w:pPr>
              <w:ind w:right="206" w:rightChars="98"/>
              <w:rPr>
                <w:rStyle w:val="302"/>
                <w:rFonts w:ascii="宋体" w:hAnsi="宋体"/>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项目编号</w:t>
            </w:r>
          </w:p>
        </w:tc>
        <w:tc>
          <w:tcPr>
            <w:tcW w:w="6095" w:type="dxa"/>
            <w:gridSpan w:val="3"/>
          </w:tcPr>
          <w:p>
            <w:pPr>
              <w:ind w:right="206" w:rightChars="98"/>
              <w:rPr>
                <w:rStyle w:val="302"/>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收款单位</w:t>
            </w:r>
          </w:p>
        </w:tc>
        <w:tc>
          <w:tcPr>
            <w:tcW w:w="2836" w:type="dxa"/>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收款单位名称</w:t>
            </w:r>
          </w:p>
        </w:tc>
        <w:tc>
          <w:tcPr>
            <w:tcW w:w="6095" w:type="dxa"/>
            <w:gridSpan w:val="3"/>
          </w:tcPr>
          <w:p>
            <w:pPr>
              <w:ind w:right="206" w:rightChars="98"/>
              <w:jc w:val="center"/>
              <w:rPr>
                <w:rStyle w:val="302"/>
                <w:color w:val="000000" w:themeColor="text1"/>
                <w:spacing w:val="10"/>
                <w:sz w:val="21"/>
                <w:szCs w:val="21"/>
                <w:highlight w:val="none"/>
                <w:u w:val="single"/>
                <w:lang w:val="zh-CN"/>
              </w:rPr>
            </w:pPr>
            <w:r>
              <w:rPr>
                <w:rStyle w:val="302"/>
                <w:color w:val="000000" w:themeColor="text1"/>
                <w:spacing w:val="10"/>
                <w:sz w:val="21"/>
                <w:szCs w:val="21"/>
                <w:highlight w:val="none"/>
                <w:u w:val="single"/>
                <w:lang w:val="zh-CN"/>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收款单位地址</w:t>
            </w:r>
          </w:p>
        </w:tc>
        <w:tc>
          <w:tcPr>
            <w:tcW w:w="6095" w:type="dxa"/>
            <w:gridSpan w:val="3"/>
          </w:tcPr>
          <w:p>
            <w:pPr>
              <w:ind w:right="206" w:rightChars="98"/>
              <w:jc w:val="center"/>
              <w:rPr>
                <w:rStyle w:val="302"/>
                <w:color w:val="000000" w:themeColor="text1"/>
                <w:spacing w:val="10"/>
                <w:sz w:val="21"/>
                <w:szCs w:val="21"/>
                <w:highlight w:val="none"/>
                <w:lang w:val="zh-CN"/>
              </w:rPr>
            </w:pPr>
            <w:r>
              <w:rPr>
                <w:rStyle w:val="302"/>
                <w:color w:val="000000" w:themeColor="text1"/>
                <w:spacing w:val="10"/>
                <w:sz w:val="21"/>
                <w:szCs w:val="21"/>
                <w:highlight w:val="none"/>
                <w:u w:val="single"/>
                <w:lang w:val="zh-CN"/>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开户银行</w:t>
            </w:r>
            <w:r>
              <w:rPr>
                <w:rStyle w:val="302"/>
                <w:color w:val="000000" w:themeColor="text1"/>
                <w:spacing w:val="10"/>
                <w:sz w:val="21"/>
                <w:szCs w:val="21"/>
                <w:highlight w:val="none"/>
                <w:lang w:val="zh-CN"/>
              </w:rPr>
              <w:t>（含汇入地点）</w:t>
            </w:r>
          </w:p>
        </w:tc>
        <w:tc>
          <w:tcPr>
            <w:tcW w:w="6095" w:type="dxa"/>
            <w:gridSpan w:val="3"/>
            <w:vAlign w:val="center"/>
          </w:tcPr>
          <w:p>
            <w:pPr>
              <w:ind w:right="206" w:rightChars="98" w:firstLine="460" w:firstLineChars="200"/>
              <w:rPr>
                <w:rStyle w:val="302"/>
                <w:color w:val="000000" w:themeColor="text1"/>
                <w:spacing w:val="10"/>
                <w:sz w:val="21"/>
                <w:szCs w:val="21"/>
                <w:highlight w:val="none"/>
                <w:lang w:val="zh-CN"/>
              </w:rPr>
            </w:pPr>
            <w:r>
              <w:rPr>
                <w:rStyle w:val="302"/>
                <w:color w:val="000000" w:themeColor="text1"/>
                <w:spacing w:val="10"/>
                <w:sz w:val="21"/>
                <w:szCs w:val="21"/>
                <w:highlight w:val="none"/>
                <w:lang w:val="zh-CN"/>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银行账号</w:t>
            </w:r>
          </w:p>
        </w:tc>
        <w:tc>
          <w:tcPr>
            <w:tcW w:w="6095" w:type="dxa"/>
            <w:gridSpan w:val="3"/>
          </w:tcPr>
          <w:p>
            <w:pPr>
              <w:ind w:right="206" w:rightChars="98"/>
              <w:jc w:val="center"/>
              <w:rPr>
                <w:rStyle w:val="302"/>
                <w:color w:val="000000" w:themeColor="text1"/>
                <w:spacing w:val="10"/>
                <w:sz w:val="21"/>
                <w:szCs w:val="21"/>
                <w:highlight w:val="none"/>
                <w:u w:val="single"/>
                <w:lang w:val="zh-CN"/>
              </w:rPr>
            </w:pPr>
            <w:r>
              <w:rPr>
                <w:rStyle w:val="302"/>
                <w:color w:val="000000" w:themeColor="text1"/>
                <w:spacing w:val="10"/>
                <w:sz w:val="21"/>
                <w:szCs w:val="21"/>
                <w:highlight w:val="none"/>
                <w:u w:val="single"/>
                <w:lang w:val="zh-CN"/>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总金额（投标保证金）</w:t>
            </w:r>
          </w:p>
        </w:tc>
        <w:tc>
          <w:tcPr>
            <w:tcW w:w="6095" w:type="dxa"/>
            <w:gridSpan w:val="3"/>
            <w:vAlign w:val="center"/>
          </w:tcPr>
          <w:p>
            <w:pPr>
              <w:ind w:right="206" w:rightChars="98"/>
              <w:jc w:val="center"/>
              <w:rPr>
                <w:rStyle w:val="302"/>
                <w:color w:val="000000" w:themeColor="text1"/>
                <w:spacing w:val="10"/>
                <w:sz w:val="21"/>
                <w:szCs w:val="21"/>
                <w:highlight w:val="none"/>
                <w:lang w:val="zh-CN"/>
              </w:rPr>
            </w:pPr>
            <w:r>
              <w:rPr>
                <w:color w:val="000000" w:themeColor="text1"/>
                <w:szCs w:val="21"/>
                <w:highlight w:val="none"/>
                <w:shd w:val="clear" w:color="auto" w:fill="FFFFFF"/>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Merge w:val="restart"/>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财务联系人</w:t>
            </w:r>
          </w:p>
        </w:tc>
        <w:tc>
          <w:tcPr>
            <w:tcW w:w="1498" w:type="dxa"/>
            <w:vMerge w:val="restart"/>
            <w:vAlign w:val="center"/>
          </w:tcPr>
          <w:p>
            <w:pPr>
              <w:ind w:right="206" w:rightChars="98"/>
              <w:rPr>
                <w:rStyle w:val="302"/>
                <w:color w:val="000000" w:themeColor="text1"/>
                <w:spacing w:val="10"/>
                <w:sz w:val="21"/>
                <w:szCs w:val="21"/>
                <w:highlight w:val="none"/>
                <w:lang w:val="zh-CN"/>
              </w:rPr>
            </w:pPr>
          </w:p>
        </w:tc>
        <w:tc>
          <w:tcPr>
            <w:tcW w:w="1481" w:type="dxa"/>
            <w:vAlign w:val="center"/>
          </w:tcPr>
          <w:p>
            <w:pPr>
              <w:ind w:right="206" w:rightChars="98"/>
              <w:jc w:val="center"/>
              <w:rPr>
                <w:rStyle w:val="302"/>
                <w:color w:val="000000" w:themeColor="text1"/>
                <w:spacing w:val="10"/>
                <w:sz w:val="21"/>
                <w:szCs w:val="21"/>
                <w:highlight w:val="none"/>
                <w:lang w:val="zh-CN"/>
              </w:rPr>
            </w:pPr>
            <w:r>
              <w:rPr>
                <w:rStyle w:val="302"/>
                <w:color w:val="000000" w:themeColor="text1"/>
                <w:spacing w:val="10"/>
                <w:sz w:val="21"/>
                <w:szCs w:val="21"/>
                <w:highlight w:val="none"/>
                <w:lang w:val="zh-CN"/>
              </w:rPr>
              <w:t>联系电话</w:t>
            </w:r>
          </w:p>
        </w:tc>
        <w:tc>
          <w:tcPr>
            <w:tcW w:w="3116" w:type="dxa"/>
            <w:vAlign w:val="center"/>
          </w:tcPr>
          <w:p>
            <w:pPr>
              <w:ind w:right="206" w:rightChars="98"/>
              <w:rPr>
                <w:rStyle w:val="302"/>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Merge w:val="continue"/>
          </w:tcPr>
          <w:p>
            <w:pPr>
              <w:ind w:right="206" w:rightChars="98"/>
              <w:jc w:val="center"/>
              <w:rPr>
                <w:rStyle w:val="302"/>
                <w:b/>
                <w:color w:val="000000" w:themeColor="text1"/>
                <w:spacing w:val="10"/>
                <w:sz w:val="21"/>
                <w:szCs w:val="21"/>
                <w:highlight w:val="none"/>
                <w:lang w:val="zh-CN"/>
              </w:rPr>
            </w:pPr>
          </w:p>
        </w:tc>
        <w:tc>
          <w:tcPr>
            <w:tcW w:w="1498" w:type="dxa"/>
            <w:vMerge w:val="continue"/>
            <w:vAlign w:val="center"/>
          </w:tcPr>
          <w:p>
            <w:pPr>
              <w:ind w:right="206" w:rightChars="98"/>
              <w:rPr>
                <w:rStyle w:val="302"/>
                <w:color w:val="000000" w:themeColor="text1"/>
                <w:spacing w:val="10"/>
                <w:sz w:val="21"/>
                <w:szCs w:val="21"/>
                <w:highlight w:val="none"/>
                <w:lang w:val="zh-CN"/>
              </w:rPr>
            </w:pPr>
          </w:p>
        </w:tc>
        <w:tc>
          <w:tcPr>
            <w:tcW w:w="1481" w:type="dxa"/>
            <w:vAlign w:val="center"/>
          </w:tcPr>
          <w:p>
            <w:pPr>
              <w:ind w:right="206" w:rightChars="98"/>
              <w:jc w:val="center"/>
              <w:rPr>
                <w:rStyle w:val="302"/>
                <w:color w:val="000000" w:themeColor="text1"/>
                <w:spacing w:val="10"/>
                <w:sz w:val="21"/>
                <w:szCs w:val="21"/>
                <w:highlight w:val="none"/>
                <w:lang w:val="zh-CN"/>
              </w:rPr>
            </w:pPr>
            <w:r>
              <w:rPr>
                <w:rStyle w:val="302"/>
                <w:color w:val="000000" w:themeColor="text1"/>
                <w:spacing w:val="10"/>
                <w:sz w:val="21"/>
                <w:szCs w:val="21"/>
                <w:highlight w:val="none"/>
                <w:lang w:val="zh-CN"/>
              </w:rPr>
              <w:t>传真</w:t>
            </w:r>
          </w:p>
        </w:tc>
        <w:tc>
          <w:tcPr>
            <w:tcW w:w="3116" w:type="dxa"/>
            <w:vAlign w:val="center"/>
          </w:tcPr>
          <w:p>
            <w:pPr>
              <w:ind w:right="206" w:rightChars="98"/>
              <w:rPr>
                <w:rStyle w:val="302"/>
                <w:color w:val="000000" w:themeColor="text1"/>
                <w:spacing w:val="10"/>
                <w:sz w:val="21"/>
                <w:szCs w:val="21"/>
                <w:highlight w:val="none"/>
                <w:lang w:val="zh-CN"/>
              </w:rPr>
            </w:pPr>
          </w:p>
        </w:tc>
      </w:tr>
    </w:tbl>
    <w:p>
      <w:pPr>
        <w:rPr>
          <w:rFonts w:ascii="宋体" w:hAnsi="宋体"/>
          <w:color w:val="000000" w:themeColor="text1"/>
          <w:szCs w:val="21"/>
          <w:highlight w:val="none"/>
        </w:rPr>
      </w:pPr>
      <w:r>
        <w:rPr>
          <w:rFonts w:hint="eastAsia" w:ascii="宋体" w:hAnsi="宋体"/>
          <w:color w:val="000000" w:themeColor="text1"/>
          <w:szCs w:val="21"/>
          <w:highlight w:val="none"/>
        </w:rPr>
        <w:t>注：保证金退还账户必须为对公账户。</w:t>
      </w:r>
    </w:p>
    <w:tbl>
      <w:tblPr>
        <w:tblStyle w:val="46"/>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shd w:val="clear" w:color="auto" w:fill="auto"/>
            <w:vAlign w:val="center"/>
          </w:tcPr>
          <w:p>
            <w:pPr>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投标保证金银行汇款单复印件</w:t>
            </w:r>
          </w:p>
          <w:p>
            <w:pPr>
              <w:jc w:val="center"/>
              <w:rPr>
                <w:rFonts w:ascii="宋体" w:hAnsi="宋体"/>
                <w:b/>
                <w:color w:val="000000" w:themeColor="text1"/>
                <w:szCs w:val="21"/>
                <w:highlight w:val="none"/>
              </w:rPr>
            </w:pPr>
            <w:r>
              <w:rPr>
                <w:rFonts w:hint="eastAsia" w:ascii="宋体" w:hAnsi="宋体"/>
                <w:b/>
                <w:color w:val="000000" w:themeColor="text1"/>
                <w:szCs w:val="21"/>
                <w:highlight w:val="none"/>
              </w:rPr>
              <w:t>（请投标投标人在此处贴上）</w:t>
            </w:r>
          </w:p>
        </w:tc>
      </w:tr>
    </w:tbl>
    <w:p>
      <w:pPr>
        <w:rPr>
          <w:rFonts w:ascii="宋体" w:hAnsi="宋体"/>
          <w:color w:val="000000" w:themeColor="text1"/>
          <w:szCs w:val="2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rFonts w:ascii="宋体" w:hAnsi="宋体"/>
          <w:b/>
          <w:color w:val="000000" w:themeColor="text1"/>
          <w:szCs w:val="21"/>
          <w:highlight w:val="none"/>
        </w:rPr>
      </w:pPr>
      <w:r>
        <w:rPr>
          <w:rFonts w:hint="eastAsia" w:ascii="宋体" w:hAnsi="宋体"/>
          <w:b/>
          <w:color w:val="000000" w:themeColor="text1"/>
          <w:szCs w:val="21"/>
          <w:highlight w:val="none"/>
        </w:rPr>
        <w:t>注：本退付书须放入唱标信封内，勿装订在投标文件内。</w:t>
      </w:r>
    </w:p>
    <w:p>
      <w:pPr>
        <w:rPr>
          <w:rFonts w:ascii="宋体" w:hAnsi="宋体"/>
          <w:b/>
          <w:color w:val="000000" w:themeColor="text1"/>
          <w:szCs w:val="21"/>
          <w:highlight w:val="none"/>
        </w:rPr>
      </w:pPr>
    </w:p>
    <w:p>
      <w:pPr>
        <w:jc w:val="center"/>
        <w:rPr>
          <w:rFonts w:hint="eastAsia"/>
          <w:b/>
          <w:bCs/>
          <w:color w:val="000000" w:themeColor="text1"/>
          <w:szCs w:val="21"/>
          <w:highlight w:val="none"/>
        </w:rPr>
      </w:pP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2395"/>
        <w:gridCol w:w="1917"/>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项目名称</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招标编号</w:t>
            </w:r>
          </w:p>
        </w:tc>
        <w:tc>
          <w:tcPr>
            <w:tcW w:w="2395" w:type="dxa"/>
          </w:tcPr>
          <w:p>
            <w:pPr>
              <w:rPr>
                <w:color w:val="000000" w:themeColor="text1"/>
                <w:sz w:val="28"/>
                <w:szCs w:val="28"/>
                <w:highlight w:val="none"/>
              </w:rPr>
            </w:pPr>
          </w:p>
        </w:tc>
        <w:tc>
          <w:tcPr>
            <w:tcW w:w="1917" w:type="dxa"/>
            <w:vAlign w:val="center"/>
          </w:tcPr>
          <w:p>
            <w:pPr>
              <w:jc w:val="center"/>
              <w:rPr>
                <w:color w:val="000000" w:themeColor="text1"/>
                <w:sz w:val="28"/>
                <w:szCs w:val="28"/>
                <w:highlight w:val="none"/>
              </w:rPr>
            </w:pPr>
            <w:r>
              <w:rPr>
                <w:rFonts w:hint="eastAsia"/>
                <w:color w:val="000000" w:themeColor="text1"/>
                <w:sz w:val="28"/>
                <w:szCs w:val="28"/>
                <w:highlight w:val="none"/>
              </w:rPr>
              <w:t>包组号</w:t>
            </w:r>
          </w:p>
        </w:tc>
        <w:tc>
          <w:tcPr>
            <w:tcW w:w="2463" w:type="dxa"/>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购买时间</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地址</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电话</w:t>
            </w:r>
          </w:p>
        </w:tc>
        <w:tc>
          <w:tcPr>
            <w:tcW w:w="2395" w:type="dxa"/>
          </w:tcPr>
          <w:p>
            <w:pPr>
              <w:rPr>
                <w:color w:val="000000" w:themeColor="text1"/>
                <w:sz w:val="28"/>
                <w:szCs w:val="28"/>
                <w:highlight w:val="none"/>
              </w:rPr>
            </w:pPr>
          </w:p>
        </w:tc>
        <w:tc>
          <w:tcPr>
            <w:tcW w:w="1917" w:type="dxa"/>
            <w:vAlign w:val="center"/>
          </w:tcPr>
          <w:p>
            <w:pPr>
              <w:jc w:val="center"/>
              <w:rPr>
                <w:color w:val="000000" w:themeColor="text1"/>
                <w:sz w:val="28"/>
                <w:szCs w:val="28"/>
                <w:highlight w:val="none"/>
              </w:rPr>
            </w:pPr>
            <w:r>
              <w:rPr>
                <w:rFonts w:hint="eastAsia"/>
                <w:color w:val="000000" w:themeColor="text1"/>
                <w:sz w:val="28"/>
                <w:szCs w:val="28"/>
                <w:highlight w:val="none"/>
              </w:rPr>
              <w:t>传真</w:t>
            </w:r>
          </w:p>
        </w:tc>
        <w:tc>
          <w:tcPr>
            <w:tcW w:w="2463" w:type="dxa"/>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联系人</w:t>
            </w:r>
          </w:p>
        </w:tc>
        <w:tc>
          <w:tcPr>
            <w:tcW w:w="2395" w:type="dxa"/>
          </w:tcPr>
          <w:p>
            <w:pPr>
              <w:rPr>
                <w:color w:val="000000" w:themeColor="text1"/>
                <w:sz w:val="28"/>
                <w:szCs w:val="28"/>
                <w:highlight w:val="none"/>
              </w:rPr>
            </w:pPr>
          </w:p>
        </w:tc>
        <w:tc>
          <w:tcPr>
            <w:tcW w:w="1917" w:type="dxa"/>
            <w:vAlign w:val="center"/>
          </w:tcPr>
          <w:p>
            <w:pPr>
              <w:jc w:val="center"/>
              <w:rPr>
                <w:color w:val="000000" w:themeColor="text1"/>
                <w:sz w:val="28"/>
                <w:szCs w:val="28"/>
                <w:highlight w:val="none"/>
              </w:rPr>
            </w:pPr>
            <w:r>
              <w:rPr>
                <w:rFonts w:hint="eastAsia"/>
                <w:color w:val="000000" w:themeColor="text1"/>
                <w:sz w:val="28"/>
                <w:szCs w:val="28"/>
                <w:highlight w:val="none"/>
              </w:rPr>
              <w:t>手机</w:t>
            </w:r>
          </w:p>
        </w:tc>
        <w:tc>
          <w:tcPr>
            <w:tcW w:w="2463" w:type="dxa"/>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职务</w:t>
            </w:r>
          </w:p>
        </w:tc>
        <w:tc>
          <w:tcPr>
            <w:tcW w:w="2395" w:type="dxa"/>
          </w:tcPr>
          <w:p>
            <w:pPr>
              <w:rPr>
                <w:color w:val="000000" w:themeColor="text1"/>
                <w:sz w:val="28"/>
                <w:szCs w:val="28"/>
                <w:highlight w:val="none"/>
              </w:rPr>
            </w:pPr>
          </w:p>
        </w:tc>
        <w:tc>
          <w:tcPr>
            <w:tcW w:w="1917" w:type="dxa"/>
            <w:vAlign w:val="center"/>
          </w:tcPr>
          <w:p>
            <w:pPr>
              <w:jc w:val="center"/>
              <w:rPr>
                <w:color w:val="000000" w:themeColor="text1"/>
                <w:sz w:val="28"/>
                <w:szCs w:val="28"/>
                <w:highlight w:val="none"/>
              </w:rPr>
            </w:pPr>
            <w:r>
              <w:rPr>
                <w:rFonts w:hint="eastAsia"/>
                <w:color w:val="000000" w:themeColor="text1"/>
                <w:sz w:val="28"/>
                <w:szCs w:val="28"/>
                <w:highlight w:val="none"/>
              </w:rPr>
              <w:t>电子邮件</w:t>
            </w:r>
          </w:p>
        </w:tc>
        <w:tc>
          <w:tcPr>
            <w:tcW w:w="2463" w:type="dxa"/>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拟投设备</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制造厂商</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经营范围</w:t>
            </w:r>
          </w:p>
        </w:tc>
        <w:tc>
          <w:tcPr>
            <w:tcW w:w="6775" w:type="dxa"/>
            <w:gridSpan w:val="3"/>
          </w:tcPr>
          <w:p>
            <w:pPr>
              <w:rPr>
                <w:color w:val="000000" w:themeColor="text1"/>
                <w:sz w:val="28"/>
                <w:szCs w:val="28"/>
                <w:highlight w:val="none"/>
              </w:rPr>
            </w:pPr>
          </w:p>
        </w:tc>
      </w:tr>
    </w:tbl>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询问函、质疑函格式</w:t>
      </w:r>
    </w:p>
    <w:p>
      <w:pPr>
        <w:pStyle w:val="42"/>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42"/>
        <w:snapToGrid w:val="0"/>
        <w:spacing w:before="0" w:beforeAutospacing="0" w:after="0" w:afterAutospacing="0" w:line="360" w:lineRule="auto"/>
        <w:jc w:val="both"/>
        <w:rPr>
          <w:color w:val="000000" w:themeColor="text1"/>
          <w:szCs w:val="21"/>
          <w:highlight w:val="none"/>
        </w:rPr>
      </w:pPr>
    </w:p>
    <w:p>
      <w:pPr>
        <w:pStyle w:val="42"/>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42"/>
        <w:spacing w:before="0" w:beforeAutospacing="0" w:after="0" w:afterAutospacing="0" w:line="360" w:lineRule="auto"/>
        <w:jc w:val="center"/>
        <w:rPr>
          <w:rStyle w:val="48"/>
          <w:rFonts w:cs="Times New Roman"/>
          <w:color w:val="000000" w:themeColor="text1"/>
          <w:highlight w:val="none"/>
        </w:rPr>
      </w:pPr>
      <w:r>
        <w:rPr>
          <w:rStyle w:val="48"/>
          <w:rFonts w:hint="eastAsia" w:cs="Times New Roman"/>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lang w:eastAsia="zh-CN"/>
        </w:rPr>
        <w:t>广东业信招标有限公司</w:t>
      </w: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42"/>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42"/>
        <w:spacing w:before="0" w:beforeAutospacing="0" w:after="0" w:afterAutospacing="0" w:line="360" w:lineRule="auto"/>
        <w:jc w:val="center"/>
        <w:rPr>
          <w:rStyle w:val="48"/>
          <w:rFonts w:cs="Times New Roman"/>
          <w:color w:val="000000" w:themeColor="text1"/>
          <w:highlight w:val="none"/>
        </w:rPr>
      </w:pPr>
      <w:r>
        <w:rPr>
          <w:rStyle w:val="48"/>
          <w:rFonts w:hint="eastAsia" w:cs="Times New Roman"/>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snapToGrid w:val="0"/>
        <w:spacing w:line="360" w:lineRule="auto"/>
        <w:ind w:right="960"/>
        <w:rPr>
          <w:rFonts w:ascii="宋体" w:hAnsi="宋体"/>
          <w:color w:val="000000" w:themeColor="text1"/>
          <w:sz w:val="24"/>
          <w:highlight w:val="none"/>
        </w:rPr>
      </w:pPr>
    </w:p>
    <w:p>
      <w:pPr>
        <w:spacing w:line="360" w:lineRule="auto"/>
        <w:jc w:val="left"/>
        <w:rPr>
          <w:rFonts w:ascii="仿宋_GB2312" w:hAnsi="仿宋" w:eastAsia="仿宋_GB2312"/>
          <w:color w:val="000000" w:themeColor="text1"/>
          <w:sz w:val="24"/>
          <w:highlight w:val="none"/>
        </w:rPr>
      </w:pPr>
    </w:p>
    <w:p>
      <w:pPr>
        <w:rPr>
          <w:rFonts w:ascii="宋体" w:hAnsi="宋体"/>
          <w:b/>
          <w:color w:val="000000" w:themeColor="text1"/>
          <w:szCs w:val="21"/>
          <w:highlight w:val="none"/>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OMBFXO+Univers-Light">
    <w:altName w:val="宋体"/>
    <w:panose1 w:val="00000000000000000000"/>
    <w:charset w:val="86"/>
    <w:family w:val="swiss"/>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46</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AD372"/>
    <w:multiLevelType w:val="singleLevel"/>
    <w:tmpl w:val="9BBAD372"/>
    <w:lvl w:ilvl="0" w:tentative="0">
      <w:start w:val="1"/>
      <w:numFmt w:val="decimal"/>
      <w:lvlText w:val="%1."/>
      <w:lvlJc w:val="left"/>
      <w:pPr>
        <w:ind w:left="425" w:hanging="425"/>
      </w:pPr>
      <w:rPr>
        <w:rFonts w:hint="default"/>
      </w:rPr>
    </w:lvl>
  </w:abstractNum>
  <w:abstractNum w:abstractNumId="1">
    <w:nsid w:val="AB31DD7B"/>
    <w:multiLevelType w:val="singleLevel"/>
    <w:tmpl w:val="AB31DD7B"/>
    <w:lvl w:ilvl="0" w:tentative="0">
      <w:start w:val="3"/>
      <w:numFmt w:val="decimal"/>
      <w:suff w:val="nothing"/>
      <w:lvlText w:val="%1、"/>
      <w:lvlJc w:val="left"/>
    </w:lvl>
  </w:abstractNum>
  <w:abstractNum w:abstractNumId="2">
    <w:nsid w:val="B19E681B"/>
    <w:multiLevelType w:val="singleLevel"/>
    <w:tmpl w:val="B19E681B"/>
    <w:lvl w:ilvl="0" w:tentative="0">
      <w:start w:val="1"/>
      <w:numFmt w:val="decimal"/>
      <w:lvlText w:val="%1."/>
      <w:lvlJc w:val="left"/>
      <w:pPr>
        <w:ind w:left="425" w:hanging="425"/>
      </w:pPr>
      <w:rPr>
        <w:rFonts w:hint="default"/>
      </w:rPr>
    </w:lvl>
  </w:abstractNum>
  <w:abstractNum w:abstractNumId="3">
    <w:nsid w:val="00000003"/>
    <w:multiLevelType w:val="multilevel"/>
    <w:tmpl w:val="00000003"/>
    <w:lvl w:ilvl="0" w:tentative="0">
      <w:start w:val="1"/>
      <w:numFmt w:val="decimal"/>
      <w:pStyle w:val="297"/>
      <w:lvlText w:val="%1. "/>
      <w:lvlJc w:val="left"/>
      <w:pPr>
        <w:tabs>
          <w:tab w:val="left" w:pos="981"/>
        </w:tabs>
        <w:ind w:left="981" w:hanging="419"/>
      </w:pPr>
    </w:lvl>
    <w:lvl w:ilvl="1" w:tentative="0">
      <w:start w:val="1"/>
      <w:numFmt w:val="upperLetter"/>
      <w:pStyle w:val="286"/>
      <w:lvlText w:val="%2. "/>
      <w:lvlJc w:val="left"/>
      <w:pPr>
        <w:tabs>
          <w:tab w:val="left" w:pos="1191"/>
        </w:tabs>
        <w:ind w:left="1191" w:hanging="420"/>
      </w:pPr>
    </w:lvl>
    <w:lvl w:ilvl="2" w:tentative="0">
      <w:start w:val="1"/>
      <w:numFmt w:val="lowerLetter"/>
      <w:pStyle w:val="295"/>
      <w:lvlText w:val="%3. "/>
      <w:lvlJc w:val="left"/>
      <w:pPr>
        <w:tabs>
          <w:tab w:val="left" w:pos="1401"/>
        </w:tabs>
        <w:ind w:left="1401" w:hanging="420"/>
      </w:pPr>
    </w:lvl>
    <w:lvl w:ilvl="3" w:tentative="0">
      <w:start w:val="1"/>
      <w:numFmt w:val="lowerLetter"/>
      <w:pStyle w:val="153"/>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4">
    <w:nsid w:val="00000008"/>
    <w:multiLevelType w:val="multilevel"/>
    <w:tmpl w:val="00000008"/>
    <w:lvl w:ilvl="0" w:tentative="0">
      <w:start w:val="1"/>
      <w:numFmt w:val="decimal"/>
      <w:pStyle w:val="26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6">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87"/>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7">
    <w:nsid w:val="0000000F"/>
    <w:multiLevelType w:val="multilevel"/>
    <w:tmpl w:val="0000000F"/>
    <w:lvl w:ilvl="0" w:tentative="0">
      <w:start w:val="1"/>
      <w:numFmt w:val="bullet"/>
      <w:pStyle w:val="162"/>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2"/>
    <w:multiLevelType w:val="singleLevel"/>
    <w:tmpl w:val="00000012"/>
    <w:lvl w:ilvl="0" w:tentative="0">
      <w:start w:val="1"/>
      <w:numFmt w:val="decimal"/>
      <w:pStyle w:val="275"/>
      <w:lvlText w:val="%1."/>
      <w:lvlJc w:val="left"/>
      <w:pPr>
        <w:tabs>
          <w:tab w:val="left" w:pos="1200"/>
        </w:tabs>
        <w:ind w:left="1200" w:hanging="360"/>
      </w:pPr>
    </w:lvl>
  </w:abstractNum>
  <w:abstractNum w:abstractNumId="9">
    <w:nsid w:val="00000014"/>
    <w:multiLevelType w:val="singleLevel"/>
    <w:tmpl w:val="00000014"/>
    <w:lvl w:ilvl="0" w:tentative="0">
      <w:start w:val="1"/>
      <w:numFmt w:val="decimal"/>
      <w:pStyle w:val="211"/>
      <w:lvlText w:val="%1."/>
      <w:lvlJc w:val="left"/>
      <w:pPr>
        <w:tabs>
          <w:tab w:val="left" w:pos="1620"/>
        </w:tabs>
        <w:ind w:left="1620" w:hanging="360"/>
      </w:pPr>
    </w:lvl>
  </w:abstractNum>
  <w:abstractNum w:abstractNumId="10">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singleLevel"/>
    <w:tmpl w:val="00000017"/>
    <w:lvl w:ilvl="0" w:tentative="0">
      <w:start w:val="1"/>
      <w:numFmt w:val="bullet"/>
      <w:pStyle w:val="261"/>
      <w:lvlText w:val=""/>
      <w:lvlJc w:val="left"/>
      <w:pPr>
        <w:tabs>
          <w:tab w:val="left" w:pos="360"/>
        </w:tabs>
        <w:ind w:left="360" w:hanging="360"/>
      </w:pPr>
      <w:rPr>
        <w:rFonts w:hint="default" w:ascii="Wingdings" w:hAnsi="Wingdings"/>
      </w:rPr>
    </w:lvl>
  </w:abstractNum>
  <w:abstractNum w:abstractNumId="12">
    <w:nsid w:val="00000018"/>
    <w:multiLevelType w:val="multilevel"/>
    <w:tmpl w:val="00000018"/>
    <w:lvl w:ilvl="0" w:tentative="0">
      <w:start w:val="2"/>
      <w:numFmt w:val="decimal"/>
      <w:pStyle w:val="256"/>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77"/>
      <w:suff w:val="space"/>
      <w:lvlText w:val="%1.%2.%3"/>
      <w:lvlJc w:val="left"/>
      <w:pPr>
        <w:tabs>
          <w:tab w:val="left" w:pos="1418"/>
        </w:tabs>
        <w:ind w:left="0" w:firstLine="0"/>
      </w:pPr>
    </w:lvl>
    <w:lvl w:ilvl="3" w:tentative="0">
      <w:start w:val="1"/>
      <w:numFmt w:val="decimal"/>
      <w:pStyle w:val="294"/>
      <w:suff w:val="space"/>
      <w:lvlText w:val="%1.%2.%3.%4"/>
      <w:lvlJc w:val="left"/>
      <w:pPr>
        <w:tabs>
          <w:tab w:val="left" w:pos="1984"/>
        </w:tabs>
        <w:ind w:left="0" w:firstLine="0"/>
      </w:pPr>
    </w:lvl>
    <w:lvl w:ilvl="4" w:tentative="0">
      <w:start w:val="1"/>
      <w:numFmt w:val="decimal"/>
      <w:pStyle w:val="290"/>
      <w:suff w:val="space"/>
      <w:lvlText w:val="%1.%2.%3.%4.%5"/>
      <w:lvlJc w:val="left"/>
      <w:pPr>
        <w:tabs>
          <w:tab w:val="left" w:pos="2551"/>
        </w:tabs>
        <w:ind w:left="0" w:firstLine="0"/>
      </w:pPr>
    </w:lvl>
    <w:lvl w:ilvl="5" w:tentative="0">
      <w:start w:val="1"/>
      <w:numFmt w:val="decimal"/>
      <w:pStyle w:val="194"/>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0000001C"/>
    <w:multiLevelType w:val="singleLevel"/>
    <w:tmpl w:val="0000001C"/>
    <w:lvl w:ilvl="0" w:tentative="0">
      <w:start w:val="1"/>
      <w:numFmt w:val="decimal"/>
      <w:pStyle w:val="26"/>
      <w:lvlText w:val="%1."/>
      <w:lvlJc w:val="left"/>
      <w:pPr>
        <w:tabs>
          <w:tab w:val="left" w:pos="425"/>
        </w:tabs>
        <w:ind w:left="425" w:hanging="425"/>
      </w:pPr>
      <w:rPr>
        <w:rFonts w:hint="eastAsia"/>
      </w:rPr>
    </w:lvl>
  </w:abstractNum>
  <w:abstractNum w:abstractNumId="15">
    <w:nsid w:val="0000001D"/>
    <w:multiLevelType w:val="multilevel"/>
    <w:tmpl w:val="0000001D"/>
    <w:lvl w:ilvl="0" w:tentative="0">
      <w:start w:val="1"/>
      <w:numFmt w:val="decimal"/>
      <w:pStyle w:val="196"/>
      <w:lvlText w:val="%1)"/>
      <w:lvlJc w:val="left"/>
      <w:pPr>
        <w:tabs>
          <w:tab w:val="left" w:pos="420"/>
        </w:tabs>
        <w:ind w:left="420" w:hanging="420"/>
      </w:pPr>
    </w:lvl>
    <w:lvl w:ilvl="1" w:tentative="0">
      <w:start w:val="1"/>
      <w:numFmt w:val="lowerLetter"/>
      <w:pStyle w:val="121"/>
      <w:lvlText w:val="%2)"/>
      <w:lvlJc w:val="left"/>
      <w:pPr>
        <w:tabs>
          <w:tab w:val="left" w:pos="840"/>
        </w:tabs>
        <w:ind w:left="840" w:hanging="420"/>
      </w:pPr>
    </w:lvl>
    <w:lvl w:ilvl="2" w:tentative="0">
      <w:start w:val="1"/>
      <w:numFmt w:val="lowerRoman"/>
      <w:pStyle w:val="120"/>
      <w:lvlText w:val="%3."/>
      <w:lvlJc w:val="right"/>
      <w:pPr>
        <w:tabs>
          <w:tab w:val="left" w:pos="1260"/>
        </w:tabs>
        <w:ind w:left="1260" w:hanging="420"/>
      </w:pPr>
    </w:lvl>
    <w:lvl w:ilvl="3" w:tentative="0">
      <w:start w:val="1"/>
      <w:numFmt w:val="decimal"/>
      <w:pStyle w:val="185"/>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2"/>
    <w:multiLevelType w:val="singleLevel"/>
    <w:tmpl w:val="00000022"/>
    <w:lvl w:ilvl="0" w:tentative="0">
      <w:start w:val="1"/>
      <w:numFmt w:val="decimal"/>
      <w:pStyle w:val="266"/>
      <w:lvlText w:val="%1."/>
      <w:lvlJc w:val="left"/>
      <w:pPr>
        <w:tabs>
          <w:tab w:val="left" w:pos="1145"/>
        </w:tabs>
        <w:ind w:left="902" w:hanging="477"/>
      </w:pPr>
      <w:rPr>
        <w:rFonts w:hint="eastAsia"/>
      </w:rPr>
    </w:lvl>
  </w:abstractNum>
  <w:abstractNum w:abstractNumId="18">
    <w:nsid w:val="00000024"/>
    <w:multiLevelType w:val="singleLevel"/>
    <w:tmpl w:val="00000024"/>
    <w:lvl w:ilvl="0" w:tentative="0">
      <w:start w:val="1"/>
      <w:numFmt w:val="bullet"/>
      <w:pStyle w:val="20"/>
      <w:lvlText w:val=""/>
      <w:lvlJc w:val="left"/>
      <w:pPr>
        <w:tabs>
          <w:tab w:val="left" w:pos="780"/>
        </w:tabs>
        <w:ind w:left="780" w:hanging="360"/>
      </w:pPr>
      <w:rPr>
        <w:rFonts w:hint="default" w:ascii="Wingdings" w:hAnsi="Wingdings"/>
      </w:rPr>
    </w:lvl>
  </w:abstractNum>
  <w:abstractNum w:abstractNumId="19">
    <w:nsid w:val="00000025"/>
    <w:multiLevelType w:val="multilevel"/>
    <w:tmpl w:val="00000025"/>
    <w:lvl w:ilvl="0" w:tentative="0">
      <w:start w:val="1"/>
      <w:numFmt w:val="decimal"/>
      <w:pStyle w:val="21"/>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0">
    <w:nsid w:val="00000026"/>
    <w:multiLevelType w:val="singleLevel"/>
    <w:tmpl w:val="00000026"/>
    <w:lvl w:ilvl="0" w:tentative="0">
      <w:start w:val="1"/>
      <w:numFmt w:val="decimal"/>
      <w:pStyle w:val="239"/>
      <w:lvlText w:val="%1."/>
      <w:lvlJc w:val="left"/>
      <w:pPr>
        <w:tabs>
          <w:tab w:val="left" w:pos="360"/>
        </w:tabs>
        <w:ind w:left="360" w:hanging="360"/>
      </w:pPr>
    </w:lvl>
  </w:abstractNum>
  <w:abstractNum w:abstractNumId="21">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2">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4">
    <w:nsid w:val="0000002B"/>
    <w:multiLevelType w:val="multilevel"/>
    <w:tmpl w:val="0000002B"/>
    <w:lvl w:ilvl="0" w:tentative="0">
      <w:start w:val="1"/>
      <w:numFmt w:val="upperRoman"/>
      <w:pStyle w:val="4"/>
      <w:lvlText w:val="第 %1 条"/>
      <w:lvlJc w:val="left"/>
      <w:pPr>
        <w:tabs>
          <w:tab w:val="left" w:pos="1440"/>
        </w:tabs>
        <w:ind w:left="0" w:firstLine="0"/>
      </w:pPr>
    </w:lvl>
    <w:lvl w:ilvl="1" w:tentative="0">
      <w:start w:val="1"/>
      <w:numFmt w:val="decimalZero"/>
      <w:pStyle w:val="5"/>
      <w:isLgl/>
      <w:lvlText w:val="节 %1.%2"/>
      <w:lvlJc w:val="left"/>
      <w:pPr>
        <w:tabs>
          <w:tab w:val="left" w:pos="720"/>
        </w:tabs>
        <w:ind w:left="0" w:firstLine="0"/>
      </w:pPr>
      <w:rPr>
        <w:lang w:val="en-US"/>
      </w:rPr>
    </w:lvl>
    <w:lvl w:ilvl="2" w:tentative="0">
      <w:start w:val="1"/>
      <w:numFmt w:val="lowerLetter"/>
      <w:pStyle w:val="7"/>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5">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87"/>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0"/>
    <w:multiLevelType w:val="singleLevel"/>
    <w:tmpl w:val="00000030"/>
    <w:lvl w:ilvl="0" w:tentative="0">
      <w:start w:val="1"/>
      <w:numFmt w:val="decimal"/>
      <w:pStyle w:val="247"/>
      <w:lvlText w:val="%1."/>
      <w:lvlJc w:val="left"/>
      <w:pPr>
        <w:tabs>
          <w:tab w:val="left" w:pos="2040"/>
        </w:tabs>
        <w:ind w:left="2040" w:hanging="360"/>
      </w:pPr>
    </w:lvl>
  </w:abstractNum>
  <w:abstractNum w:abstractNumId="27">
    <w:nsid w:val="00000032"/>
    <w:multiLevelType w:val="singleLevel"/>
    <w:tmpl w:val="00000032"/>
    <w:lvl w:ilvl="0" w:tentative="0">
      <w:start w:val="1"/>
      <w:numFmt w:val="bullet"/>
      <w:pStyle w:val="230"/>
      <w:lvlText w:val=""/>
      <w:lvlJc w:val="left"/>
      <w:pPr>
        <w:tabs>
          <w:tab w:val="left" w:pos="2040"/>
        </w:tabs>
        <w:ind w:left="2040" w:hanging="360"/>
      </w:pPr>
      <w:rPr>
        <w:rFonts w:hint="default" w:ascii="Wingdings" w:hAnsi="Wingdings"/>
      </w:rPr>
    </w:lvl>
  </w:abstractNum>
  <w:abstractNum w:abstractNumId="28">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34"/>
    <w:multiLevelType w:val="multilevel"/>
    <w:tmpl w:val="00000034"/>
    <w:lvl w:ilvl="0" w:tentative="0">
      <w:start w:val="1"/>
      <w:numFmt w:val="decimal"/>
      <w:pStyle w:val="137"/>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30">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28FCD01"/>
    <w:multiLevelType w:val="singleLevel"/>
    <w:tmpl w:val="328FCD01"/>
    <w:lvl w:ilvl="0" w:tentative="0">
      <w:start w:val="1"/>
      <w:numFmt w:val="decimal"/>
      <w:suff w:val="space"/>
      <w:lvlText w:val="%1、"/>
      <w:lvlJc w:val="left"/>
      <w:pPr>
        <w:ind w:left="105" w:leftChars="0" w:firstLine="0" w:firstLineChars="0"/>
      </w:pPr>
    </w:lvl>
  </w:abstractNum>
  <w:abstractNum w:abstractNumId="33">
    <w:nsid w:val="42CD84B7"/>
    <w:multiLevelType w:val="singleLevel"/>
    <w:tmpl w:val="42CD84B7"/>
    <w:lvl w:ilvl="0" w:tentative="0">
      <w:start w:val="1"/>
      <w:numFmt w:val="decimal"/>
      <w:lvlText w:val="%1."/>
      <w:lvlJc w:val="left"/>
      <w:pPr>
        <w:ind w:left="425" w:hanging="425"/>
      </w:pPr>
      <w:rPr>
        <w:rFonts w:hint="default"/>
      </w:rPr>
    </w:lvl>
  </w:abstractNum>
  <w:abstractNum w:abstractNumId="34">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num w:numId="1">
    <w:abstractNumId w:val="24"/>
  </w:num>
  <w:num w:numId="2">
    <w:abstractNumId w:val="18"/>
  </w:num>
  <w:num w:numId="3">
    <w:abstractNumId w:val="19"/>
  </w:num>
  <w:num w:numId="4">
    <w:abstractNumId w:val="14"/>
  </w:num>
  <w:num w:numId="5">
    <w:abstractNumId w:val="15"/>
  </w:num>
  <w:num w:numId="6">
    <w:abstractNumId w:val="29"/>
  </w:num>
  <w:num w:numId="7">
    <w:abstractNumId w:val="3"/>
  </w:num>
  <w:num w:numId="8">
    <w:abstractNumId w:val="7"/>
  </w:num>
  <w:num w:numId="9">
    <w:abstractNumId w:val="25"/>
  </w:num>
  <w:num w:numId="10">
    <w:abstractNumId w:val="13"/>
  </w:num>
  <w:num w:numId="11">
    <w:abstractNumId w:val="9"/>
  </w:num>
  <w:num w:numId="12">
    <w:abstractNumId w:val="27"/>
  </w:num>
  <w:num w:numId="13">
    <w:abstractNumId w:val="20"/>
  </w:num>
  <w:num w:numId="14">
    <w:abstractNumId w:val="26"/>
  </w:num>
  <w:num w:numId="15">
    <w:abstractNumId w:val="12"/>
  </w:num>
  <w:num w:numId="16">
    <w:abstractNumId w:val="11"/>
  </w:num>
  <w:num w:numId="17">
    <w:abstractNumId w:val="17"/>
  </w:num>
  <w:num w:numId="18">
    <w:abstractNumId w:val="4"/>
  </w:num>
  <w:num w:numId="19">
    <w:abstractNumId w:val="8"/>
  </w:num>
  <w:num w:numId="20">
    <w:abstractNumId w:val="6"/>
  </w:num>
  <w:num w:numId="21">
    <w:abstractNumId w:val="3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
  </w:num>
  <w:num w:numId="25">
    <w:abstractNumId w:val="16"/>
  </w:num>
  <w:num w:numId="26">
    <w:abstractNumId w:val="21"/>
  </w:num>
  <w:num w:numId="27">
    <w:abstractNumId w:val="22"/>
  </w:num>
  <w:num w:numId="28">
    <w:abstractNumId w:val="5"/>
  </w:num>
  <w:num w:numId="29">
    <w:abstractNumId w:val="10"/>
  </w:num>
  <w:num w:numId="30">
    <w:abstractNumId w:val="23"/>
    <w:lvlOverride w:ilvl="0">
      <w:startOverride w:val="1"/>
    </w:lvlOverride>
  </w:num>
  <w:num w:numId="31">
    <w:abstractNumId w:val="32"/>
  </w:num>
  <w:num w:numId="32">
    <w:abstractNumId w:val="2"/>
  </w:num>
  <w:num w:numId="33">
    <w:abstractNumId w:val="0"/>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0"/>
  <w:drawingGridHorizontalSpacing w:val="97"/>
  <w:drawingGridVerticalSpacing w:val="19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B05"/>
    <w:rsid w:val="000052D9"/>
    <w:rsid w:val="00015360"/>
    <w:rsid w:val="000223F0"/>
    <w:rsid w:val="0002770C"/>
    <w:rsid w:val="000368F5"/>
    <w:rsid w:val="00041189"/>
    <w:rsid w:val="00046854"/>
    <w:rsid w:val="00047340"/>
    <w:rsid w:val="00066033"/>
    <w:rsid w:val="00067AC4"/>
    <w:rsid w:val="00067ECB"/>
    <w:rsid w:val="000743D3"/>
    <w:rsid w:val="0007641A"/>
    <w:rsid w:val="00080179"/>
    <w:rsid w:val="000938C9"/>
    <w:rsid w:val="000978EF"/>
    <w:rsid w:val="000A039F"/>
    <w:rsid w:val="000A0A09"/>
    <w:rsid w:val="000B0241"/>
    <w:rsid w:val="000B2EEF"/>
    <w:rsid w:val="000C0ABB"/>
    <w:rsid w:val="000C67C1"/>
    <w:rsid w:val="000C7A8F"/>
    <w:rsid w:val="000D294B"/>
    <w:rsid w:val="000D49EF"/>
    <w:rsid w:val="000D749E"/>
    <w:rsid w:val="000E708A"/>
    <w:rsid w:val="000F0496"/>
    <w:rsid w:val="000F12BD"/>
    <w:rsid w:val="000F1462"/>
    <w:rsid w:val="000F4863"/>
    <w:rsid w:val="000F6CB2"/>
    <w:rsid w:val="00103331"/>
    <w:rsid w:val="00103D8A"/>
    <w:rsid w:val="00104DF4"/>
    <w:rsid w:val="001132A7"/>
    <w:rsid w:val="00131274"/>
    <w:rsid w:val="00136F13"/>
    <w:rsid w:val="00141126"/>
    <w:rsid w:val="001415F8"/>
    <w:rsid w:val="0014238E"/>
    <w:rsid w:val="00142879"/>
    <w:rsid w:val="00144654"/>
    <w:rsid w:val="001455C2"/>
    <w:rsid w:val="00152A42"/>
    <w:rsid w:val="00152A51"/>
    <w:rsid w:val="00157B21"/>
    <w:rsid w:val="001678A2"/>
    <w:rsid w:val="001719FB"/>
    <w:rsid w:val="00172A27"/>
    <w:rsid w:val="00172D89"/>
    <w:rsid w:val="00173C4A"/>
    <w:rsid w:val="00175262"/>
    <w:rsid w:val="00180723"/>
    <w:rsid w:val="00185B40"/>
    <w:rsid w:val="00196CF5"/>
    <w:rsid w:val="001A009C"/>
    <w:rsid w:val="001A1320"/>
    <w:rsid w:val="001A1E62"/>
    <w:rsid w:val="001A2B19"/>
    <w:rsid w:val="001A6B52"/>
    <w:rsid w:val="001B3B29"/>
    <w:rsid w:val="001C21FC"/>
    <w:rsid w:val="001C7913"/>
    <w:rsid w:val="001D1A9E"/>
    <w:rsid w:val="001D1EDD"/>
    <w:rsid w:val="001E62E6"/>
    <w:rsid w:val="001E6CB4"/>
    <w:rsid w:val="001F1984"/>
    <w:rsid w:val="001F45DA"/>
    <w:rsid w:val="001F7AA4"/>
    <w:rsid w:val="00200D1A"/>
    <w:rsid w:val="002174DD"/>
    <w:rsid w:val="00222E14"/>
    <w:rsid w:val="00224528"/>
    <w:rsid w:val="00231E86"/>
    <w:rsid w:val="00233B0A"/>
    <w:rsid w:val="002343C6"/>
    <w:rsid w:val="00236DF1"/>
    <w:rsid w:val="002371B9"/>
    <w:rsid w:val="00241309"/>
    <w:rsid w:val="00244BC6"/>
    <w:rsid w:val="00254EF1"/>
    <w:rsid w:val="0026429E"/>
    <w:rsid w:val="002653A2"/>
    <w:rsid w:val="002728EB"/>
    <w:rsid w:val="002736C2"/>
    <w:rsid w:val="00283FCA"/>
    <w:rsid w:val="0029220B"/>
    <w:rsid w:val="00292350"/>
    <w:rsid w:val="0029515B"/>
    <w:rsid w:val="00296186"/>
    <w:rsid w:val="00296876"/>
    <w:rsid w:val="002A3338"/>
    <w:rsid w:val="002A7806"/>
    <w:rsid w:val="002B17A9"/>
    <w:rsid w:val="002B2330"/>
    <w:rsid w:val="002B3328"/>
    <w:rsid w:val="002C148C"/>
    <w:rsid w:val="002C3110"/>
    <w:rsid w:val="002C6F4E"/>
    <w:rsid w:val="002C793B"/>
    <w:rsid w:val="002D2534"/>
    <w:rsid w:val="002D2A19"/>
    <w:rsid w:val="002D6028"/>
    <w:rsid w:val="002E37F9"/>
    <w:rsid w:val="002E46CC"/>
    <w:rsid w:val="002E657F"/>
    <w:rsid w:val="002F06C5"/>
    <w:rsid w:val="002F28AD"/>
    <w:rsid w:val="002F3501"/>
    <w:rsid w:val="003075DB"/>
    <w:rsid w:val="00316F55"/>
    <w:rsid w:val="00317779"/>
    <w:rsid w:val="00323287"/>
    <w:rsid w:val="00323D30"/>
    <w:rsid w:val="00332364"/>
    <w:rsid w:val="003343EF"/>
    <w:rsid w:val="00341B62"/>
    <w:rsid w:val="00341B88"/>
    <w:rsid w:val="003447DD"/>
    <w:rsid w:val="00345D3F"/>
    <w:rsid w:val="00350832"/>
    <w:rsid w:val="00350F28"/>
    <w:rsid w:val="00352DD1"/>
    <w:rsid w:val="0035636F"/>
    <w:rsid w:val="0035749B"/>
    <w:rsid w:val="00357A26"/>
    <w:rsid w:val="00360D70"/>
    <w:rsid w:val="0036653C"/>
    <w:rsid w:val="00367278"/>
    <w:rsid w:val="00367BFA"/>
    <w:rsid w:val="00371E5B"/>
    <w:rsid w:val="00373328"/>
    <w:rsid w:val="00374404"/>
    <w:rsid w:val="00375BD3"/>
    <w:rsid w:val="003829D1"/>
    <w:rsid w:val="00382B28"/>
    <w:rsid w:val="003836E2"/>
    <w:rsid w:val="00385884"/>
    <w:rsid w:val="00385997"/>
    <w:rsid w:val="00386C66"/>
    <w:rsid w:val="003A09AC"/>
    <w:rsid w:val="003A1636"/>
    <w:rsid w:val="003B10A8"/>
    <w:rsid w:val="003B6B67"/>
    <w:rsid w:val="003B7D06"/>
    <w:rsid w:val="003C049F"/>
    <w:rsid w:val="003C7C33"/>
    <w:rsid w:val="003D1CD9"/>
    <w:rsid w:val="003D231E"/>
    <w:rsid w:val="003E18ED"/>
    <w:rsid w:val="003E1FEE"/>
    <w:rsid w:val="003E3C12"/>
    <w:rsid w:val="003E7C44"/>
    <w:rsid w:val="003F259F"/>
    <w:rsid w:val="004011D2"/>
    <w:rsid w:val="004042CA"/>
    <w:rsid w:val="0041199C"/>
    <w:rsid w:val="00415FCB"/>
    <w:rsid w:val="00416146"/>
    <w:rsid w:val="00421DC0"/>
    <w:rsid w:val="00422A83"/>
    <w:rsid w:val="00424808"/>
    <w:rsid w:val="00426D6B"/>
    <w:rsid w:val="004347BA"/>
    <w:rsid w:val="004359A2"/>
    <w:rsid w:val="00435A0F"/>
    <w:rsid w:val="0043657C"/>
    <w:rsid w:val="00437DA4"/>
    <w:rsid w:val="00451871"/>
    <w:rsid w:val="0047226C"/>
    <w:rsid w:val="0048094A"/>
    <w:rsid w:val="00482FBA"/>
    <w:rsid w:val="004836B1"/>
    <w:rsid w:val="00484719"/>
    <w:rsid w:val="00487D39"/>
    <w:rsid w:val="00494327"/>
    <w:rsid w:val="00496389"/>
    <w:rsid w:val="004965F4"/>
    <w:rsid w:val="004A0E7E"/>
    <w:rsid w:val="004B1B71"/>
    <w:rsid w:val="004B305E"/>
    <w:rsid w:val="004B6CC7"/>
    <w:rsid w:val="004C3399"/>
    <w:rsid w:val="004C5D32"/>
    <w:rsid w:val="004C74B7"/>
    <w:rsid w:val="004D16D1"/>
    <w:rsid w:val="004D4D85"/>
    <w:rsid w:val="004E12D5"/>
    <w:rsid w:val="004E1F63"/>
    <w:rsid w:val="004E414B"/>
    <w:rsid w:val="004E4917"/>
    <w:rsid w:val="004F0573"/>
    <w:rsid w:val="004F63D2"/>
    <w:rsid w:val="004F6568"/>
    <w:rsid w:val="00505CA0"/>
    <w:rsid w:val="00506686"/>
    <w:rsid w:val="005112E7"/>
    <w:rsid w:val="00512CF4"/>
    <w:rsid w:val="00514E9F"/>
    <w:rsid w:val="005153DA"/>
    <w:rsid w:val="00517966"/>
    <w:rsid w:val="00520174"/>
    <w:rsid w:val="00521A28"/>
    <w:rsid w:val="0053176A"/>
    <w:rsid w:val="005326B0"/>
    <w:rsid w:val="00533ACA"/>
    <w:rsid w:val="005406F9"/>
    <w:rsid w:val="005413FC"/>
    <w:rsid w:val="00541771"/>
    <w:rsid w:val="005423D7"/>
    <w:rsid w:val="00543E27"/>
    <w:rsid w:val="005565E6"/>
    <w:rsid w:val="0056107E"/>
    <w:rsid w:val="005634D4"/>
    <w:rsid w:val="00567BFA"/>
    <w:rsid w:val="00571B49"/>
    <w:rsid w:val="00572009"/>
    <w:rsid w:val="00576292"/>
    <w:rsid w:val="00582643"/>
    <w:rsid w:val="00584E4C"/>
    <w:rsid w:val="0058718C"/>
    <w:rsid w:val="0059219B"/>
    <w:rsid w:val="00592864"/>
    <w:rsid w:val="005956A3"/>
    <w:rsid w:val="0059669C"/>
    <w:rsid w:val="005A12D2"/>
    <w:rsid w:val="005B10EB"/>
    <w:rsid w:val="005B47C6"/>
    <w:rsid w:val="005B6392"/>
    <w:rsid w:val="005C67D9"/>
    <w:rsid w:val="005C77EA"/>
    <w:rsid w:val="005D1F87"/>
    <w:rsid w:val="005D3EE6"/>
    <w:rsid w:val="005D5525"/>
    <w:rsid w:val="005D585E"/>
    <w:rsid w:val="005D6181"/>
    <w:rsid w:val="005E4D21"/>
    <w:rsid w:val="005F1C16"/>
    <w:rsid w:val="00603A24"/>
    <w:rsid w:val="00606A11"/>
    <w:rsid w:val="00607456"/>
    <w:rsid w:val="0060796A"/>
    <w:rsid w:val="00611F0D"/>
    <w:rsid w:val="00622068"/>
    <w:rsid w:val="006230AF"/>
    <w:rsid w:val="00623A72"/>
    <w:rsid w:val="00626828"/>
    <w:rsid w:val="006309F1"/>
    <w:rsid w:val="0063398F"/>
    <w:rsid w:val="006369F9"/>
    <w:rsid w:val="006427AB"/>
    <w:rsid w:val="00644DE2"/>
    <w:rsid w:val="006477FE"/>
    <w:rsid w:val="00651D5E"/>
    <w:rsid w:val="00653301"/>
    <w:rsid w:val="006557BE"/>
    <w:rsid w:val="006616AA"/>
    <w:rsid w:val="00661E8F"/>
    <w:rsid w:val="00663C2F"/>
    <w:rsid w:val="00683071"/>
    <w:rsid w:val="00685513"/>
    <w:rsid w:val="00686280"/>
    <w:rsid w:val="00691E83"/>
    <w:rsid w:val="00696638"/>
    <w:rsid w:val="00696BD4"/>
    <w:rsid w:val="006A4AAC"/>
    <w:rsid w:val="006A6C76"/>
    <w:rsid w:val="006B276B"/>
    <w:rsid w:val="006D13B7"/>
    <w:rsid w:val="006D2E99"/>
    <w:rsid w:val="006D5BC4"/>
    <w:rsid w:val="006D6A1F"/>
    <w:rsid w:val="006D7FDA"/>
    <w:rsid w:val="006E4E46"/>
    <w:rsid w:val="006E7B66"/>
    <w:rsid w:val="006F278F"/>
    <w:rsid w:val="006F598C"/>
    <w:rsid w:val="007009DE"/>
    <w:rsid w:val="00701B68"/>
    <w:rsid w:val="00701C47"/>
    <w:rsid w:val="00704A4B"/>
    <w:rsid w:val="00705106"/>
    <w:rsid w:val="0070651B"/>
    <w:rsid w:val="007112D2"/>
    <w:rsid w:val="007277BB"/>
    <w:rsid w:val="007334F3"/>
    <w:rsid w:val="00742F10"/>
    <w:rsid w:val="00743123"/>
    <w:rsid w:val="0074368D"/>
    <w:rsid w:val="007534DA"/>
    <w:rsid w:val="00760C58"/>
    <w:rsid w:val="007616C8"/>
    <w:rsid w:val="00765755"/>
    <w:rsid w:val="007762BC"/>
    <w:rsid w:val="00776512"/>
    <w:rsid w:val="007805ED"/>
    <w:rsid w:val="0078080D"/>
    <w:rsid w:val="00781579"/>
    <w:rsid w:val="007840D5"/>
    <w:rsid w:val="007852AD"/>
    <w:rsid w:val="00796079"/>
    <w:rsid w:val="007A593B"/>
    <w:rsid w:val="007B3412"/>
    <w:rsid w:val="007B3C7E"/>
    <w:rsid w:val="007B401E"/>
    <w:rsid w:val="007B6C3A"/>
    <w:rsid w:val="007C3209"/>
    <w:rsid w:val="007C342F"/>
    <w:rsid w:val="007C4127"/>
    <w:rsid w:val="007C506E"/>
    <w:rsid w:val="007D2A76"/>
    <w:rsid w:val="007E0552"/>
    <w:rsid w:val="007E37A6"/>
    <w:rsid w:val="007E5DBF"/>
    <w:rsid w:val="007E731F"/>
    <w:rsid w:val="007F2FA3"/>
    <w:rsid w:val="007F7113"/>
    <w:rsid w:val="008063D7"/>
    <w:rsid w:val="008108DD"/>
    <w:rsid w:val="00811DC4"/>
    <w:rsid w:val="008173F0"/>
    <w:rsid w:val="00821322"/>
    <w:rsid w:val="00826B98"/>
    <w:rsid w:val="00826D1E"/>
    <w:rsid w:val="00840885"/>
    <w:rsid w:val="008420E8"/>
    <w:rsid w:val="00842424"/>
    <w:rsid w:val="00842A15"/>
    <w:rsid w:val="00843128"/>
    <w:rsid w:val="00852562"/>
    <w:rsid w:val="00856B28"/>
    <w:rsid w:val="00857026"/>
    <w:rsid w:val="008608E8"/>
    <w:rsid w:val="00865F63"/>
    <w:rsid w:val="008665B6"/>
    <w:rsid w:val="0087060A"/>
    <w:rsid w:val="00871866"/>
    <w:rsid w:val="00871E97"/>
    <w:rsid w:val="00872215"/>
    <w:rsid w:val="008770AD"/>
    <w:rsid w:val="0088740E"/>
    <w:rsid w:val="008926C4"/>
    <w:rsid w:val="00892AB1"/>
    <w:rsid w:val="00892C34"/>
    <w:rsid w:val="0089429B"/>
    <w:rsid w:val="00896241"/>
    <w:rsid w:val="008975DC"/>
    <w:rsid w:val="008A198B"/>
    <w:rsid w:val="008A4F10"/>
    <w:rsid w:val="008C44FE"/>
    <w:rsid w:val="008D7042"/>
    <w:rsid w:val="008E028B"/>
    <w:rsid w:val="008E1F1E"/>
    <w:rsid w:val="008E344E"/>
    <w:rsid w:val="008E733F"/>
    <w:rsid w:val="008E781B"/>
    <w:rsid w:val="008F7D8C"/>
    <w:rsid w:val="0090353C"/>
    <w:rsid w:val="00904496"/>
    <w:rsid w:val="00905E02"/>
    <w:rsid w:val="00910B9E"/>
    <w:rsid w:val="00913500"/>
    <w:rsid w:val="0091538C"/>
    <w:rsid w:val="00916B13"/>
    <w:rsid w:val="00920F50"/>
    <w:rsid w:val="00924BFF"/>
    <w:rsid w:val="0092635B"/>
    <w:rsid w:val="00932175"/>
    <w:rsid w:val="00932ADF"/>
    <w:rsid w:val="0093391D"/>
    <w:rsid w:val="00934149"/>
    <w:rsid w:val="00934E62"/>
    <w:rsid w:val="0093503D"/>
    <w:rsid w:val="00941379"/>
    <w:rsid w:val="00941AF6"/>
    <w:rsid w:val="00960DDC"/>
    <w:rsid w:val="00963924"/>
    <w:rsid w:val="00963F4E"/>
    <w:rsid w:val="00971ED1"/>
    <w:rsid w:val="0097401D"/>
    <w:rsid w:val="00974DD4"/>
    <w:rsid w:val="009758F8"/>
    <w:rsid w:val="009862A2"/>
    <w:rsid w:val="00987787"/>
    <w:rsid w:val="00990A54"/>
    <w:rsid w:val="009A3074"/>
    <w:rsid w:val="009A3AC1"/>
    <w:rsid w:val="009A40C8"/>
    <w:rsid w:val="009A6C70"/>
    <w:rsid w:val="009A6DA2"/>
    <w:rsid w:val="009A733A"/>
    <w:rsid w:val="009B5CE8"/>
    <w:rsid w:val="009C26B5"/>
    <w:rsid w:val="009C7061"/>
    <w:rsid w:val="009D07D0"/>
    <w:rsid w:val="009D4DCB"/>
    <w:rsid w:val="009D58BB"/>
    <w:rsid w:val="009D72CA"/>
    <w:rsid w:val="009E3455"/>
    <w:rsid w:val="009E5931"/>
    <w:rsid w:val="009F4A9B"/>
    <w:rsid w:val="009F5024"/>
    <w:rsid w:val="009F7E7C"/>
    <w:rsid w:val="00A04822"/>
    <w:rsid w:val="00A10A80"/>
    <w:rsid w:val="00A1433B"/>
    <w:rsid w:val="00A14E5F"/>
    <w:rsid w:val="00A362FE"/>
    <w:rsid w:val="00A450BF"/>
    <w:rsid w:val="00A55C04"/>
    <w:rsid w:val="00A571F4"/>
    <w:rsid w:val="00A61440"/>
    <w:rsid w:val="00A61555"/>
    <w:rsid w:val="00A65DBC"/>
    <w:rsid w:val="00A81720"/>
    <w:rsid w:val="00A84947"/>
    <w:rsid w:val="00A86E67"/>
    <w:rsid w:val="00A90445"/>
    <w:rsid w:val="00A91AF4"/>
    <w:rsid w:val="00A93906"/>
    <w:rsid w:val="00A94BF5"/>
    <w:rsid w:val="00A979AD"/>
    <w:rsid w:val="00AA3188"/>
    <w:rsid w:val="00AA62B8"/>
    <w:rsid w:val="00AB1675"/>
    <w:rsid w:val="00AB1BDF"/>
    <w:rsid w:val="00AB40D1"/>
    <w:rsid w:val="00AB4104"/>
    <w:rsid w:val="00AB712E"/>
    <w:rsid w:val="00AB7303"/>
    <w:rsid w:val="00AC1FD0"/>
    <w:rsid w:val="00AC3DD5"/>
    <w:rsid w:val="00AC4F7B"/>
    <w:rsid w:val="00AC6ABD"/>
    <w:rsid w:val="00AC77E0"/>
    <w:rsid w:val="00AD4407"/>
    <w:rsid w:val="00AD4FF9"/>
    <w:rsid w:val="00AD6124"/>
    <w:rsid w:val="00AE048E"/>
    <w:rsid w:val="00AE131C"/>
    <w:rsid w:val="00AE3E84"/>
    <w:rsid w:val="00AE44E9"/>
    <w:rsid w:val="00AF174B"/>
    <w:rsid w:val="00AF6340"/>
    <w:rsid w:val="00B010F3"/>
    <w:rsid w:val="00B03C5D"/>
    <w:rsid w:val="00B05C9C"/>
    <w:rsid w:val="00B07504"/>
    <w:rsid w:val="00B13B7B"/>
    <w:rsid w:val="00B14F17"/>
    <w:rsid w:val="00B1662A"/>
    <w:rsid w:val="00B17ACB"/>
    <w:rsid w:val="00B2038A"/>
    <w:rsid w:val="00B329D0"/>
    <w:rsid w:val="00B347B5"/>
    <w:rsid w:val="00B3509C"/>
    <w:rsid w:val="00B3648E"/>
    <w:rsid w:val="00B44FC6"/>
    <w:rsid w:val="00B5001E"/>
    <w:rsid w:val="00B53058"/>
    <w:rsid w:val="00B5601A"/>
    <w:rsid w:val="00B6304D"/>
    <w:rsid w:val="00B634E9"/>
    <w:rsid w:val="00B64917"/>
    <w:rsid w:val="00B9576C"/>
    <w:rsid w:val="00BA10AD"/>
    <w:rsid w:val="00BA358E"/>
    <w:rsid w:val="00BA4468"/>
    <w:rsid w:val="00BA70C3"/>
    <w:rsid w:val="00BA78AA"/>
    <w:rsid w:val="00BA7B80"/>
    <w:rsid w:val="00BB505F"/>
    <w:rsid w:val="00BD058C"/>
    <w:rsid w:val="00BD17DD"/>
    <w:rsid w:val="00BD2E36"/>
    <w:rsid w:val="00BE4262"/>
    <w:rsid w:val="00BF4067"/>
    <w:rsid w:val="00C01D79"/>
    <w:rsid w:val="00C03239"/>
    <w:rsid w:val="00C03E3A"/>
    <w:rsid w:val="00C13B2E"/>
    <w:rsid w:val="00C16BE4"/>
    <w:rsid w:val="00C26386"/>
    <w:rsid w:val="00C30B61"/>
    <w:rsid w:val="00C346FA"/>
    <w:rsid w:val="00C34D29"/>
    <w:rsid w:val="00C446E8"/>
    <w:rsid w:val="00C45C09"/>
    <w:rsid w:val="00C51AFD"/>
    <w:rsid w:val="00C57265"/>
    <w:rsid w:val="00C644AA"/>
    <w:rsid w:val="00C70B26"/>
    <w:rsid w:val="00C71BDC"/>
    <w:rsid w:val="00C873F0"/>
    <w:rsid w:val="00C87A57"/>
    <w:rsid w:val="00C91933"/>
    <w:rsid w:val="00CA2782"/>
    <w:rsid w:val="00CA7EA6"/>
    <w:rsid w:val="00CB1335"/>
    <w:rsid w:val="00CB6107"/>
    <w:rsid w:val="00CB6B9B"/>
    <w:rsid w:val="00CB765F"/>
    <w:rsid w:val="00CC00F8"/>
    <w:rsid w:val="00CC3B44"/>
    <w:rsid w:val="00CC5500"/>
    <w:rsid w:val="00CC6994"/>
    <w:rsid w:val="00CD39BA"/>
    <w:rsid w:val="00CD5BBC"/>
    <w:rsid w:val="00CD64D0"/>
    <w:rsid w:val="00CE29BD"/>
    <w:rsid w:val="00CF0750"/>
    <w:rsid w:val="00CF2979"/>
    <w:rsid w:val="00CF2A91"/>
    <w:rsid w:val="00CF388E"/>
    <w:rsid w:val="00D00088"/>
    <w:rsid w:val="00D025BA"/>
    <w:rsid w:val="00D076BF"/>
    <w:rsid w:val="00D11334"/>
    <w:rsid w:val="00D12BA6"/>
    <w:rsid w:val="00D15826"/>
    <w:rsid w:val="00D23BE9"/>
    <w:rsid w:val="00D25EB6"/>
    <w:rsid w:val="00D306E6"/>
    <w:rsid w:val="00D41911"/>
    <w:rsid w:val="00D464C0"/>
    <w:rsid w:val="00D50233"/>
    <w:rsid w:val="00D51E1A"/>
    <w:rsid w:val="00D523B9"/>
    <w:rsid w:val="00D56FBD"/>
    <w:rsid w:val="00D57417"/>
    <w:rsid w:val="00D63028"/>
    <w:rsid w:val="00D7671C"/>
    <w:rsid w:val="00D81A9D"/>
    <w:rsid w:val="00D833B5"/>
    <w:rsid w:val="00D85061"/>
    <w:rsid w:val="00D91652"/>
    <w:rsid w:val="00D92C21"/>
    <w:rsid w:val="00D94904"/>
    <w:rsid w:val="00DA46AF"/>
    <w:rsid w:val="00DA59A2"/>
    <w:rsid w:val="00DA6AF9"/>
    <w:rsid w:val="00DB268C"/>
    <w:rsid w:val="00DC46E1"/>
    <w:rsid w:val="00DC5DD2"/>
    <w:rsid w:val="00DD0756"/>
    <w:rsid w:val="00DD0ADD"/>
    <w:rsid w:val="00DE37C6"/>
    <w:rsid w:val="00DE3DDA"/>
    <w:rsid w:val="00DE5542"/>
    <w:rsid w:val="00DF04C4"/>
    <w:rsid w:val="00DF3603"/>
    <w:rsid w:val="00DF3F8C"/>
    <w:rsid w:val="00DF5377"/>
    <w:rsid w:val="00E00FAF"/>
    <w:rsid w:val="00E0363F"/>
    <w:rsid w:val="00E05092"/>
    <w:rsid w:val="00E1053C"/>
    <w:rsid w:val="00E13351"/>
    <w:rsid w:val="00E1681B"/>
    <w:rsid w:val="00E176CC"/>
    <w:rsid w:val="00E22D6A"/>
    <w:rsid w:val="00E24879"/>
    <w:rsid w:val="00E3672B"/>
    <w:rsid w:val="00E375B5"/>
    <w:rsid w:val="00E43DD3"/>
    <w:rsid w:val="00E61739"/>
    <w:rsid w:val="00E83804"/>
    <w:rsid w:val="00E86F3B"/>
    <w:rsid w:val="00E876D3"/>
    <w:rsid w:val="00E93F00"/>
    <w:rsid w:val="00EA275D"/>
    <w:rsid w:val="00EA534D"/>
    <w:rsid w:val="00EB045C"/>
    <w:rsid w:val="00EB0E49"/>
    <w:rsid w:val="00EB7CE5"/>
    <w:rsid w:val="00EC5210"/>
    <w:rsid w:val="00ED1E0E"/>
    <w:rsid w:val="00ED2A6D"/>
    <w:rsid w:val="00ED7288"/>
    <w:rsid w:val="00ED7BE5"/>
    <w:rsid w:val="00ED7E23"/>
    <w:rsid w:val="00EE7C90"/>
    <w:rsid w:val="00EF7706"/>
    <w:rsid w:val="00F01099"/>
    <w:rsid w:val="00F06984"/>
    <w:rsid w:val="00F07DB4"/>
    <w:rsid w:val="00F15D62"/>
    <w:rsid w:val="00F2148B"/>
    <w:rsid w:val="00F2587A"/>
    <w:rsid w:val="00F26D67"/>
    <w:rsid w:val="00F27CC1"/>
    <w:rsid w:val="00F310A4"/>
    <w:rsid w:val="00F4024B"/>
    <w:rsid w:val="00F443B3"/>
    <w:rsid w:val="00F448EC"/>
    <w:rsid w:val="00F467F0"/>
    <w:rsid w:val="00F47154"/>
    <w:rsid w:val="00F51DFF"/>
    <w:rsid w:val="00F52EFC"/>
    <w:rsid w:val="00F54D60"/>
    <w:rsid w:val="00F54E2F"/>
    <w:rsid w:val="00F607CF"/>
    <w:rsid w:val="00F66757"/>
    <w:rsid w:val="00F7590A"/>
    <w:rsid w:val="00F77CD1"/>
    <w:rsid w:val="00F827C8"/>
    <w:rsid w:val="00F83805"/>
    <w:rsid w:val="00F90451"/>
    <w:rsid w:val="00F91FDB"/>
    <w:rsid w:val="00F946A5"/>
    <w:rsid w:val="00F95399"/>
    <w:rsid w:val="00F95C03"/>
    <w:rsid w:val="00FA4AE2"/>
    <w:rsid w:val="00FA6208"/>
    <w:rsid w:val="00FB1069"/>
    <w:rsid w:val="00FB23D0"/>
    <w:rsid w:val="00FB32C8"/>
    <w:rsid w:val="00FC2ADD"/>
    <w:rsid w:val="00FC2F34"/>
    <w:rsid w:val="00FD5B53"/>
    <w:rsid w:val="00FD6A70"/>
    <w:rsid w:val="00FE27BB"/>
    <w:rsid w:val="00FF0185"/>
    <w:rsid w:val="00FF1B9A"/>
    <w:rsid w:val="00FF3C10"/>
    <w:rsid w:val="08680198"/>
    <w:rsid w:val="096C7482"/>
    <w:rsid w:val="0B5C2951"/>
    <w:rsid w:val="0BCA4A38"/>
    <w:rsid w:val="0EA932DA"/>
    <w:rsid w:val="0F621C2B"/>
    <w:rsid w:val="0FCA12E5"/>
    <w:rsid w:val="0FFC0404"/>
    <w:rsid w:val="14B6708E"/>
    <w:rsid w:val="19AB1C63"/>
    <w:rsid w:val="19E716B5"/>
    <w:rsid w:val="1C3660D4"/>
    <w:rsid w:val="1D9D51F3"/>
    <w:rsid w:val="21151D88"/>
    <w:rsid w:val="211B629E"/>
    <w:rsid w:val="21451B35"/>
    <w:rsid w:val="215A240F"/>
    <w:rsid w:val="2299090F"/>
    <w:rsid w:val="22D121EA"/>
    <w:rsid w:val="23B56C14"/>
    <w:rsid w:val="23D765BE"/>
    <w:rsid w:val="27740528"/>
    <w:rsid w:val="29E55A72"/>
    <w:rsid w:val="2A515672"/>
    <w:rsid w:val="2AB90BF0"/>
    <w:rsid w:val="2F0D6640"/>
    <w:rsid w:val="312850D7"/>
    <w:rsid w:val="32755858"/>
    <w:rsid w:val="32E870A4"/>
    <w:rsid w:val="34E45C3F"/>
    <w:rsid w:val="34EC7D4E"/>
    <w:rsid w:val="358D525E"/>
    <w:rsid w:val="36897F35"/>
    <w:rsid w:val="388D4973"/>
    <w:rsid w:val="39145CDA"/>
    <w:rsid w:val="39C742BF"/>
    <w:rsid w:val="3A7061B9"/>
    <w:rsid w:val="3B797653"/>
    <w:rsid w:val="40CA352E"/>
    <w:rsid w:val="454D44DB"/>
    <w:rsid w:val="458F470E"/>
    <w:rsid w:val="468E4E6D"/>
    <w:rsid w:val="47B03BA9"/>
    <w:rsid w:val="4A0B4034"/>
    <w:rsid w:val="4A2E02C6"/>
    <w:rsid w:val="4B9E1DB9"/>
    <w:rsid w:val="4C2613D3"/>
    <w:rsid w:val="4D842037"/>
    <w:rsid w:val="4D9B2F7F"/>
    <w:rsid w:val="4F3912D1"/>
    <w:rsid w:val="4F7D6A2A"/>
    <w:rsid w:val="50086B0C"/>
    <w:rsid w:val="50610B72"/>
    <w:rsid w:val="52267A1D"/>
    <w:rsid w:val="54022FBD"/>
    <w:rsid w:val="54810BF1"/>
    <w:rsid w:val="550024AC"/>
    <w:rsid w:val="558A0459"/>
    <w:rsid w:val="570016CA"/>
    <w:rsid w:val="5768620E"/>
    <w:rsid w:val="57AB43F8"/>
    <w:rsid w:val="589647C1"/>
    <w:rsid w:val="59656B6C"/>
    <w:rsid w:val="59857735"/>
    <w:rsid w:val="5AAB6294"/>
    <w:rsid w:val="5C6D5D5D"/>
    <w:rsid w:val="5D886622"/>
    <w:rsid w:val="5E93433C"/>
    <w:rsid w:val="60AE2B4F"/>
    <w:rsid w:val="645529A9"/>
    <w:rsid w:val="64862C2B"/>
    <w:rsid w:val="654D67B2"/>
    <w:rsid w:val="6552795A"/>
    <w:rsid w:val="65D0211A"/>
    <w:rsid w:val="6661072D"/>
    <w:rsid w:val="66AA5313"/>
    <w:rsid w:val="685932C2"/>
    <w:rsid w:val="6A8B3BD0"/>
    <w:rsid w:val="6E015061"/>
    <w:rsid w:val="70025E46"/>
    <w:rsid w:val="715E7281"/>
    <w:rsid w:val="72394572"/>
    <w:rsid w:val="73110955"/>
    <w:rsid w:val="735A1441"/>
    <w:rsid w:val="7576231B"/>
    <w:rsid w:val="75F265F9"/>
    <w:rsid w:val="793067AF"/>
    <w:rsid w:val="79C239A4"/>
    <w:rsid w:val="7AAD6F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9"/>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5">
    <w:name w:val="heading 2"/>
    <w:basedOn w:val="1"/>
    <w:next w:val="6"/>
    <w:link w:val="101"/>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7">
    <w:name w:val="heading 3"/>
    <w:basedOn w:val="1"/>
    <w:next w:val="1"/>
    <w:link w:val="118"/>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8">
    <w:name w:val="heading 4"/>
    <w:basedOn w:val="1"/>
    <w:next w:val="6"/>
    <w:link w:val="92"/>
    <w:qFormat/>
    <w:uiPriority w:val="0"/>
    <w:pPr>
      <w:keepNext/>
      <w:keepLines/>
      <w:spacing w:before="280" w:after="290" w:line="376" w:lineRule="auto"/>
      <w:outlineLvl w:val="3"/>
    </w:pPr>
    <w:rPr>
      <w:rFonts w:ascii="Arial" w:hAnsi="Arial" w:eastAsia="黑体"/>
      <w:b/>
      <w:sz w:val="28"/>
      <w:szCs w:val="20"/>
    </w:rPr>
  </w:style>
  <w:style w:type="paragraph" w:styleId="9">
    <w:name w:val="heading 5"/>
    <w:basedOn w:val="1"/>
    <w:next w:val="6"/>
    <w:link w:val="105"/>
    <w:qFormat/>
    <w:uiPriority w:val="0"/>
    <w:pPr>
      <w:keepNext/>
      <w:keepLines/>
      <w:spacing w:before="280" w:after="290" w:line="376" w:lineRule="auto"/>
      <w:outlineLvl w:val="4"/>
    </w:pPr>
    <w:rPr>
      <w:b/>
      <w:sz w:val="28"/>
      <w:szCs w:val="20"/>
    </w:rPr>
  </w:style>
  <w:style w:type="paragraph" w:styleId="10">
    <w:name w:val="heading 6"/>
    <w:basedOn w:val="1"/>
    <w:next w:val="6"/>
    <w:link w:val="90"/>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6"/>
    <w:link w:val="110"/>
    <w:qFormat/>
    <w:uiPriority w:val="0"/>
    <w:pPr>
      <w:keepNext/>
      <w:keepLines/>
      <w:spacing w:before="240" w:after="64" w:line="320" w:lineRule="auto"/>
      <w:outlineLvl w:val="6"/>
    </w:pPr>
    <w:rPr>
      <w:b/>
      <w:sz w:val="24"/>
      <w:szCs w:val="20"/>
    </w:rPr>
  </w:style>
  <w:style w:type="paragraph" w:styleId="12">
    <w:name w:val="heading 8"/>
    <w:basedOn w:val="1"/>
    <w:next w:val="6"/>
    <w:link w:val="97"/>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6"/>
    <w:link w:val="89"/>
    <w:qFormat/>
    <w:uiPriority w:val="0"/>
    <w:pPr>
      <w:keepNext/>
      <w:keepLines/>
      <w:spacing w:before="240" w:after="64" w:line="320" w:lineRule="auto"/>
      <w:outlineLvl w:val="8"/>
    </w:pPr>
    <w:rPr>
      <w:rFonts w:ascii="Arial" w:hAnsi="Arial" w:eastAsia="黑体"/>
      <w:szCs w:val="20"/>
    </w:rPr>
  </w:style>
  <w:style w:type="character" w:default="1" w:styleId="47">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59"/>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paragraph" w:styleId="3">
    <w:name w:val="Body Text Indent"/>
    <w:basedOn w:val="1"/>
    <w:link w:val="122"/>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6">
    <w:name w:val="Normal Indent"/>
    <w:basedOn w:val="1"/>
    <w:link w:val="112"/>
    <w:qFormat/>
    <w:uiPriority w:val="0"/>
    <w:pPr>
      <w:autoSpaceDE w:val="0"/>
      <w:autoSpaceDN w:val="0"/>
      <w:adjustRightInd w:val="0"/>
      <w:ind w:firstLine="420"/>
      <w:jc w:val="left"/>
      <w:textAlignment w:val="baseline"/>
    </w:pPr>
    <w:rPr>
      <w:rFonts w:ascii="宋体"/>
      <w:kern w:val="0"/>
      <w:sz w:val="34"/>
      <w:szCs w:val="20"/>
    </w:rPr>
  </w:style>
  <w:style w:type="paragraph" w:styleId="14">
    <w:name w:val="toc 7"/>
    <w:basedOn w:val="1"/>
    <w:next w:val="1"/>
    <w:qFormat/>
    <w:uiPriority w:val="0"/>
    <w:pPr>
      <w:ind w:left="1200" w:leftChars="1200"/>
    </w:pPr>
    <w:rPr>
      <w:rFonts w:ascii="Calibri" w:hAnsi="Calibri"/>
      <w:szCs w:val="22"/>
    </w:rPr>
  </w:style>
  <w:style w:type="paragraph" w:styleId="15">
    <w:name w:val="caption"/>
    <w:basedOn w:val="1"/>
    <w:next w:val="1"/>
    <w:qFormat/>
    <w:uiPriority w:val="0"/>
    <w:pPr>
      <w:spacing w:line="360" w:lineRule="auto"/>
    </w:pPr>
    <w:rPr>
      <w:rFonts w:ascii="Arial" w:hAnsi="Arial" w:eastAsia="黑体" w:cs="Arial"/>
      <w:sz w:val="20"/>
      <w:szCs w:val="20"/>
    </w:rPr>
  </w:style>
  <w:style w:type="paragraph" w:styleId="16">
    <w:name w:val="List Bullet"/>
    <w:basedOn w:val="1"/>
    <w:qFormat/>
    <w:uiPriority w:val="0"/>
    <w:pPr>
      <w:tabs>
        <w:tab w:val="left" w:pos="360"/>
        <w:tab w:val="left" w:pos="1320"/>
      </w:tabs>
      <w:spacing w:line="360" w:lineRule="auto"/>
      <w:ind w:left="1320" w:hanging="420"/>
    </w:pPr>
    <w:rPr>
      <w:sz w:val="24"/>
    </w:rPr>
  </w:style>
  <w:style w:type="paragraph" w:styleId="17">
    <w:name w:val="Document Map"/>
    <w:basedOn w:val="1"/>
    <w:qFormat/>
    <w:uiPriority w:val="0"/>
    <w:pPr>
      <w:shd w:val="clear" w:color="auto" w:fill="000080"/>
    </w:pPr>
  </w:style>
  <w:style w:type="paragraph" w:styleId="18">
    <w:name w:val="annotation text"/>
    <w:basedOn w:val="1"/>
    <w:link w:val="130"/>
    <w:qFormat/>
    <w:uiPriority w:val="0"/>
    <w:pPr>
      <w:spacing w:line="360" w:lineRule="auto"/>
      <w:jc w:val="left"/>
    </w:pPr>
    <w:rPr>
      <w:sz w:val="24"/>
    </w:rPr>
  </w:style>
  <w:style w:type="paragraph" w:styleId="19">
    <w:name w:val="Body Text"/>
    <w:basedOn w:val="1"/>
    <w:link w:val="75"/>
    <w:qFormat/>
    <w:uiPriority w:val="0"/>
    <w:pPr>
      <w:spacing w:after="120"/>
    </w:pPr>
  </w:style>
  <w:style w:type="paragraph" w:styleId="20">
    <w:name w:val="List Bullet 2"/>
    <w:basedOn w:val="1"/>
    <w:qFormat/>
    <w:uiPriority w:val="0"/>
    <w:pPr>
      <w:numPr>
        <w:ilvl w:val="0"/>
        <w:numId w:val="2"/>
      </w:numPr>
    </w:pPr>
  </w:style>
  <w:style w:type="paragraph" w:styleId="21">
    <w:name w:val="HTML Address"/>
    <w:basedOn w:val="1"/>
    <w:link w:val="128"/>
    <w:qFormat/>
    <w:uiPriority w:val="0"/>
    <w:pPr>
      <w:numPr>
        <w:ilvl w:val="0"/>
        <w:numId w:val="3"/>
      </w:numPr>
      <w:tabs>
        <w:tab w:val="clear" w:pos="432"/>
      </w:tabs>
      <w:ind w:left="0" w:firstLine="0"/>
    </w:pPr>
    <w:rPr>
      <w:i/>
    </w:rPr>
  </w:style>
  <w:style w:type="paragraph" w:styleId="22">
    <w:name w:val="toc 5"/>
    <w:basedOn w:val="1"/>
    <w:next w:val="1"/>
    <w:qFormat/>
    <w:uiPriority w:val="0"/>
    <w:pPr>
      <w:ind w:left="800" w:leftChars="800"/>
    </w:pPr>
    <w:rPr>
      <w:rFonts w:ascii="Calibri" w:hAnsi="Calibri"/>
      <w:szCs w:val="22"/>
    </w:rPr>
  </w:style>
  <w:style w:type="paragraph" w:styleId="23">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4">
    <w:name w:val="Plain Text"/>
    <w:basedOn w:val="1"/>
    <w:link w:val="73"/>
    <w:qFormat/>
    <w:uiPriority w:val="0"/>
    <w:rPr>
      <w:rFonts w:ascii="宋体" w:hAnsi="Courier New"/>
      <w:szCs w:val="20"/>
    </w:rPr>
  </w:style>
  <w:style w:type="paragraph" w:styleId="25">
    <w:name w:val="toc 8"/>
    <w:basedOn w:val="1"/>
    <w:next w:val="1"/>
    <w:qFormat/>
    <w:uiPriority w:val="0"/>
    <w:pPr>
      <w:ind w:left="1400" w:leftChars="1400"/>
    </w:pPr>
    <w:rPr>
      <w:rFonts w:ascii="Calibri" w:hAnsi="Calibri"/>
      <w:szCs w:val="22"/>
    </w:rPr>
  </w:style>
  <w:style w:type="paragraph" w:styleId="26">
    <w:name w:val="Date"/>
    <w:basedOn w:val="1"/>
    <w:next w:val="1"/>
    <w:link w:val="62"/>
    <w:qFormat/>
    <w:uiPriority w:val="0"/>
    <w:pPr>
      <w:numPr>
        <w:ilvl w:val="0"/>
        <w:numId w:val="4"/>
      </w:numPr>
      <w:ind w:left="100" w:leftChars="2500"/>
    </w:pPr>
  </w:style>
  <w:style w:type="paragraph" w:styleId="27">
    <w:name w:val="Body Text Indent 2"/>
    <w:basedOn w:val="1"/>
    <w:link w:val="70"/>
    <w:qFormat/>
    <w:uiPriority w:val="0"/>
    <w:pPr>
      <w:spacing w:line="480" w:lineRule="exact"/>
      <w:ind w:left="810" w:firstLine="675"/>
    </w:pPr>
    <w:rPr>
      <w:rFonts w:eastAsia="仿宋_GB2312"/>
      <w:sz w:val="30"/>
      <w:szCs w:val="20"/>
    </w:rPr>
  </w:style>
  <w:style w:type="paragraph" w:styleId="28">
    <w:name w:val="Balloon Text"/>
    <w:basedOn w:val="1"/>
    <w:link w:val="85"/>
    <w:qFormat/>
    <w:uiPriority w:val="0"/>
    <w:rPr>
      <w:sz w:val="18"/>
      <w:szCs w:val="18"/>
    </w:rPr>
  </w:style>
  <w:style w:type="paragraph" w:styleId="29">
    <w:name w:val="footer"/>
    <w:basedOn w:val="1"/>
    <w:link w:val="131"/>
    <w:qFormat/>
    <w:uiPriority w:val="0"/>
    <w:pPr>
      <w:tabs>
        <w:tab w:val="center" w:pos="4153"/>
        <w:tab w:val="right" w:pos="8306"/>
      </w:tabs>
      <w:snapToGrid w:val="0"/>
      <w:jc w:val="left"/>
    </w:pPr>
    <w:rPr>
      <w:sz w:val="18"/>
      <w:szCs w:val="20"/>
    </w:rPr>
  </w:style>
  <w:style w:type="paragraph" w:styleId="30">
    <w:name w:val="header"/>
    <w:basedOn w:val="1"/>
    <w:link w:val="123"/>
    <w:qFormat/>
    <w:uiPriority w:val="99"/>
    <w:pPr>
      <w:pBdr>
        <w:bottom w:val="single" w:color="auto" w:sz="6" w:space="1"/>
      </w:pBdr>
      <w:tabs>
        <w:tab w:val="center" w:pos="4153"/>
        <w:tab w:val="right" w:pos="8306"/>
      </w:tabs>
      <w:snapToGrid w:val="0"/>
      <w:jc w:val="center"/>
    </w:pPr>
    <w:rPr>
      <w:sz w:val="18"/>
      <w:szCs w:val="20"/>
    </w:rPr>
  </w:style>
  <w:style w:type="paragraph" w:styleId="31">
    <w:name w:val="toc 1"/>
    <w:basedOn w:val="1"/>
    <w:next w:val="1"/>
    <w:qFormat/>
    <w:uiPriority w:val="39"/>
    <w:pPr>
      <w:tabs>
        <w:tab w:val="right" w:leader="dot" w:pos="8949"/>
      </w:tabs>
      <w:spacing w:before="120" w:after="120"/>
      <w:jc w:val="left"/>
    </w:pPr>
    <w:rPr>
      <w:b/>
      <w:bCs/>
      <w:caps/>
      <w:szCs w:val="21"/>
    </w:rPr>
  </w:style>
  <w:style w:type="paragraph" w:styleId="32">
    <w:name w:val="toc 4"/>
    <w:basedOn w:val="1"/>
    <w:next w:val="1"/>
    <w:qFormat/>
    <w:uiPriority w:val="0"/>
    <w:pPr>
      <w:ind w:left="600" w:leftChars="600"/>
    </w:pPr>
    <w:rPr>
      <w:rFonts w:ascii="Calibri" w:hAnsi="Calibri"/>
      <w:szCs w:val="22"/>
    </w:rPr>
  </w:style>
  <w:style w:type="paragraph" w:styleId="33">
    <w:name w:val="index heading"/>
    <w:basedOn w:val="1"/>
    <w:next w:val="34"/>
    <w:qFormat/>
    <w:uiPriority w:val="0"/>
    <w:rPr>
      <w:szCs w:val="20"/>
    </w:rPr>
  </w:style>
  <w:style w:type="paragraph" w:styleId="34">
    <w:name w:val="index 1"/>
    <w:basedOn w:val="1"/>
    <w:next w:val="1"/>
    <w:qFormat/>
    <w:uiPriority w:val="0"/>
  </w:style>
  <w:style w:type="paragraph" w:styleId="35">
    <w:name w:val="List"/>
    <w:basedOn w:val="1"/>
    <w:qFormat/>
    <w:uiPriority w:val="0"/>
    <w:pPr>
      <w:ind w:left="200" w:hanging="200" w:hangingChars="200"/>
    </w:pPr>
  </w:style>
  <w:style w:type="paragraph" w:styleId="36">
    <w:name w:val="toc 6"/>
    <w:basedOn w:val="1"/>
    <w:next w:val="1"/>
    <w:qFormat/>
    <w:uiPriority w:val="0"/>
    <w:pPr>
      <w:ind w:left="1000" w:leftChars="1000"/>
    </w:pPr>
    <w:rPr>
      <w:rFonts w:ascii="Calibri" w:hAnsi="Calibri"/>
      <w:szCs w:val="22"/>
    </w:rPr>
  </w:style>
  <w:style w:type="paragraph" w:styleId="37">
    <w:name w:val="Body Text Indent 3"/>
    <w:basedOn w:val="1"/>
    <w:link w:val="71"/>
    <w:qFormat/>
    <w:uiPriority w:val="0"/>
    <w:pPr>
      <w:widowControl/>
      <w:tabs>
        <w:tab w:val="left" w:pos="502"/>
      </w:tabs>
      <w:adjustRightInd w:val="0"/>
      <w:snapToGrid w:val="0"/>
      <w:spacing w:line="360" w:lineRule="auto"/>
      <w:ind w:left="540" w:leftChars="257"/>
    </w:pPr>
    <w:rPr>
      <w:rFonts w:ascii="宋体" w:hAnsi="宋体"/>
    </w:rPr>
  </w:style>
  <w:style w:type="paragraph" w:styleId="38">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39">
    <w:name w:val="toc 9"/>
    <w:basedOn w:val="1"/>
    <w:next w:val="1"/>
    <w:qFormat/>
    <w:uiPriority w:val="0"/>
    <w:pPr>
      <w:ind w:left="1600" w:leftChars="1600"/>
    </w:pPr>
    <w:rPr>
      <w:rFonts w:ascii="Calibri" w:hAnsi="Calibri"/>
      <w:szCs w:val="22"/>
    </w:rPr>
  </w:style>
  <w:style w:type="paragraph" w:styleId="40">
    <w:name w:val="Body Text 2"/>
    <w:basedOn w:val="1"/>
    <w:link w:val="100"/>
    <w:qFormat/>
    <w:uiPriority w:val="0"/>
    <w:pPr>
      <w:spacing w:line="360" w:lineRule="auto"/>
    </w:pPr>
    <w:rPr>
      <w:rFonts w:ascii="仿宋_GB2312" w:eastAsia="仿宋_GB2312"/>
      <w:sz w:val="32"/>
    </w:rPr>
  </w:style>
  <w:style w:type="paragraph" w:styleId="41">
    <w:name w:val="HTML Preformatted"/>
    <w:basedOn w:val="1"/>
    <w:link w:val="13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3">
    <w:name w:val="index 2"/>
    <w:basedOn w:val="1"/>
    <w:next w:val="1"/>
    <w:qFormat/>
    <w:uiPriority w:val="0"/>
    <w:pPr>
      <w:ind w:left="420" w:hanging="210"/>
      <w:jc w:val="left"/>
    </w:pPr>
    <w:rPr>
      <w:sz w:val="20"/>
      <w:szCs w:val="20"/>
    </w:rPr>
  </w:style>
  <w:style w:type="paragraph" w:styleId="44">
    <w:name w:val="Title"/>
    <w:basedOn w:val="1"/>
    <w:next w:val="1"/>
    <w:link w:val="124"/>
    <w:qFormat/>
    <w:uiPriority w:val="0"/>
    <w:pPr>
      <w:spacing w:before="240" w:after="60"/>
      <w:jc w:val="center"/>
      <w:outlineLvl w:val="0"/>
    </w:pPr>
    <w:rPr>
      <w:rFonts w:ascii="Cambria" w:hAnsi="Cambria"/>
      <w:b/>
      <w:bCs/>
      <w:sz w:val="32"/>
      <w:szCs w:val="32"/>
    </w:rPr>
  </w:style>
  <w:style w:type="paragraph" w:styleId="45">
    <w:name w:val="Body Text First Indent"/>
    <w:basedOn w:val="19"/>
    <w:link w:val="132"/>
    <w:qFormat/>
    <w:uiPriority w:val="0"/>
    <w:pPr>
      <w:ind w:firstLine="100" w:firstLineChars="100"/>
    </w:pPr>
    <w:rPr>
      <w:rFonts w:ascii="Calibri" w:hAnsi="Calibri"/>
      <w:szCs w:val="22"/>
    </w:rPr>
  </w:style>
  <w:style w:type="character" w:styleId="48">
    <w:name w:val="Strong"/>
    <w:qFormat/>
    <w:uiPriority w:val="22"/>
    <w:rPr>
      <w:b/>
      <w:bCs/>
    </w:rPr>
  </w:style>
  <w:style w:type="character" w:styleId="49">
    <w:name w:val="page number"/>
    <w:basedOn w:val="47"/>
    <w:qFormat/>
    <w:uiPriority w:val="0"/>
  </w:style>
  <w:style w:type="character" w:styleId="50">
    <w:name w:val="Emphasis"/>
    <w:qFormat/>
    <w:uiPriority w:val="20"/>
    <w:rPr>
      <w:i/>
      <w:iCs/>
    </w:rPr>
  </w:style>
  <w:style w:type="character" w:styleId="51">
    <w:name w:val="Hyperlink"/>
    <w:qFormat/>
    <w:uiPriority w:val="99"/>
    <w:rPr>
      <w:color w:val="0000FF"/>
      <w:u w:val="single"/>
    </w:rPr>
  </w:style>
  <w:style w:type="character" w:styleId="52">
    <w:name w:val="annotation reference"/>
    <w:qFormat/>
    <w:uiPriority w:val="0"/>
    <w:rPr>
      <w:sz w:val="21"/>
      <w:szCs w:val="21"/>
    </w:rPr>
  </w:style>
  <w:style w:type="paragraph" w:customStyle="1" w:styleId="53">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4">
    <w:name w:val="标题 1 Char Char"/>
    <w:qFormat/>
    <w:uiPriority w:val="0"/>
    <w:rPr>
      <w:rFonts w:eastAsia="宋体"/>
      <w:b/>
      <w:bCs/>
      <w:kern w:val="44"/>
      <w:sz w:val="44"/>
      <w:szCs w:val="44"/>
      <w:lang w:val="en-US" w:eastAsia="zh-CN" w:bidi="ar-SA"/>
    </w:rPr>
  </w:style>
  <w:style w:type="character" w:customStyle="1" w:styleId="55">
    <w:name w:val="标题 4 Char Char"/>
    <w:qFormat/>
    <w:uiPriority w:val="0"/>
    <w:rPr>
      <w:rFonts w:ascii="Arial" w:hAnsi="Arial" w:eastAsia="黑体"/>
      <w:b/>
      <w:bCs/>
      <w:kern w:val="2"/>
      <w:sz w:val="28"/>
      <w:szCs w:val="28"/>
      <w:lang w:val="en-US" w:eastAsia="zh-CN" w:bidi="ar-SA"/>
    </w:rPr>
  </w:style>
  <w:style w:type="character" w:customStyle="1" w:styleId="56">
    <w:name w:val="font11"/>
    <w:qFormat/>
    <w:uiPriority w:val="0"/>
    <w:rPr>
      <w:rFonts w:hint="eastAsia" w:ascii="宋体" w:hAnsi="宋体" w:eastAsia="宋体"/>
      <w:color w:val="000000"/>
      <w:sz w:val="24"/>
      <w:szCs w:val="24"/>
      <w:u w:val="none"/>
    </w:rPr>
  </w:style>
  <w:style w:type="character" w:customStyle="1" w:styleId="57">
    <w:name w:val="标题 5 Char Char"/>
    <w:qFormat/>
    <w:uiPriority w:val="0"/>
    <w:rPr>
      <w:rFonts w:eastAsia="宋体"/>
      <w:b/>
      <w:bCs/>
      <w:kern w:val="2"/>
      <w:sz w:val="28"/>
      <w:szCs w:val="28"/>
      <w:lang w:val="en-US" w:eastAsia="zh-CN" w:bidi="ar-SA"/>
    </w:rPr>
  </w:style>
  <w:style w:type="character" w:customStyle="1" w:styleId="58">
    <w:name w:val="ca-5"/>
    <w:basedOn w:val="47"/>
    <w:qFormat/>
    <w:uiPriority w:val="0"/>
  </w:style>
  <w:style w:type="character" w:customStyle="1" w:styleId="59">
    <w:name w:val="正文首行缩进 2 Char"/>
    <w:link w:val="2"/>
    <w:qFormat/>
    <w:uiPriority w:val="0"/>
    <w:rPr>
      <w:rFonts w:ascii="Calibri" w:hAnsi="Calibri" w:eastAsia="仿宋_GB2312"/>
      <w:kern w:val="2"/>
      <w:sz w:val="21"/>
      <w:szCs w:val="22"/>
      <w:lang w:val="en-US" w:eastAsia="zh-CN" w:bidi="ar-SA"/>
    </w:rPr>
  </w:style>
  <w:style w:type="character" w:customStyle="1" w:styleId="60">
    <w:name w:val="已访问的超链接1"/>
    <w:qFormat/>
    <w:uiPriority w:val="0"/>
    <w:rPr>
      <w:color w:val="800080"/>
      <w:u w:val="single"/>
    </w:rPr>
  </w:style>
  <w:style w:type="character" w:customStyle="1" w:styleId="61">
    <w:name w:val="正文首行缩进 Char Char"/>
    <w:qFormat/>
    <w:uiPriority w:val="0"/>
    <w:rPr>
      <w:rFonts w:eastAsia="仿宋_GB2312"/>
      <w:kern w:val="2"/>
      <w:sz w:val="28"/>
      <w:szCs w:val="24"/>
      <w:lang w:bidi="ar-SA"/>
    </w:rPr>
  </w:style>
  <w:style w:type="character" w:customStyle="1" w:styleId="62">
    <w:name w:val="日期 Char"/>
    <w:link w:val="26"/>
    <w:qFormat/>
    <w:uiPriority w:val="0"/>
    <w:rPr>
      <w:kern w:val="2"/>
      <w:sz w:val="21"/>
      <w:szCs w:val="24"/>
    </w:rPr>
  </w:style>
  <w:style w:type="character" w:customStyle="1" w:styleId="63">
    <w:name w:val="正文文本缩进 3 Char Char"/>
    <w:qFormat/>
    <w:uiPriority w:val="0"/>
    <w:rPr>
      <w:kern w:val="2"/>
      <w:sz w:val="16"/>
      <w:szCs w:val="16"/>
      <w:lang w:bidi="ar-SA"/>
    </w:rPr>
  </w:style>
  <w:style w:type="character" w:customStyle="1" w:styleId="64">
    <w:name w:val="文档正文 Char1"/>
    <w:link w:val="65"/>
    <w:qFormat/>
    <w:uiPriority w:val="0"/>
    <w:rPr>
      <w:rFonts w:ascii="Arial Narrow" w:hAnsi="Arial Narrow"/>
      <w:sz w:val="24"/>
      <w:szCs w:val="24"/>
      <w:lang w:val="en-US" w:eastAsia="zh-CN" w:bidi="ar-SA"/>
    </w:rPr>
  </w:style>
  <w:style w:type="paragraph" w:customStyle="1" w:styleId="65">
    <w:name w:val="文档正文"/>
    <w:link w:val="64"/>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6">
    <w:name w:val="正文文本 Char Char"/>
    <w:qFormat/>
    <w:uiPriority w:val="0"/>
    <w:rPr>
      <w:rFonts w:eastAsia="宋体"/>
      <w:kern w:val="2"/>
      <w:sz w:val="21"/>
      <w:szCs w:val="24"/>
      <w:lang w:val="en-US" w:eastAsia="zh-CN" w:bidi="ar-SA"/>
    </w:rPr>
  </w:style>
  <w:style w:type="character" w:customStyle="1" w:styleId="67">
    <w:name w:val="样式 样式 宋体 小四 行距: 1.5 倍行距 + ˎ̥ 黑色 Char Char"/>
    <w:link w:val="68"/>
    <w:qFormat/>
    <w:uiPriority w:val="0"/>
    <w:rPr>
      <w:rFonts w:ascii="Calibri" w:hAnsi="Calibri" w:eastAsia="仿宋_GB2312"/>
      <w:kern w:val="2"/>
      <w:sz w:val="21"/>
      <w:szCs w:val="22"/>
      <w:lang w:val="en-US" w:eastAsia="zh-CN" w:bidi="ar-SA"/>
    </w:rPr>
  </w:style>
  <w:style w:type="paragraph" w:customStyle="1" w:styleId="68">
    <w:name w:val="样式 样式 宋体 小四 行距: 1.5 倍行距 + ˎ̥ 黑色"/>
    <w:basedOn w:val="2"/>
    <w:link w:val="67"/>
    <w:qFormat/>
    <w:uiPriority w:val="0"/>
  </w:style>
  <w:style w:type="character" w:customStyle="1" w:styleId="69">
    <w:name w:val="style71"/>
    <w:qFormat/>
    <w:uiPriority w:val="0"/>
    <w:rPr>
      <w:sz w:val="21"/>
      <w:szCs w:val="21"/>
    </w:rPr>
  </w:style>
  <w:style w:type="character" w:customStyle="1" w:styleId="70">
    <w:name w:val="正文文本缩进 2 Char"/>
    <w:link w:val="27"/>
    <w:qFormat/>
    <w:uiPriority w:val="0"/>
    <w:rPr>
      <w:rFonts w:eastAsia="仿宋_GB2312"/>
      <w:kern w:val="2"/>
      <w:sz w:val="30"/>
      <w:lang w:val="en-US" w:eastAsia="zh-CN" w:bidi="ar-SA"/>
    </w:rPr>
  </w:style>
  <w:style w:type="character" w:customStyle="1" w:styleId="71">
    <w:name w:val="正文文本缩进 3 Char"/>
    <w:link w:val="37"/>
    <w:qFormat/>
    <w:uiPriority w:val="0"/>
    <w:rPr>
      <w:rFonts w:ascii="宋体" w:hAnsi="宋体" w:eastAsia="宋体"/>
      <w:kern w:val="2"/>
      <w:sz w:val="21"/>
      <w:szCs w:val="24"/>
      <w:lang w:val="en-US" w:eastAsia="zh-CN" w:bidi="ar-SA"/>
    </w:rPr>
  </w:style>
  <w:style w:type="character" w:customStyle="1" w:styleId="72">
    <w:name w:val="ca-9"/>
    <w:basedOn w:val="47"/>
    <w:qFormat/>
    <w:uiPriority w:val="0"/>
  </w:style>
  <w:style w:type="character" w:customStyle="1" w:styleId="73">
    <w:name w:val="纯文本 Char"/>
    <w:link w:val="24"/>
    <w:qFormat/>
    <w:uiPriority w:val="0"/>
    <w:rPr>
      <w:rFonts w:ascii="宋体" w:hAnsi="Courier New" w:eastAsia="宋体"/>
      <w:kern w:val="2"/>
      <w:sz w:val="21"/>
      <w:lang w:val="en-US" w:eastAsia="zh-CN" w:bidi="ar-SA"/>
    </w:rPr>
  </w:style>
  <w:style w:type="character" w:customStyle="1" w:styleId="74">
    <w:name w:val="页脚 Char Char"/>
    <w:qFormat/>
    <w:uiPriority w:val="0"/>
    <w:rPr>
      <w:rFonts w:eastAsia="宋体"/>
      <w:sz w:val="18"/>
      <w:szCs w:val="18"/>
      <w:lang w:bidi="ar-SA"/>
    </w:rPr>
  </w:style>
  <w:style w:type="character" w:customStyle="1" w:styleId="75">
    <w:name w:val="正文文本 Char"/>
    <w:link w:val="19"/>
    <w:qFormat/>
    <w:uiPriority w:val="0"/>
    <w:rPr>
      <w:rFonts w:eastAsia="宋体"/>
      <w:kern w:val="2"/>
      <w:sz w:val="21"/>
      <w:szCs w:val="24"/>
      <w:lang w:val="en-US" w:eastAsia="zh-CN" w:bidi="ar-SA"/>
    </w:rPr>
  </w:style>
  <w:style w:type="character" w:customStyle="1" w:styleId="76">
    <w:name w:val="标题 2 Char Char"/>
    <w:qFormat/>
    <w:uiPriority w:val="0"/>
    <w:rPr>
      <w:rFonts w:ascii="Cambria" w:hAnsi="Cambria" w:eastAsia="宋体"/>
      <w:b/>
      <w:bCs/>
      <w:kern w:val="2"/>
      <w:sz w:val="32"/>
      <w:szCs w:val="32"/>
      <w:lang w:val="en-US" w:eastAsia="zh-CN" w:bidi="ar-SA"/>
    </w:rPr>
  </w:style>
  <w:style w:type="character" w:customStyle="1" w:styleId="77">
    <w:name w:val="标题 1 1 Char"/>
    <w:qFormat/>
    <w:uiPriority w:val="0"/>
    <w:rPr>
      <w:rFonts w:ascii="黑体" w:eastAsia="黑体"/>
      <w:bCs/>
      <w:kern w:val="44"/>
      <w:sz w:val="24"/>
      <w:lang w:val="en-US" w:eastAsia="zh-CN" w:bidi="ar-SA"/>
    </w:rPr>
  </w:style>
  <w:style w:type="character" w:customStyle="1" w:styleId="78">
    <w:name w:val="Char Char14"/>
    <w:qFormat/>
    <w:uiPriority w:val="0"/>
    <w:rPr>
      <w:rFonts w:ascii="宋体" w:eastAsia="宋体"/>
      <w:sz w:val="34"/>
      <w:lang w:val="en-US" w:eastAsia="zh-CN" w:bidi="ar-SA"/>
    </w:rPr>
  </w:style>
  <w:style w:type="character" w:customStyle="1" w:styleId="79">
    <w:name w:val="content"/>
    <w:qFormat/>
    <w:uiPriority w:val="0"/>
  </w:style>
  <w:style w:type="character" w:customStyle="1" w:styleId="80">
    <w:name w:val="Char Char5"/>
    <w:qFormat/>
    <w:uiPriority w:val="0"/>
    <w:rPr>
      <w:rFonts w:eastAsia="宋体"/>
      <w:kern w:val="2"/>
      <w:sz w:val="18"/>
      <w:lang w:val="en-US" w:eastAsia="zh-CN" w:bidi="ar-SA"/>
    </w:rPr>
  </w:style>
  <w:style w:type="character" w:customStyle="1" w:styleId="81">
    <w:name w:val="c_666"/>
    <w:basedOn w:val="47"/>
    <w:qFormat/>
    <w:uiPriority w:val="0"/>
  </w:style>
  <w:style w:type="character" w:customStyle="1" w:styleId="82">
    <w:name w:val="ALT+Z Char"/>
    <w:qFormat/>
    <w:uiPriority w:val="0"/>
    <w:rPr>
      <w:rFonts w:ascii="宋体"/>
      <w:sz w:val="34"/>
    </w:rPr>
  </w:style>
  <w:style w:type="character" w:customStyle="1" w:styleId="83">
    <w:name w:val="正文（缩进） Char Char"/>
    <w:link w:val="84"/>
    <w:qFormat/>
    <w:uiPriority w:val="0"/>
    <w:rPr>
      <w:rFonts w:eastAsia="宋体"/>
      <w:kern w:val="2"/>
      <w:sz w:val="24"/>
      <w:szCs w:val="24"/>
      <w:lang w:val="en-US" w:eastAsia="zh-CN" w:bidi="ar-SA"/>
    </w:rPr>
  </w:style>
  <w:style w:type="paragraph" w:customStyle="1" w:styleId="84">
    <w:name w:val="正文（缩进）"/>
    <w:basedOn w:val="1"/>
    <w:link w:val="83"/>
    <w:qFormat/>
    <w:uiPriority w:val="0"/>
    <w:pPr>
      <w:spacing w:beforeLines="50" w:afterLines="50" w:line="360" w:lineRule="auto"/>
      <w:ind w:firstLine="480" w:firstLineChars="200"/>
    </w:pPr>
    <w:rPr>
      <w:sz w:val="24"/>
    </w:rPr>
  </w:style>
  <w:style w:type="character" w:customStyle="1" w:styleId="85">
    <w:name w:val="批注框文本 Char"/>
    <w:link w:val="28"/>
    <w:qFormat/>
    <w:uiPriority w:val="0"/>
    <w:rPr>
      <w:rFonts w:eastAsia="宋体"/>
      <w:kern w:val="2"/>
      <w:sz w:val="18"/>
      <w:szCs w:val="18"/>
      <w:lang w:val="en-US" w:eastAsia="zh-CN" w:bidi="ar-SA"/>
    </w:rPr>
  </w:style>
  <w:style w:type="character" w:customStyle="1" w:styleId="86">
    <w:name w:val="表格内容"/>
    <w:qFormat/>
    <w:uiPriority w:val="0"/>
    <w:rPr>
      <w:sz w:val="24"/>
    </w:rPr>
  </w:style>
  <w:style w:type="character" w:customStyle="1" w:styleId="87">
    <w:name w:val="ca-8"/>
    <w:basedOn w:val="47"/>
    <w:qFormat/>
    <w:uiPriority w:val="0"/>
  </w:style>
  <w:style w:type="character" w:customStyle="1" w:styleId="88">
    <w:name w:val="不明显参考1"/>
    <w:qFormat/>
    <w:uiPriority w:val="0"/>
    <w:rPr>
      <w:smallCaps/>
      <w:color w:val="C0504D"/>
      <w:u w:val="single"/>
    </w:rPr>
  </w:style>
  <w:style w:type="character" w:customStyle="1" w:styleId="89">
    <w:name w:val="标题 9 Char"/>
    <w:link w:val="13"/>
    <w:qFormat/>
    <w:uiPriority w:val="0"/>
    <w:rPr>
      <w:rFonts w:ascii="Arial" w:hAnsi="Arial" w:eastAsia="黑体"/>
      <w:kern w:val="2"/>
      <w:sz w:val="21"/>
      <w:lang w:val="en-US" w:eastAsia="zh-CN" w:bidi="ar-SA"/>
    </w:rPr>
  </w:style>
  <w:style w:type="character" w:customStyle="1" w:styleId="90">
    <w:name w:val="标题 6 Char"/>
    <w:link w:val="10"/>
    <w:qFormat/>
    <w:uiPriority w:val="0"/>
    <w:rPr>
      <w:rFonts w:ascii="Arial" w:hAnsi="Arial" w:eastAsia="黑体"/>
      <w:b/>
      <w:kern w:val="2"/>
      <w:sz w:val="24"/>
      <w:lang w:val="en-US" w:eastAsia="zh-CN" w:bidi="ar-SA"/>
    </w:rPr>
  </w:style>
  <w:style w:type="character" w:customStyle="1" w:styleId="91">
    <w:name w:val="ca-10"/>
    <w:basedOn w:val="47"/>
    <w:qFormat/>
    <w:uiPriority w:val="0"/>
  </w:style>
  <w:style w:type="character" w:customStyle="1" w:styleId="92">
    <w:name w:val="标题 4 Char"/>
    <w:link w:val="8"/>
    <w:qFormat/>
    <w:uiPriority w:val="0"/>
    <w:rPr>
      <w:rFonts w:ascii="Arial" w:hAnsi="Arial" w:eastAsia="黑体"/>
      <w:b/>
      <w:kern w:val="2"/>
      <w:sz w:val="28"/>
      <w:lang w:val="en-US" w:eastAsia="zh-CN" w:bidi="ar-SA"/>
    </w:rPr>
  </w:style>
  <w:style w:type="character" w:customStyle="1" w:styleId="93">
    <w:name w:val="批注文字 Char Char"/>
    <w:qFormat/>
    <w:uiPriority w:val="0"/>
    <w:rPr>
      <w:kern w:val="2"/>
      <w:sz w:val="21"/>
      <w:lang w:bidi="ar-SA"/>
    </w:rPr>
  </w:style>
  <w:style w:type="character" w:customStyle="1" w:styleId="94">
    <w:name w:val="style18"/>
    <w:qFormat/>
    <w:uiPriority w:val="0"/>
  </w:style>
  <w:style w:type="character" w:customStyle="1" w:styleId="95">
    <w:name w:val="font21"/>
    <w:qFormat/>
    <w:uiPriority w:val="0"/>
    <w:rPr>
      <w:rFonts w:hint="default" w:ascii="Arial" w:hAnsi="Arial" w:cs="Arial"/>
      <w:color w:val="000000"/>
      <w:sz w:val="24"/>
      <w:szCs w:val="24"/>
      <w:u w:val="none"/>
    </w:rPr>
  </w:style>
  <w:style w:type="character" w:customStyle="1" w:styleId="96">
    <w:name w:val="ca-11"/>
    <w:basedOn w:val="47"/>
    <w:qFormat/>
    <w:uiPriority w:val="0"/>
  </w:style>
  <w:style w:type="character" w:customStyle="1" w:styleId="97">
    <w:name w:val="标题 8 Char"/>
    <w:link w:val="12"/>
    <w:qFormat/>
    <w:uiPriority w:val="0"/>
    <w:rPr>
      <w:rFonts w:ascii="Arial" w:hAnsi="Arial" w:eastAsia="黑体"/>
      <w:kern w:val="2"/>
      <w:sz w:val="24"/>
      <w:lang w:val="en-US" w:eastAsia="zh-CN" w:bidi="ar-SA"/>
    </w:rPr>
  </w:style>
  <w:style w:type="character" w:customStyle="1" w:styleId="98">
    <w:name w:val="类目1 Char Char"/>
    <w:link w:val="99"/>
    <w:qFormat/>
    <w:uiPriority w:val="0"/>
    <w:rPr>
      <w:b/>
      <w:color w:val="17365D"/>
      <w:kern w:val="2"/>
      <w:sz w:val="28"/>
      <w:szCs w:val="28"/>
      <w:lang w:bidi="ar-SA"/>
    </w:rPr>
  </w:style>
  <w:style w:type="paragraph" w:customStyle="1" w:styleId="99">
    <w:name w:val="类目1"/>
    <w:basedOn w:val="1"/>
    <w:link w:val="98"/>
    <w:qFormat/>
    <w:uiPriority w:val="0"/>
    <w:pPr>
      <w:adjustRightInd w:val="0"/>
      <w:snapToGrid w:val="0"/>
      <w:spacing w:line="220" w:lineRule="atLeast"/>
    </w:pPr>
    <w:rPr>
      <w:b/>
      <w:color w:val="17365D"/>
      <w:sz w:val="28"/>
      <w:szCs w:val="28"/>
    </w:rPr>
  </w:style>
  <w:style w:type="character" w:customStyle="1" w:styleId="100">
    <w:name w:val="正文文本 2 Char"/>
    <w:link w:val="40"/>
    <w:qFormat/>
    <w:uiPriority w:val="0"/>
    <w:rPr>
      <w:rFonts w:ascii="仿宋_GB2312" w:eastAsia="仿宋_GB2312"/>
      <w:kern w:val="2"/>
      <w:sz w:val="32"/>
      <w:szCs w:val="24"/>
      <w:lang w:val="en-US" w:eastAsia="zh-CN" w:bidi="ar-SA"/>
    </w:rPr>
  </w:style>
  <w:style w:type="character" w:customStyle="1" w:styleId="101">
    <w:name w:val="标题 2 Char"/>
    <w:link w:val="5"/>
    <w:qFormat/>
    <w:uiPriority w:val="0"/>
    <w:rPr>
      <w:rFonts w:ascii="黑体" w:hAnsi="宋体" w:eastAsia="黑体"/>
      <w:bCs/>
      <w:kern w:val="44"/>
      <w:sz w:val="21"/>
      <w:szCs w:val="24"/>
    </w:rPr>
  </w:style>
  <w:style w:type="character" w:customStyle="1" w:styleId="102">
    <w:name w:val="lineitems1"/>
    <w:qFormat/>
    <w:uiPriority w:val="0"/>
    <w:rPr>
      <w:sz w:val="17"/>
      <w:szCs w:val="17"/>
    </w:rPr>
  </w:style>
  <w:style w:type="character" w:customStyle="1" w:styleId="103">
    <w:name w:val="题注 Char1"/>
    <w:qFormat/>
    <w:uiPriority w:val="0"/>
    <w:rPr>
      <w:rFonts w:ascii="Arial" w:hAnsi="Arial" w:eastAsia="宋体" w:cs="Arial"/>
      <w:kern w:val="2"/>
      <w:lang w:val="en-US" w:eastAsia="zh-CN" w:bidi="ar-SA"/>
    </w:rPr>
  </w:style>
  <w:style w:type="character" w:customStyle="1" w:styleId="104">
    <w:name w:val="标题 3 Char Char"/>
    <w:qFormat/>
    <w:uiPriority w:val="0"/>
    <w:rPr>
      <w:rFonts w:eastAsia="宋体"/>
      <w:b/>
      <w:bCs/>
      <w:kern w:val="2"/>
      <w:sz w:val="32"/>
      <w:szCs w:val="32"/>
      <w:lang w:val="en-US" w:eastAsia="zh-CN" w:bidi="ar-SA"/>
    </w:rPr>
  </w:style>
  <w:style w:type="character" w:customStyle="1" w:styleId="105">
    <w:name w:val="标题 5 Char"/>
    <w:link w:val="9"/>
    <w:qFormat/>
    <w:uiPriority w:val="0"/>
    <w:rPr>
      <w:rFonts w:eastAsia="宋体"/>
      <w:b/>
      <w:kern w:val="2"/>
      <w:sz w:val="28"/>
      <w:lang w:val="en-US" w:eastAsia="zh-CN" w:bidi="ar-SA"/>
    </w:rPr>
  </w:style>
  <w:style w:type="character" w:customStyle="1" w:styleId="106">
    <w:name w:val="p12"/>
    <w:basedOn w:val="47"/>
    <w:qFormat/>
    <w:uiPriority w:val="0"/>
  </w:style>
  <w:style w:type="character" w:customStyle="1" w:styleId="107">
    <w:name w:val="正文缩进 Char2"/>
    <w:link w:val="108"/>
    <w:qFormat/>
    <w:uiPriority w:val="0"/>
    <w:rPr>
      <w:rFonts w:ascii="宋体" w:eastAsia="宋体"/>
      <w:sz w:val="34"/>
      <w:lang w:bidi="ar-SA"/>
    </w:rPr>
  </w:style>
  <w:style w:type="paragraph" w:customStyle="1" w:styleId="108">
    <w:name w:val="Normal Indent1"/>
    <w:basedOn w:val="1"/>
    <w:link w:val="107"/>
    <w:qFormat/>
    <w:uiPriority w:val="0"/>
    <w:pPr>
      <w:autoSpaceDE w:val="0"/>
      <w:autoSpaceDN w:val="0"/>
      <w:adjustRightInd w:val="0"/>
      <w:ind w:firstLine="420"/>
      <w:jc w:val="left"/>
      <w:textAlignment w:val="baseline"/>
    </w:pPr>
    <w:rPr>
      <w:rFonts w:ascii="宋体"/>
      <w:kern w:val="0"/>
      <w:sz w:val="34"/>
      <w:szCs w:val="20"/>
    </w:rPr>
  </w:style>
  <w:style w:type="character" w:customStyle="1" w:styleId="109">
    <w:name w:val="标题 9 Char Char"/>
    <w:qFormat/>
    <w:uiPriority w:val="0"/>
    <w:rPr>
      <w:rFonts w:ascii="Arial" w:hAnsi="Arial" w:eastAsia="黑体"/>
      <w:kern w:val="2"/>
      <w:sz w:val="21"/>
      <w:szCs w:val="21"/>
      <w:lang w:val="en-US" w:eastAsia="zh-CN" w:bidi="ar-SA"/>
    </w:rPr>
  </w:style>
  <w:style w:type="character" w:customStyle="1" w:styleId="110">
    <w:name w:val="标题 7 Char"/>
    <w:link w:val="11"/>
    <w:qFormat/>
    <w:uiPriority w:val="0"/>
    <w:rPr>
      <w:rFonts w:eastAsia="宋体"/>
      <w:b/>
      <w:kern w:val="2"/>
      <w:sz w:val="24"/>
      <w:lang w:val="en-US" w:eastAsia="zh-CN" w:bidi="ar-SA"/>
    </w:rPr>
  </w:style>
  <w:style w:type="character" w:customStyle="1" w:styleId="111">
    <w:name w:val="flname7"/>
    <w:basedOn w:val="47"/>
    <w:qFormat/>
    <w:uiPriority w:val="0"/>
  </w:style>
  <w:style w:type="character" w:customStyle="1" w:styleId="112">
    <w:name w:val="正文缩进 Char"/>
    <w:link w:val="6"/>
    <w:qFormat/>
    <w:uiPriority w:val="0"/>
    <w:rPr>
      <w:rFonts w:ascii="宋体" w:eastAsia="宋体"/>
      <w:sz w:val="34"/>
      <w:lang w:val="en-US" w:eastAsia="zh-CN" w:bidi="ar-SA"/>
    </w:rPr>
  </w:style>
  <w:style w:type="character" w:customStyle="1" w:styleId="113">
    <w:name w:val="样式5 Char Char"/>
    <w:link w:val="114"/>
    <w:qFormat/>
    <w:uiPriority w:val="0"/>
    <w:rPr>
      <w:rFonts w:ascii="宋体" w:hAnsi="宋体" w:eastAsia="宋体" w:cs="Arial"/>
      <w:b/>
      <w:kern w:val="2"/>
      <w:sz w:val="24"/>
      <w:szCs w:val="24"/>
      <w:lang w:val="en-US" w:eastAsia="zh-CN" w:bidi="ar-SA"/>
    </w:rPr>
  </w:style>
  <w:style w:type="paragraph" w:customStyle="1" w:styleId="114">
    <w:name w:val="样式5"/>
    <w:basedOn w:val="1"/>
    <w:link w:val="113"/>
    <w:qFormat/>
    <w:uiPriority w:val="0"/>
    <w:pPr>
      <w:spacing w:line="400" w:lineRule="exact"/>
      <w:ind w:left="482"/>
    </w:pPr>
    <w:rPr>
      <w:rFonts w:ascii="宋体" w:hAnsi="宋体" w:cs="Arial"/>
      <w:b/>
      <w:sz w:val="24"/>
    </w:rPr>
  </w:style>
  <w:style w:type="character" w:customStyle="1" w:styleId="115">
    <w:name w:val="text1"/>
    <w:qFormat/>
    <w:uiPriority w:val="0"/>
    <w:rPr>
      <w:sz w:val="20"/>
      <w:szCs w:val="20"/>
    </w:rPr>
  </w:style>
  <w:style w:type="character" w:customStyle="1" w:styleId="116">
    <w:name w:val="样式2"/>
    <w:qFormat/>
    <w:uiPriority w:val="0"/>
    <w:rPr>
      <w:rFonts w:eastAsia="华文楷体"/>
      <w:b/>
      <w:sz w:val="32"/>
    </w:rPr>
  </w:style>
  <w:style w:type="character" w:customStyle="1" w:styleId="117">
    <w:name w:val="页眉 Char Char"/>
    <w:qFormat/>
    <w:uiPriority w:val="0"/>
    <w:rPr>
      <w:rFonts w:eastAsia="宋体"/>
      <w:sz w:val="18"/>
      <w:szCs w:val="18"/>
      <w:lang w:bidi="ar-SA"/>
    </w:rPr>
  </w:style>
  <w:style w:type="character" w:customStyle="1" w:styleId="118">
    <w:name w:val="标题 3 Char"/>
    <w:link w:val="7"/>
    <w:qFormat/>
    <w:uiPriority w:val="0"/>
    <w:rPr>
      <w:rFonts w:ascii="黑体" w:eastAsia="黑体"/>
      <w:bCs/>
      <w:color w:val="000000"/>
      <w:kern w:val="2"/>
      <w:sz w:val="21"/>
      <w:szCs w:val="24"/>
    </w:rPr>
  </w:style>
  <w:style w:type="character" w:customStyle="1" w:styleId="119">
    <w:name w:val="书籍标题3 Char1"/>
    <w:link w:val="120"/>
    <w:qFormat/>
    <w:uiPriority w:val="0"/>
    <w:rPr>
      <w:b/>
      <w:bCs/>
      <w:spacing w:val="20"/>
      <w:kern w:val="2"/>
      <w:sz w:val="28"/>
      <w:szCs w:val="28"/>
    </w:rPr>
  </w:style>
  <w:style w:type="paragraph" w:customStyle="1" w:styleId="120">
    <w:name w:val="书籍标题3"/>
    <w:basedOn w:val="121"/>
    <w:link w:val="119"/>
    <w:qFormat/>
    <w:uiPriority w:val="0"/>
    <w:pPr>
      <w:numPr>
        <w:ilvl w:val="2"/>
      </w:numPr>
      <w:tabs>
        <w:tab w:val="left" w:pos="840"/>
      </w:tabs>
      <w:outlineLvl w:val="2"/>
    </w:pPr>
    <w:rPr>
      <w:rFonts w:cs="Times New Roman"/>
      <w:sz w:val="28"/>
      <w:szCs w:val="28"/>
    </w:rPr>
  </w:style>
  <w:style w:type="paragraph" w:customStyle="1" w:styleId="121">
    <w:name w:val="书籍标题2"/>
    <w:basedOn w:val="1"/>
    <w:qFormat/>
    <w:uiPriority w:val="0"/>
    <w:pPr>
      <w:numPr>
        <w:ilvl w:val="1"/>
        <w:numId w:val="5"/>
      </w:numPr>
      <w:spacing w:beforeLines="100" w:afterLines="100"/>
      <w:jc w:val="left"/>
      <w:outlineLvl w:val="1"/>
    </w:pPr>
    <w:rPr>
      <w:rFonts w:cs="宋体"/>
      <w:b/>
      <w:bCs/>
      <w:spacing w:val="20"/>
      <w:sz w:val="32"/>
      <w:szCs w:val="20"/>
    </w:rPr>
  </w:style>
  <w:style w:type="character" w:customStyle="1" w:styleId="122">
    <w:name w:val="正文文本缩进 Char"/>
    <w:link w:val="3"/>
    <w:qFormat/>
    <w:uiPriority w:val="0"/>
    <w:rPr>
      <w:rFonts w:ascii="仿宋_GB2312" w:eastAsia="仿宋_GB2312"/>
      <w:sz w:val="28"/>
      <w:lang w:val="en-US" w:eastAsia="zh-CN" w:bidi="ar-SA"/>
    </w:rPr>
  </w:style>
  <w:style w:type="character" w:customStyle="1" w:styleId="123">
    <w:name w:val="页眉 Char"/>
    <w:link w:val="30"/>
    <w:qFormat/>
    <w:uiPriority w:val="99"/>
    <w:rPr>
      <w:rFonts w:eastAsia="宋体"/>
      <w:kern w:val="2"/>
      <w:sz w:val="18"/>
      <w:lang w:val="en-US" w:eastAsia="zh-CN" w:bidi="ar-SA"/>
    </w:rPr>
  </w:style>
  <w:style w:type="character" w:customStyle="1" w:styleId="124">
    <w:name w:val="标题 Char"/>
    <w:link w:val="44"/>
    <w:qFormat/>
    <w:uiPriority w:val="0"/>
    <w:rPr>
      <w:rFonts w:ascii="Cambria" w:hAnsi="Cambria"/>
      <w:b/>
      <w:bCs/>
      <w:kern w:val="2"/>
      <w:sz w:val="32"/>
      <w:szCs w:val="32"/>
    </w:rPr>
  </w:style>
  <w:style w:type="character" w:customStyle="1" w:styleId="125">
    <w:name w:val="标题 8 Char Char"/>
    <w:qFormat/>
    <w:uiPriority w:val="0"/>
    <w:rPr>
      <w:rFonts w:ascii="Arial" w:hAnsi="Arial" w:eastAsia="黑体"/>
      <w:kern w:val="2"/>
      <w:sz w:val="24"/>
      <w:szCs w:val="24"/>
      <w:lang w:val="en-US" w:eastAsia="zh-CN" w:bidi="ar-SA"/>
    </w:rPr>
  </w:style>
  <w:style w:type="character" w:customStyle="1" w:styleId="126">
    <w:name w:val="正文文本缩进 2 Char Char"/>
    <w:qFormat/>
    <w:uiPriority w:val="0"/>
    <w:rPr>
      <w:rFonts w:eastAsia="仿宋_GB2312"/>
      <w:sz w:val="30"/>
      <w:lang w:bidi="ar-SA"/>
    </w:rPr>
  </w:style>
  <w:style w:type="character" w:customStyle="1" w:styleId="127">
    <w:name w:val="标题 7 Char Char"/>
    <w:qFormat/>
    <w:uiPriority w:val="0"/>
    <w:rPr>
      <w:rFonts w:eastAsia="宋体"/>
      <w:b/>
      <w:bCs/>
      <w:kern w:val="2"/>
      <w:sz w:val="24"/>
      <w:szCs w:val="24"/>
      <w:lang w:val="en-US" w:eastAsia="zh-CN" w:bidi="ar-SA"/>
    </w:rPr>
  </w:style>
  <w:style w:type="character" w:customStyle="1" w:styleId="128">
    <w:name w:val="HTML 地址 Char"/>
    <w:link w:val="21"/>
    <w:qFormat/>
    <w:uiPriority w:val="0"/>
    <w:rPr>
      <w:i/>
      <w:kern w:val="2"/>
      <w:sz w:val="21"/>
      <w:szCs w:val="24"/>
    </w:rPr>
  </w:style>
  <w:style w:type="character" w:customStyle="1" w:styleId="129">
    <w:name w:val="标题 1 Char"/>
    <w:link w:val="4"/>
    <w:qFormat/>
    <w:uiPriority w:val="0"/>
    <w:rPr>
      <w:rFonts w:ascii="黑体" w:eastAsia="黑体"/>
      <w:bCs/>
      <w:kern w:val="44"/>
      <w:sz w:val="24"/>
      <w:szCs w:val="24"/>
    </w:rPr>
  </w:style>
  <w:style w:type="character" w:customStyle="1" w:styleId="130">
    <w:name w:val="批注文字 Char"/>
    <w:link w:val="18"/>
    <w:qFormat/>
    <w:uiPriority w:val="0"/>
    <w:rPr>
      <w:kern w:val="2"/>
      <w:sz w:val="24"/>
      <w:szCs w:val="24"/>
    </w:rPr>
  </w:style>
  <w:style w:type="character" w:customStyle="1" w:styleId="131">
    <w:name w:val="页脚 Char"/>
    <w:link w:val="29"/>
    <w:qFormat/>
    <w:uiPriority w:val="0"/>
    <w:rPr>
      <w:rFonts w:eastAsia="宋体"/>
      <w:kern w:val="2"/>
      <w:sz w:val="18"/>
      <w:lang w:val="en-US" w:eastAsia="zh-CN" w:bidi="ar-SA"/>
    </w:rPr>
  </w:style>
  <w:style w:type="character" w:customStyle="1" w:styleId="132">
    <w:name w:val="正文首行缩进 Char"/>
    <w:link w:val="45"/>
    <w:qFormat/>
    <w:uiPriority w:val="0"/>
    <w:rPr>
      <w:rFonts w:ascii="Calibri" w:hAnsi="Calibri" w:eastAsia="宋体"/>
      <w:kern w:val="2"/>
      <w:sz w:val="21"/>
      <w:szCs w:val="22"/>
      <w:lang w:val="en-US" w:eastAsia="zh-CN" w:bidi="ar-SA"/>
    </w:rPr>
  </w:style>
  <w:style w:type="character" w:customStyle="1" w:styleId="133">
    <w:name w:val="纯文本 Char Char"/>
    <w:qFormat/>
    <w:uiPriority w:val="0"/>
    <w:rPr>
      <w:rFonts w:ascii="宋体" w:hAnsi="Courier New"/>
      <w:kern w:val="2"/>
      <w:sz w:val="21"/>
      <w:lang w:bidi="ar-SA"/>
    </w:rPr>
  </w:style>
  <w:style w:type="character" w:customStyle="1" w:styleId="134">
    <w:name w:val="HTML 预设格式 Char"/>
    <w:link w:val="41"/>
    <w:qFormat/>
    <w:uiPriority w:val="0"/>
    <w:rPr>
      <w:rFonts w:ascii="黑体" w:hAnsi="Courier New" w:eastAsia="黑体" w:cs="Courier New"/>
      <w:kern w:val="2"/>
      <w:sz w:val="21"/>
      <w:szCs w:val="24"/>
      <w:lang w:val="en-US" w:eastAsia="zh-CN" w:bidi="ar-SA"/>
    </w:rPr>
  </w:style>
  <w:style w:type="character" w:customStyle="1" w:styleId="135">
    <w:name w:val="标题 6 Char Char"/>
    <w:qFormat/>
    <w:uiPriority w:val="0"/>
    <w:rPr>
      <w:rFonts w:ascii="Arial" w:hAnsi="Arial" w:eastAsia="黑体"/>
      <w:b/>
      <w:bCs/>
      <w:kern w:val="2"/>
      <w:sz w:val="24"/>
      <w:szCs w:val="24"/>
      <w:lang w:val="en-US" w:eastAsia="zh-CN" w:bidi="ar-SA"/>
    </w:rPr>
  </w:style>
  <w:style w:type="character" w:customStyle="1" w:styleId="136">
    <w:name w:val="细目1 Char Char"/>
    <w:link w:val="137"/>
    <w:qFormat/>
    <w:uiPriority w:val="0"/>
    <w:rPr>
      <w:b/>
      <w:color w:val="215868"/>
      <w:kern w:val="2"/>
      <w:sz w:val="24"/>
      <w:szCs w:val="24"/>
    </w:rPr>
  </w:style>
  <w:style w:type="paragraph" w:customStyle="1" w:styleId="137">
    <w:name w:val="细目1"/>
    <w:basedOn w:val="1"/>
    <w:link w:val="136"/>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38">
    <w:name w:val="Char Char9"/>
    <w:qFormat/>
    <w:uiPriority w:val="0"/>
    <w:rPr>
      <w:rFonts w:ascii="宋体" w:hAnsi="Courier New" w:eastAsia="宋体"/>
      <w:kern w:val="2"/>
      <w:sz w:val="21"/>
      <w:lang w:val="en-US" w:eastAsia="zh-CN" w:bidi="ar-SA"/>
    </w:rPr>
  </w:style>
  <w:style w:type="character" w:customStyle="1" w:styleId="139">
    <w:name w:val="apple-converted-space"/>
    <w:qFormat/>
    <w:uiPriority w:val="0"/>
    <w:rPr>
      <w:rFonts w:cs="Times New Roman"/>
    </w:rPr>
  </w:style>
  <w:style w:type="paragraph" w:customStyle="1" w:styleId="14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5">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46">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47">
    <w:name w:val="TOC 标题1"/>
    <w:basedOn w:val="4"/>
    <w:next w:val="1"/>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48">
    <w:name w:val="默认段落字体 Para Char Char Char Char Char Char Char Char Char Char"/>
    <w:basedOn w:val="1"/>
    <w:qFormat/>
    <w:uiPriority w:val="0"/>
    <w:rPr>
      <w:rFonts w:ascii="Tahoma" w:hAnsi="Tahoma"/>
      <w:sz w:val="24"/>
      <w:szCs w:val="20"/>
    </w:rPr>
  </w:style>
  <w:style w:type="paragraph" w:customStyle="1" w:styleId="14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1">
    <w:name w:val="字元 字元"/>
    <w:basedOn w:val="1"/>
    <w:qFormat/>
    <w:uiPriority w:val="0"/>
    <w:pPr>
      <w:spacing w:line="360" w:lineRule="auto"/>
      <w:ind w:firstLine="200" w:firstLineChars="200"/>
    </w:pPr>
    <w:rPr>
      <w:rFonts w:ascii="宋体" w:hAnsi="宋体" w:cs="宋体"/>
      <w:sz w:val="24"/>
    </w:rPr>
  </w:style>
  <w:style w:type="paragraph" w:customStyle="1" w:styleId="15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3">
    <w:name w:val="正文序号 4"/>
    <w:basedOn w:val="1"/>
    <w:qFormat/>
    <w:uiPriority w:val="0"/>
    <w:pPr>
      <w:numPr>
        <w:ilvl w:val="3"/>
        <w:numId w:val="7"/>
      </w:numPr>
      <w:tabs>
        <w:tab w:val="left" w:pos="1469"/>
      </w:tabs>
      <w:spacing w:before="60"/>
    </w:pPr>
  </w:style>
  <w:style w:type="paragraph" w:customStyle="1" w:styleId="15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6">
    <w:name w:val="Char3"/>
    <w:basedOn w:val="1"/>
    <w:qFormat/>
    <w:uiPriority w:val="0"/>
  </w:style>
  <w:style w:type="paragraph" w:customStyle="1" w:styleId="157">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8">
    <w:name w:val="_Style 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9">
    <w:name w:val="Char28"/>
    <w:basedOn w:val="1"/>
    <w:qFormat/>
    <w:uiPriority w:val="0"/>
    <w:pPr>
      <w:adjustRightInd w:val="0"/>
      <w:spacing w:line="360" w:lineRule="auto"/>
    </w:pPr>
  </w:style>
  <w:style w:type="paragraph" w:customStyle="1" w:styleId="160">
    <w:name w:val="pa-14"/>
    <w:basedOn w:val="1"/>
    <w:qFormat/>
    <w:uiPriority w:val="0"/>
    <w:pPr>
      <w:widowControl/>
      <w:spacing w:before="150" w:after="150"/>
      <w:jc w:val="left"/>
    </w:pPr>
    <w:rPr>
      <w:rFonts w:ascii="宋体" w:hAnsi="宋体" w:cs="宋体"/>
      <w:kern w:val="0"/>
      <w:sz w:val="24"/>
    </w:rPr>
  </w:style>
  <w:style w:type="paragraph" w:customStyle="1" w:styleId="161">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2">
    <w:name w:val="Item List in Table"/>
    <w:basedOn w:val="1"/>
    <w:qFormat/>
    <w:uiPriority w:val="0"/>
    <w:pPr>
      <w:numPr>
        <w:ilvl w:val="0"/>
        <w:numId w:val="8"/>
      </w:numPr>
      <w:jc w:val="left"/>
    </w:pPr>
  </w:style>
  <w:style w:type="paragraph" w:customStyle="1" w:styleId="16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5">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67">
    <w:name w:val="默认段落字体 Para Char"/>
    <w:basedOn w:val="1"/>
    <w:qFormat/>
    <w:uiPriority w:val="0"/>
    <w:rPr>
      <w:rFonts w:ascii="Tahoma" w:hAnsi="Tahoma"/>
      <w:sz w:val="24"/>
      <w:szCs w:val="20"/>
    </w:rPr>
  </w:style>
  <w:style w:type="paragraph" w:customStyle="1" w:styleId="168">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6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0">
    <w:name w:val="样式 正文缩进 + 首行缩进:  2 字符"/>
    <w:basedOn w:val="6"/>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4">
    <w:name w:val="p0"/>
    <w:basedOn w:val="1"/>
    <w:qFormat/>
    <w:uiPriority w:val="0"/>
    <w:pPr>
      <w:widowControl/>
    </w:pPr>
    <w:rPr>
      <w:kern w:val="0"/>
      <w:szCs w:val="21"/>
    </w:rPr>
  </w:style>
  <w:style w:type="paragraph" w:customStyle="1" w:styleId="17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6">
    <w:name w:val="默认段落字体 Para Char Char Char1 Char"/>
    <w:basedOn w:val="2"/>
    <w:qFormat/>
    <w:uiPriority w:val="0"/>
  </w:style>
  <w:style w:type="paragraph" w:customStyle="1" w:styleId="177">
    <w:name w:val="Char1"/>
    <w:basedOn w:val="1"/>
    <w:qFormat/>
    <w:uiPriority w:val="0"/>
    <w:pPr>
      <w:widowControl/>
      <w:spacing w:line="400" w:lineRule="exact"/>
      <w:jc w:val="center"/>
    </w:pPr>
    <w:rPr>
      <w:rFonts w:ascii="Verdana" w:hAnsi="Verdana"/>
      <w:kern w:val="0"/>
      <w:szCs w:val="20"/>
      <w:lang w:eastAsia="en-US"/>
    </w:rPr>
  </w:style>
  <w:style w:type="paragraph" w:customStyle="1" w:styleId="178">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79">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0">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8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2">
    <w:name w:val="列出段落1"/>
    <w:basedOn w:val="1"/>
    <w:qFormat/>
    <w:uiPriority w:val="0"/>
    <w:pPr>
      <w:ind w:firstLine="200" w:firstLineChars="200"/>
    </w:pPr>
    <w:rPr>
      <w:rFonts w:ascii="Calibri" w:hAnsi="Calibri"/>
      <w:szCs w:val="22"/>
    </w:rPr>
  </w:style>
  <w:style w:type="paragraph" w:customStyle="1" w:styleId="183">
    <w:name w:val="缺省文本"/>
    <w:basedOn w:val="1"/>
    <w:qFormat/>
    <w:uiPriority w:val="0"/>
    <w:pPr>
      <w:autoSpaceDE w:val="0"/>
      <w:autoSpaceDN w:val="0"/>
      <w:adjustRightInd w:val="0"/>
      <w:jc w:val="left"/>
    </w:pPr>
    <w:rPr>
      <w:kern w:val="0"/>
      <w:sz w:val="24"/>
    </w:rPr>
  </w:style>
  <w:style w:type="paragraph" w:customStyle="1" w:styleId="184">
    <w:name w:val="Char Char Char Char Char Char Char Char Char"/>
    <w:basedOn w:val="1"/>
    <w:qFormat/>
    <w:uiPriority w:val="0"/>
    <w:rPr>
      <w:sz w:val="28"/>
    </w:rPr>
  </w:style>
  <w:style w:type="paragraph" w:customStyle="1" w:styleId="185">
    <w:name w:val="书籍标题4"/>
    <w:basedOn w:val="120"/>
    <w:next w:val="1"/>
    <w:qFormat/>
    <w:uiPriority w:val="0"/>
    <w:pPr>
      <w:numPr>
        <w:ilvl w:val="3"/>
      </w:numPr>
      <w:tabs>
        <w:tab w:val="left" w:pos="2160"/>
      </w:tabs>
      <w:ind w:left="2160"/>
      <w:outlineLvl w:val="3"/>
    </w:pPr>
    <w:rPr>
      <w:sz w:val="24"/>
      <w:szCs w:val="24"/>
      <w:lang w:val="zh-CN"/>
    </w:rPr>
  </w:style>
  <w:style w:type="paragraph" w:customStyle="1" w:styleId="18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7">
    <w:name w:val="样式 书籍标题3 + Arial 段前: 1 行 段后: 1 行"/>
    <w:basedOn w:val="120"/>
    <w:qFormat/>
    <w:uiPriority w:val="0"/>
    <w:pPr>
      <w:numPr>
        <w:ilvl w:val="1"/>
        <w:numId w:val="9"/>
      </w:numPr>
      <w:spacing w:beforeLines="0" w:afterLines="0"/>
    </w:pPr>
    <w:rPr>
      <w:rFonts w:ascii="Arial" w:hAnsi="Arial" w:cs="宋体"/>
      <w:b w:val="0"/>
      <w:bCs w:val="0"/>
    </w:rPr>
  </w:style>
  <w:style w:type="paragraph" w:customStyle="1" w:styleId="188">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9">
    <w:name w:val="Char Char Char Char Char Char"/>
    <w:basedOn w:val="1"/>
    <w:qFormat/>
    <w:uiPriority w:val="0"/>
    <w:pPr>
      <w:widowControl/>
      <w:spacing w:after="160" w:line="240" w:lineRule="exact"/>
      <w:jc w:val="left"/>
    </w:pPr>
    <w:rPr>
      <w:sz w:val="32"/>
      <w:szCs w:val="20"/>
    </w:rPr>
  </w:style>
  <w:style w:type="paragraph" w:customStyle="1" w:styleId="19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1">
    <w:name w:val="List Paragraph"/>
    <w:basedOn w:val="1"/>
    <w:qFormat/>
    <w:uiPriority w:val="0"/>
    <w:pPr>
      <w:ind w:firstLine="420" w:firstLineChars="200"/>
    </w:pPr>
  </w:style>
  <w:style w:type="paragraph" w:customStyle="1" w:styleId="19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3">
    <w:name w:val="Char1 Char Char Char"/>
    <w:basedOn w:val="1"/>
    <w:qFormat/>
    <w:uiPriority w:val="0"/>
    <w:pPr>
      <w:ind w:left="1365" w:hanging="360"/>
    </w:pPr>
    <w:rPr>
      <w:sz w:val="24"/>
    </w:rPr>
  </w:style>
  <w:style w:type="paragraph" w:customStyle="1" w:styleId="194">
    <w:name w:val="MM Topic 6"/>
    <w:basedOn w:val="10"/>
    <w:qFormat/>
    <w:uiPriority w:val="0"/>
    <w:pPr>
      <w:numPr>
        <w:ilvl w:val="5"/>
        <w:numId w:val="10"/>
      </w:numPr>
      <w:tabs>
        <w:tab w:val="left" w:pos="425"/>
        <w:tab w:val="clear" w:pos="3260"/>
      </w:tabs>
      <w:spacing w:line="319" w:lineRule="auto"/>
    </w:pPr>
    <w:rPr>
      <w:bCs/>
      <w:szCs w:val="24"/>
    </w:rPr>
  </w:style>
  <w:style w:type="paragraph" w:customStyle="1" w:styleId="19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书籍标题1"/>
    <w:basedOn w:val="1"/>
    <w:next w:val="1"/>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19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8">
    <w:name w:val="样式 标题 4Alt+41.1.1.1 Heading 4bulletblbbH44h4H41h41H42... Char"/>
    <w:basedOn w:val="8"/>
    <w:qFormat/>
    <w:uiPriority w:val="0"/>
    <w:pPr>
      <w:tabs>
        <w:tab w:val="left" w:pos="1914"/>
      </w:tabs>
      <w:spacing w:before="120" w:after="120"/>
      <w:ind w:left="1914" w:hanging="864"/>
    </w:pPr>
    <w:rPr>
      <w:rFonts w:ascii="宋体" w:hAnsi="宋体"/>
      <w:bCs/>
      <w:color w:val="000000"/>
      <w:szCs w:val="28"/>
    </w:rPr>
  </w:style>
  <w:style w:type="paragraph" w:customStyle="1" w:styleId="19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0">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20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0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08">
    <w:name w:val="特点标题"/>
    <w:basedOn w:val="1"/>
    <w:next w:val="37"/>
    <w:qFormat/>
    <w:uiPriority w:val="0"/>
    <w:pPr>
      <w:adjustRightInd w:val="0"/>
      <w:spacing w:line="360" w:lineRule="auto"/>
      <w:ind w:firstLine="482"/>
      <w:textAlignment w:val="baseline"/>
    </w:pPr>
    <w:rPr>
      <w:rFonts w:ascii="宋体" w:hAnsi="宋体"/>
      <w:kern w:val="0"/>
      <w:sz w:val="24"/>
    </w:rPr>
  </w:style>
  <w:style w:type="paragraph" w:customStyle="1" w:styleId="209">
    <w:name w:val="pa-13"/>
    <w:basedOn w:val="1"/>
    <w:qFormat/>
    <w:uiPriority w:val="0"/>
    <w:pPr>
      <w:widowControl/>
      <w:spacing w:before="150" w:after="150"/>
      <w:jc w:val="left"/>
    </w:pPr>
    <w:rPr>
      <w:rFonts w:ascii="宋体" w:hAnsi="宋体" w:cs="宋体"/>
      <w:kern w:val="0"/>
      <w:sz w:val="24"/>
    </w:rPr>
  </w:style>
  <w:style w:type="paragraph" w:customStyle="1" w:styleId="21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1">
    <w:name w:val="MM Topic 1"/>
    <w:basedOn w:val="4"/>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2">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3">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17">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8">
    <w:name w:val="xl1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19">
    <w:name w:val="样式 标题 3"/>
    <w:basedOn w:val="7"/>
    <w:next w:val="1"/>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2">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4">
    <w:name w:val="Char1 Char Char Char1"/>
    <w:basedOn w:val="1"/>
    <w:qFormat/>
    <w:uiPriority w:val="0"/>
    <w:pPr>
      <w:tabs>
        <w:tab w:val="left" w:pos="425"/>
      </w:tabs>
      <w:ind w:left="425" w:hanging="425"/>
    </w:pPr>
    <w:rPr>
      <w:sz w:val="24"/>
    </w:rPr>
  </w:style>
  <w:style w:type="paragraph" w:customStyle="1" w:styleId="2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6">
    <w:name w:val="Char"/>
    <w:basedOn w:val="1"/>
    <w:qFormat/>
    <w:uiPriority w:val="0"/>
    <w:pPr>
      <w:tabs>
        <w:tab w:val="left" w:pos="1365"/>
      </w:tabs>
      <w:ind w:left="1365" w:hanging="360"/>
    </w:pPr>
    <w:rPr>
      <w:sz w:val="24"/>
    </w:rPr>
  </w:style>
  <w:style w:type="paragraph" w:customStyle="1" w:styleId="227">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8">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22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0">
    <w:name w:val="没有缩进（为图形使用）"/>
    <w:basedOn w:val="1"/>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4">
    <w:name w:val="样式1"/>
    <w:next w:val="17"/>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5">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7">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38">
    <w:name w:val="Char Char Char Char Char Char Char Char Char1"/>
    <w:basedOn w:val="1"/>
    <w:qFormat/>
    <w:uiPriority w:val="0"/>
    <w:pPr>
      <w:widowControl/>
      <w:spacing w:after="160" w:line="240" w:lineRule="exact"/>
      <w:jc w:val="left"/>
    </w:pPr>
  </w:style>
  <w:style w:type="paragraph" w:customStyle="1" w:styleId="239">
    <w:name w:val="表格文字"/>
    <w:basedOn w:val="1"/>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2">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24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7">
    <w:name w:val="MM Topic 2"/>
    <w:basedOn w:val="5"/>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4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9">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1">
    <w:name w:val="font6"/>
    <w:basedOn w:val="1"/>
    <w:qFormat/>
    <w:uiPriority w:val="0"/>
    <w:pPr>
      <w:widowControl/>
      <w:spacing w:before="100" w:beforeAutospacing="1" w:after="100" w:afterAutospacing="1"/>
      <w:jc w:val="left"/>
    </w:pPr>
    <w:rPr>
      <w:kern w:val="0"/>
      <w:sz w:val="24"/>
    </w:rPr>
  </w:style>
  <w:style w:type="paragraph" w:customStyle="1" w:styleId="252">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3">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4">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5">
    <w:name w:val="样式 首行缩进:  0.85 厘米"/>
    <w:basedOn w:val="1"/>
    <w:qFormat/>
    <w:uiPriority w:val="0"/>
    <w:pPr>
      <w:spacing w:line="360" w:lineRule="auto"/>
      <w:ind w:firstLine="200" w:firstLineChars="200"/>
    </w:pPr>
    <w:rPr>
      <w:rFonts w:cs="宋体"/>
      <w:sz w:val="24"/>
      <w:szCs w:val="20"/>
    </w:rPr>
  </w:style>
  <w:style w:type="paragraph" w:customStyle="1" w:styleId="256">
    <w:name w:val="列举"/>
    <w:basedOn w:val="1"/>
    <w:qFormat/>
    <w:uiPriority w:val="0"/>
    <w:pPr>
      <w:numPr>
        <w:ilvl w:val="0"/>
        <w:numId w:val="15"/>
      </w:numPr>
      <w:spacing w:line="360" w:lineRule="auto"/>
    </w:pPr>
    <w:rPr>
      <w:rFonts w:ascii="宋体"/>
    </w:rPr>
  </w:style>
  <w:style w:type="paragraph" w:customStyle="1" w:styleId="257">
    <w:name w:val="正文1"/>
    <w:basedOn w:val="1"/>
    <w:qFormat/>
    <w:uiPriority w:val="0"/>
    <w:pPr>
      <w:spacing w:line="360" w:lineRule="auto"/>
    </w:pPr>
    <w:rPr>
      <w:rFonts w:ascii="宋体" w:hAnsi="宋体"/>
      <w:sz w:val="24"/>
    </w:rPr>
  </w:style>
  <w:style w:type="paragraph" w:customStyle="1" w:styleId="258">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9">
    <w:name w:val="正文缩进2字符"/>
    <w:basedOn w:val="45"/>
    <w:qFormat/>
    <w:uiPriority w:val="0"/>
    <w:pPr>
      <w:spacing w:after="0" w:line="360" w:lineRule="auto"/>
      <w:ind w:firstLine="200" w:firstLineChars="200"/>
    </w:pPr>
    <w:rPr>
      <w:sz w:val="24"/>
      <w:szCs w:val="24"/>
    </w:rPr>
  </w:style>
  <w:style w:type="paragraph" w:customStyle="1" w:styleId="260">
    <w:name w:val="font8"/>
    <w:basedOn w:val="1"/>
    <w:qFormat/>
    <w:uiPriority w:val="0"/>
    <w:pPr>
      <w:widowControl/>
      <w:spacing w:before="100" w:beforeAutospacing="1" w:after="100" w:afterAutospacing="1"/>
      <w:jc w:val="left"/>
    </w:pPr>
    <w:rPr>
      <w:kern w:val="0"/>
      <w:sz w:val="20"/>
      <w:szCs w:val="20"/>
    </w:rPr>
  </w:style>
  <w:style w:type="paragraph" w:customStyle="1" w:styleId="261">
    <w:name w:val="Char Char1 Char Char Char Char Char Char"/>
    <w:basedOn w:val="1"/>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2">
    <w:name w:val="pa-3"/>
    <w:basedOn w:val="1"/>
    <w:qFormat/>
    <w:uiPriority w:val="0"/>
    <w:pPr>
      <w:widowControl/>
      <w:spacing w:before="150" w:after="150"/>
      <w:jc w:val="left"/>
    </w:pPr>
    <w:rPr>
      <w:rFonts w:ascii="宋体" w:hAnsi="宋体" w:cs="宋体"/>
      <w:kern w:val="0"/>
      <w:sz w:val="24"/>
    </w:rPr>
  </w:style>
  <w:style w:type="paragraph" w:customStyle="1" w:styleId="263">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264">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5">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6">
    <w:name w:val="列表数字1"/>
    <w:next w:val="45"/>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6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8">
    <w:name w:val="加点标题"/>
    <w:basedOn w:val="1"/>
    <w:qFormat/>
    <w:uiPriority w:val="0"/>
    <w:pPr>
      <w:numPr>
        <w:ilvl w:val="0"/>
        <w:numId w:val="18"/>
      </w:numPr>
      <w:spacing w:line="360" w:lineRule="auto"/>
    </w:pPr>
    <w:rPr>
      <w:sz w:val="24"/>
    </w:rPr>
  </w:style>
  <w:style w:type="paragraph" w:customStyle="1" w:styleId="269">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27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2">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3">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5">
    <w:name w:val="段"/>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7">
    <w:name w:val="MM Topic 3"/>
    <w:basedOn w:val="7"/>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78">
    <w:name w:val="列出段落2"/>
    <w:basedOn w:val="1"/>
    <w:qFormat/>
    <w:uiPriority w:val="0"/>
    <w:pPr>
      <w:ind w:firstLine="420" w:firstLineChars="200"/>
    </w:pPr>
  </w:style>
  <w:style w:type="paragraph" w:customStyle="1" w:styleId="279">
    <w:name w:val="font15"/>
    <w:basedOn w:val="1"/>
    <w:qFormat/>
    <w:uiPriority w:val="0"/>
    <w:pPr>
      <w:widowControl/>
      <w:spacing w:before="100" w:beforeAutospacing="1" w:after="100" w:afterAutospacing="1"/>
      <w:jc w:val="left"/>
    </w:pPr>
    <w:rPr>
      <w:kern w:val="0"/>
      <w:sz w:val="20"/>
      <w:szCs w:val="20"/>
    </w:rPr>
  </w:style>
  <w:style w:type="paragraph" w:customStyle="1" w:styleId="280">
    <w:name w:val="pa-15"/>
    <w:basedOn w:val="1"/>
    <w:qFormat/>
    <w:uiPriority w:val="0"/>
    <w:pPr>
      <w:widowControl/>
      <w:spacing w:before="150" w:after="150"/>
      <w:jc w:val="left"/>
    </w:pPr>
    <w:rPr>
      <w:rFonts w:ascii="宋体" w:hAnsi="宋体" w:cs="宋体"/>
      <w:kern w:val="0"/>
      <w:sz w:val="24"/>
    </w:rPr>
  </w:style>
  <w:style w:type="paragraph" w:customStyle="1" w:styleId="28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3">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84">
    <w:name w:val="Char Char3 Char Char"/>
    <w:basedOn w:val="1"/>
    <w:qFormat/>
    <w:uiPriority w:val="0"/>
    <w:pPr>
      <w:spacing w:line="360" w:lineRule="auto"/>
      <w:ind w:firstLine="200" w:firstLineChars="200"/>
    </w:pPr>
    <w:rPr>
      <w:rFonts w:ascii="宋体" w:hAnsi="宋体" w:cs="宋体"/>
      <w:sz w:val="24"/>
    </w:rPr>
  </w:style>
  <w:style w:type="paragraph" w:customStyle="1" w:styleId="285">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286">
    <w:name w:val="正文序号 2"/>
    <w:basedOn w:val="1"/>
    <w:qFormat/>
    <w:uiPriority w:val="0"/>
    <w:pPr>
      <w:numPr>
        <w:ilvl w:val="1"/>
        <w:numId w:val="7"/>
      </w:numPr>
      <w:tabs>
        <w:tab w:val="left" w:pos="1049"/>
      </w:tabs>
      <w:spacing w:before="60"/>
    </w:pPr>
  </w:style>
  <w:style w:type="paragraph" w:customStyle="1" w:styleId="287">
    <w:name w:val="样式 样式 标题 4Alt+41.1.1.1 Heading 4bulletblbbH44h4H41h41H42... + 自动..."/>
    <w:basedOn w:val="198"/>
    <w:qFormat/>
    <w:uiPriority w:val="0"/>
    <w:pPr>
      <w:numPr>
        <w:ilvl w:val="3"/>
        <w:numId w:val="20"/>
      </w:numPr>
      <w:tabs>
        <w:tab w:val="clear" w:pos="1914"/>
      </w:tabs>
    </w:pPr>
    <w:rPr>
      <w:color w:val="auto"/>
    </w:rPr>
  </w:style>
  <w:style w:type="paragraph" w:styleId="28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9">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0">
    <w:name w:val="MM Topic 5"/>
    <w:basedOn w:val="9"/>
    <w:qFormat/>
    <w:uiPriority w:val="0"/>
    <w:pPr>
      <w:numPr>
        <w:ilvl w:val="4"/>
        <w:numId w:val="10"/>
      </w:numPr>
      <w:tabs>
        <w:tab w:val="left" w:pos="425"/>
        <w:tab w:val="clear" w:pos="2551"/>
      </w:tabs>
    </w:pPr>
    <w:rPr>
      <w:bCs/>
      <w:szCs w:val="28"/>
    </w:rPr>
  </w:style>
  <w:style w:type="paragraph" w:customStyle="1" w:styleId="291">
    <w:name w:val="正文文本样式"/>
    <w:basedOn w:val="1"/>
    <w:qFormat/>
    <w:uiPriority w:val="0"/>
    <w:pPr>
      <w:spacing w:line="360" w:lineRule="auto"/>
      <w:ind w:firstLine="482"/>
    </w:pPr>
    <w:rPr>
      <w:rFonts w:cs="宋体"/>
      <w:sz w:val="24"/>
      <w:szCs w:val="20"/>
    </w:rPr>
  </w:style>
  <w:style w:type="paragraph" w:customStyle="1" w:styleId="292">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3">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4">
    <w:name w:val="MM Topic 4"/>
    <w:basedOn w:val="8"/>
    <w:qFormat/>
    <w:uiPriority w:val="0"/>
    <w:pPr>
      <w:numPr>
        <w:ilvl w:val="3"/>
        <w:numId w:val="10"/>
      </w:numPr>
      <w:tabs>
        <w:tab w:val="left" w:pos="425"/>
        <w:tab w:val="clear" w:pos="1984"/>
      </w:tabs>
    </w:pPr>
    <w:rPr>
      <w:bCs/>
      <w:szCs w:val="28"/>
    </w:rPr>
  </w:style>
  <w:style w:type="paragraph" w:customStyle="1" w:styleId="295">
    <w:name w:val="正文序号 3"/>
    <w:basedOn w:val="1"/>
    <w:qFormat/>
    <w:uiPriority w:val="0"/>
    <w:pPr>
      <w:numPr>
        <w:ilvl w:val="2"/>
        <w:numId w:val="7"/>
      </w:numPr>
      <w:tabs>
        <w:tab w:val="left" w:pos="1259"/>
      </w:tabs>
      <w:spacing w:before="60"/>
    </w:pPr>
  </w:style>
  <w:style w:type="paragraph" w:customStyle="1" w:styleId="296">
    <w:name w:val="Char2"/>
    <w:basedOn w:val="1"/>
    <w:qFormat/>
    <w:uiPriority w:val="0"/>
    <w:pPr>
      <w:tabs>
        <w:tab w:val="left" w:pos="425"/>
      </w:tabs>
      <w:ind w:left="425" w:hanging="425"/>
    </w:pPr>
    <w:rPr>
      <w:sz w:val="24"/>
    </w:rPr>
  </w:style>
  <w:style w:type="paragraph" w:customStyle="1" w:styleId="297">
    <w:name w:val="正文序号 1"/>
    <w:basedOn w:val="1"/>
    <w:qFormat/>
    <w:uiPriority w:val="0"/>
    <w:pPr>
      <w:numPr>
        <w:ilvl w:val="0"/>
        <w:numId w:val="7"/>
      </w:numPr>
      <w:tabs>
        <w:tab w:val="left" w:pos="839"/>
      </w:tabs>
      <w:spacing w:before="60"/>
    </w:pPr>
  </w:style>
  <w:style w:type="paragraph" w:customStyle="1" w:styleId="298">
    <w:name w:val="字元 字元1"/>
    <w:basedOn w:val="1"/>
    <w:qFormat/>
    <w:uiPriority w:val="0"/>
    <w:pPr>
      <w:spacing w:line="360" w:lineRule="auto"/>
      <w:ind w:firstLine="200" w:firstLineChars="200"/>
    </w:pPr>
    <w:rPr>
      <w:rFonts w:ascii="宋体" w:hAnsi="宋体" w:cs="宋体"/>
      <w:sz w:val="24"/>
    </w:rPr>
  </w:style>
  <w:style w:type="paragraph" w:customStyle="1" w:styleId="299">
    <w:name w:val="font12"/>
    <w:basedOn w:val="1"/>
    <w:qFormat/>
    <w:uiPriority w:val="0"/>
    <w:pPr>
      <w:widowControl/>
      <w:spacing w:before="100" w:beforeAutospacing="1" w:after="100" w:afterAutospacing="1"/>
      <w:jc w:val="left"/>
    </w:pPr>
    <w:rPr>
      <w:kern w:val="0"/>
      <w:sz w:val="22"/>
      <w:szCs w:val="22"/>
    </w:rPr>
  </w:style>
  <w:style w:type="paragraph" w:customStyle="1" w:styleId="300">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301">
    <w:name w:val="标题 1 Char2"/>
    <w:qFormat/>
    <w:uiPriority w:val="0"/>
    <w:rPr>
      <w:rFonts w:ascii="黑体" w:eastAsia="黑体"/>
      <w:bCs/>
      <w:kern w:val="44"/>
      <w:sz w:val="24"/>
      <w:szCs w:val="24"/>
    </w:rPr>
  </w:style>
  <w:style w:type="character" w:customStyle="1" w:styleId="302">
    <w:name w:val="Font Style17"/>
    <w:qFormat/>
    <w:uiPriority w:val="0"/>
    <w:rPr>
      <w:rFonts w:ascii="黑体" w:eastAsia="黑体" w:cs="黑体"/>
      <w:sz w:val="28"/>
      <w:szCs w:val="28"/>
    </w:rPr>
  </w:style>
  <w:style w:type="character" w:styleId="303">
    <w:name w:val="Placeholder Text"/>
    <w:basedOn w:val="47"/>
    <w:semiHidden/>
    <w:qFormat/>
    <w:uiPriority w:val="99"/>
    <w:rPr>
      <w:color w:val="808080"/>
    </w:rPr>
  </w:style>
  <w:style w:type="character" w:customStyle="1" w:styleId="304">
    <w:name w:val="正文缩进 Char3"/>
    <w:qFormat/>
    <w:uiPriority w:val="0"/>
    <w:rPr>
      <w:rFonts w:ascii="宋体" w:eastAsia="宋体"/>
      <w:sz w:val="34"/>
      <w:lang w:val="en-US" w:eastAsia="zh-CN" w:bidi="ar-SA"/>
    </w:rPr>
  </w:style>
  <w:style w:type="paragraph" w:customStyle="1" w:styleId="30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6035</Words>
  <Characters>34403</Characters>
  <Lines>286</Lines>
  <Paragraphs>80</Paragraphs>
  <TotalTime>0</TotalTime>
  <ScaleCrop>false</ScaleCrop>
  <LinksUpToDate>false</LinksUpToDate>
  <CharactersWithSpaces>40358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2017-11-22T01:06:00Z</dcterms:created>
  <dc:creator>杨佳佳</dc:creator>
  <cp:lastModifiedBy>710S</cp:lastModifiedBy>
  <cp:lastPrinted>2015-10-16T03:36:00Z</cp:lastPrinted>
  <dcterms:modified xsi:type="dcterms:W3CDTF">2021-11-19T09:09:04Z</dcterms:modified>
  <dc:title>货物公开招标</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E0B6C10659A44F5C81DAC4B79408920D</vt:lpwstr>
  </property>
</Properties>
</file>